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DA01C" w14:textId="15831FC2" w:rsidR="00B24DF4" w:rsidRPr="00D942EB" w:rsidRDefault="00B24DF4" w:rsidP="009424A5">
      <w:bookmarkStart w:id="0" w:name="_Toc476822632"/>
      <w:bookmarkStart w:id="1" w:name="_Toc476822653"/>
      <w:r w:rsidRPr="00D942EB">
        <w:rPr>
          <w:rFonts w:eastAsiaTheme="majorEastAsia"/>
          <w:noProof/>
          <w:lang w:val="en-US" w:eastAsia="en-US"/>
        </w:rPr>
        <w:drawing>
          <wp:inline distT="0" distB="0" distL="0" distR="0" wp14:anchorId="0D5F55C0" wp14:editId="626616F6">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14:paraId="38940F77" w14:textId="77777777" w:rsidR="00BC07E4" w:rsidRPr="00D942EB" w:rsidRDefault="00BC07E4" w:rsidP="009424A5">
      <w:pPr>
        <w:pStyle w:val="PublicationDate"/>
      </w:pPr>
    </w:p>
    <w:p w14:paraId="23221209" w14:textId="77777777" w:rsidR="00BC07E4" w:rsidRPr="00D942EB" w:rsidRDefault="00BC07E4" w:rsidP="009424A5">
      <w:pPr>
        <w:pStyle w:val="PublicationDate"/>
      </w:pPr>
    </w:p>
    <w:p w14:paraId="6D1AB9E2" w14:textId="77777777" w:rsidR="00BC07E4" w:rsidRPr="00D942EB" w:rsidRDefault="00BC07E4" w:rsidP="00BC07E4">
      <w:pPr>
        <w:rPr>
          <w:rFonts w:eastAsiaTheme="majorEastAsia"/>
        </w:rPr>
      </w:pPr>
    </w:p>
    <w:p w14:paraId="355A1268" w14:textId="0C6F3C05" w:rsidR="00BC07E4" w:rsidRPr="00D942EB" w:rsidRDefault="00BC07E4" w:rsidP="00BC07E4">
      <w:pPr>
        <w:rPr>
          <w:rFonts w:eastAsiaTheme="majorEastAsia"/>
        </w:rPr>
      </w:pPr>
    </w:p>
    <w:p w14:paraId="5B80EAA2" w14:textId="77777777" w:rsidR="00BC07E4" w:rsidRPr="00D942EB" w:rsidRDefault="00BC07E4" w:rsidP="009424A5">
      <w:pPr>
        <w:pStyle w:val="PublicationDate"/>
      </w:pPr>
    </w:p>
    <w:p w14:paraId="7BB6344C" w14:textId="77777777" w:rsidR="00BC07E4" w:rsidRPr="00D942EB" w:rsidRDefault="00BC07E4" w:rsidP="009424A5">
      <w:pPr>
        <w:pStyle w:val="PublicationDate"/>
      </w:pPr>
    </w:p>
    <w:p w14:paraId="18013395" w14:textId="6EAB26D8" w:rsidR="000B0274" w:rsidRPr="00D942EB" w:rsidRDefault="00DD421B" w:rsidP="009424A5">
      <w:pPr>
        <w:pStyle w:val="PublicationDate"/>
      </w:pPr>
      <w:r>
        <w:t>May</w:t>
      </w:r>
      <w:r w:rsidR="0023726A" w:rsidRPr="00D942EB">
        <w:t xml:space="preserve"> 202</w:t>
      </w:r>
      <w:r>
        <w:t>5</w:t>
      </w:r>
    </w:p>
    <w:p w14:paraId="0124AB3B" w14:textId="77777777" w:rsidR="00BC07E4" w:rsidRPr="00D942EB" w:rsidRDefault="00BC07E4" w:rsidP="009424A5">
      <w:pPr>
        <w:pStyle w:val="PublicationDate"/>
      </w:pPr>
    </w:p>
    <w:p w14:paraId="76C9B093" w14:textId="77777777" w:rsidR="00BC07E4" w:rsidRPr="00D942EB" w:rsidRDefault="00BC07E4" w:rsidP="009424A5">
      <w:pPr>
        <w:pStyle w:val="PublicationDate"/>
      </w:pPr>
    </w:p>
    <w:p w14:paraId="0AC2542A" w14:textId="57EE9DF2" w:rsidR="006F2910" w:rsidRPr="00D942EB" w:rsidRDefault="006F2910" w:rsidP="009424A5">
      <w:pPr>
        <w:pStyle w:val="Subheading"/>
        <w:rPr>
          <w:rFonts w:ascii="Arial Bold" w:eastAsiaTheme="majorEastAsia" w:hAnsi="Arial Bold" w:cstheme="majorBidi"/>
          <w:color w:val="0A4A63"/>
          <w:kern w:val="28"/>
          <w:sz w:val="56"/>
          <w:szCs w:val="56"/>
        </w:rPr>
      </w:pPr>
      <w:r w:rsidRPr="00D942EB">
        <w:rPr>
          <w:rFonts w:ascii="Arial Bold" w:eastAsiaTheme="majorEastAsia" w:hAnsi="Arial Bold" w:cstheme="majorBidi"/>
          <w:color w:val="0A4A63"/>
          <w:kern w:val="28"/>
          <w:sz w:val="56"/>
          <w:szCs w:val="56"/>
        </w:rPr>
        <w:t xml:space="preserve">Australian </w:t>
      </w:r>
      <w:r w:rsidR="00E5486C" w:rsidRPr="00D942EB">
        <w:rPr>
          <w:rFonts w:ascii="Arial Bold" w:eastAsiaTheme="majorEastAsia" w:hAnsi="Arial Bold" w:cstheme="majorBidi"/>
          <w:color w:val="0A4A63"/>
          <w:kern w:val="28"/>
          <w:sz w:val="56"/>
          <w:szCs w:val="56"/>
        </w:rPr>
        <w:t>S</w:t>
      </w:r>
      <w:r w:rsidRPr="00D942EB">
        <w:rPr>
          <w:rFonts w:ascii="Arial Bold" w:eastAsiaTheme="majorEastAsia" w:hAnsi="Arial Bold" w:cstheme="majorBidi"/>
          <w:color w:val="0A4A63"/>
          <w:kern w:val="28"/>
          <w:sz w:val="56"/>
          <w:szCs w:val="56"/>
        </w:rPr>
        <w:t xml:space="preserve">entinel </w:t>
      </w:r>
      <w:r w:rsidR="00E5486C" w:rsidRPr="00D942EB">
        <w:rPr>
          <w:rFonts w:ascii="Arial Bold" w:eastAsiaTheme="majorEastAsia" w:hAnsi="Arial Bold" w:cstheme="majorBidi"/>
          <w:color w:val="0A4A63"/>
          <w:kern w:val="28"/>
          <w:sz w:val="56"/>
          <w:szCs w:val="56"/>
        </w:rPr>
        <w:t>E</w:t>
      </w:r>
      <w:r w:rsidRPr="00D942EB">
        <w:rPr>
          <w:rFonts w:ascii="Arial Bold" w:eastAsiaTheme="majorEastAsia" w:hAnsi="Arial Bold" w:cstheme="majorBidi"/>
          <w:color w:val="0A4A63"/>
          <w:kern w:val="28"/>
          <w:sz w:val="56"/>
          <w:szCs w:val="56"/>
        </w:rPr>
        <w:t xml:space="preserve">vents </w:t>
      </w:r>
      <w:r w:rsidR="00E5486C" w:rsidRPr="00D942EB">
        <w:rPr>
          <w:rFonts w:ascii="Arial Bold" w:eastAsiaTheme="majorEastAsia" w:hAnsi="Arial Bold" w:cstheme="majorBidi"/>
          <w:color w:val="0A4A63"/>
          <w:kern w:val="28"/>
          <w:sz w:val="56"/>
          <w:szCs w:val="56"/>
        </w:rPr>
        <w:t>L</w:t>
      </w:r>
      <w:r w:rsidRPr="00D942EB">
        <w:rPr>
          <w:rFonts w:ascii="Arial Bold" w:eastAsiaTheme="majorEastAsia" w:hAnsi="Arial Bold" w:cstheme="majorBidi"/>
          <w:color w:val="0A4A63"/>
          <w:kern w:val="28"/>
          <w:sz w:val="56"/>
          <w:szCs w:val="56"/>
        </w:rPr>
        <w:t>ist (</w:t>
      </w:r>
      <w:r w:rsidR="003B2784" w:rsidRPr="00D942EB">
        <w:rPr>
          <w:rFonts w:ascii="Arial Bold" w:eastAsiaTheme="majorEastAsia" w:hAnsi="Arial Bold" w:cstheme="majorBidi"/>
          <w:color w:val="0A4A63"/>
          <w:kern w:val="28"/>
          <w:sz w:val="56"/>
          <w:szCs w:val="56"/>
        </w:rPr>
        <w:t>version 2</w:t>
      </w:r>
      <w:r w:rsidRPr="00D942EB">
        <w:rPr>
          <w:rFonts w:ascii="Arial Bold" w:eastAsiaTheme="majorEastAsia" w:hAnsi="Arial Bold" w:cstheme="majorBidi"/>
          <w:color w:val="0A4A63"/>
          <w:kern w:val="28"/>
          <w:sz w:val="56"/>
          <w:szCs w:val="56"/>
        </w:rPr>
        <w:t xml:space="preserve">) </w:t>
      </w:r>
    </w:p>
    <w:p w14:paraId="24EDD5B3" w14:textId="530812D0" w:rsidR="000B0274" w:rsidRPr="00D942EB" w:rsidRDefault="006F2910" w:rsidP="009424A5">
      <w:pPr>
        <w:pStyle w:val="Subheading"/>
      </w:pPr>
      <w:r w:rsidRPr="00D942EB">
        <w:t>Specifications</w:t>
      </w:r>
    </w:p>
    <w:p w14:paraId="532C0327" w14:textId="77777777" w:rsidR="00BC07E4" w:rsidRPr="00D942EB" w:rsidRDefault="00BC07E4" w:rsidP="00BC07E4">
      <w:bookmarkStart w:id="2" w:name="_Toc476822633"/>
      <w:bookmarkStart w:id="3" w:name="_Toc476822654"/>
      <w:bookmarkStart w:id="4" w:name="_Toc476822854"/>
      <w:bookmarkStart w:id="5" w:name="_Toc476823158"/>
      <w:bookmarkStart w:id="6" w:name="_Toc476823667"/>
      <w:r w:rsidRPr="00D942EB">
        <w:br w:type="page"/>
      </w:r>
    </w:p>
    <w:p w14:paraId="5A81C1D0" w14:textId="77777777" w:rsidR="009A007B" w:rsidRPr="00D942EB" w:rsidRDefault="009A007B" w:rsidP="009A007B">
      <w:r w:rsidRPr="00D942EB">
        <w:lastRenderedPageBreak/>
        <w:t>Published by the Australian Commission on Safety and Quality in Health Care</w:t>
      </w:r>
      <w:r w:rsidRPr="00D942EB">
        <w:br/>
        <w:t>Level 5, 255 E</w:t>
      </w:r>
      <w:r w:rsidR="000406F8" w:rsidRPr="00D942EB">
        <w:t>lizabeth Street, Sydney NSW 2000</w:t>
      </w:r>
    </w:p>
    <w:p w14:paraId="3EF52FD0" w14:textId="77777777" w:rsidR="009A007B" w:rsidRPr="00D942EB" w:rsidRDefault="009A007B" w:rsidP="009A007B">
      <w:r w:rsidRPr="00D942EB">
        <w:t>Phone: (02) 9126 3600</w:t>
      </w:r>
      <w:r w:rsidRPr="00D942EB">
        <w:br/>
        <w:t>Fax: (02) 9126 3613</w:t>
      </w:r>
    </w:p>
    <w:p w14:paraId="5F3823F0" w14:textId="5740BB1A" w:rsidR="009A007B" w:rsidRPr="00D942EB" w:rsidRDefault="009A007B" w:rsidP="009A007B">
      <w:pPr>
        <w:rPr>
          <w:rFonts w:ascii="Times New Roman" w:hAnsi="Times New Roman"/>
          <w:snapToGrid w:val="0"/>
          <w:color w:val="000000"/>
          <w:w w:val="0"/>
          <w:sz w:val="0"/>
          <w:szCs w:val="0"/>
          <w:u w:color="000000"/>
          <w:bdr w:val="none" w:sz="0" w:space="0" w:color="000000"/>
          <w:shd w:val="clear" w:color="000000" w:fill="000000"/>
          <w:lang w:eastAsia="x-none" w:bidi="x-none"/>
        </w:rPr>
      </w:pPr>
      <w:r w:rsidRPr="00D942EB">
        <w:t xml:space="preserve">Email: mail@safetyandquality.gov.au </w:t>
      </w:r>
      <w:r w:rsidRPr="00D942EB">
        <w:br/>
        <w:t xml:space="preserve">Website: </w:t>
      </w:r>
      <w:hyperlink r:id="rId9" w:history="1">
        <w:r w:rsidR="00B70B9E" w:rsidRPr="00D942EB">
          <w:rPr>
            <w:rStyle w:val="Hyperlink"/>
          </w:rPr>
          <w:t>www.safetyandquality.gov.au</w:t>
        </w:r>
      </w:hyperlink>
      <w:r w:rsidR="00B70B9E" w:rsidRPr="00D942EB">
        <w:t xml:space="preserve"> </w:t>
      </w:r>
      <w:r w:rsidRPr="00D942EB">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7C7A52D" w14:textId="0420983D" w:rsidR="009A007B" w:rsidRPr="00D942EB" w:rsidRDefault="009A007B" w:rsidP="009A007B">
      <w:r w:rsidRPr="00D942EB">
        <w:t xml:space="preserve">ISBN: </w:t>
      </w:r>
      <w:r w:rsidR="00E5486C" w:rsidRPr="00D942EB">
        <w:t>978-1-925948-62-2</w:t>
      </w:r>
    </w:p>
    <w:p w14:paraId="108C2251" w14:textId="4D5E32C0" w:rsidR="00E5486C" w:rsidRPr="00D942EB" w:rsidRDefault="009A007B" w:rsidP="009A007B">
      <w:r w:rsidRPr="00D942EB">
        <w:t xml:space="preserve">© Australian Commission on Safety and Quality in Health Care </w:t>
      </w:r>
      <w:r w:rsidR="00E5486C" w:rsidRPr="00D942EB">
        <w:t>202</w:t>
      </w:r>
      <w:r w:rsidR="00DD421B">
        <w:t>5</w:t>
      </w:r>
    </w:p>
    <w:p w14:paraId="72236CD6" w14:textId="77777777" w:rsidR="00EF5C37" w:rsidRPr="00D942EB" w:rsidRDefault="00EF5C37" w:rsidP="00EF5C37">
      <w:r w:rsidRPr="00D942EB">
        <w:t xml:space="preserve">All material and work produced by the Australian Commission on Safety and Quality in Health Care (the Commission) is protected by copyright. The Commission reserves the right to set out the terms and conditions for the use of such material. </w:t>
      </w:r>
    </w:p>
    <w:p w14:paraId="54133A9D" w14:textId="77777777" w:rsidR="00EF5C37" w:rsidRPr="00D942EB" w:rsidRDefault="00EF5C37" w:rsidP="00EF5C37">
      <w:r w:rsidRPr="00D942EB">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00BC7008" w14:textId="41A1C791" w:rsidR="00EF5C37" w:rsidRPr="00D942EB" w:rsidRDefault="00EF5C37" w:rsidP="00EF5C37">
      <w:pPr>
        <w:rPr>
          <w:u w:val="single"/>
        </w:rPr>
      </w:pPr>
      <w:r w:rsidRPr="00D942EB">
        <w:t>With the exception of any material protected by a trademark, any content provided by third parties and where otherwise noted, all material presented in this publication is licensed under a </w:t>
      </w:r>
      <w:hyperlink r:id="rId10" w:history="1">
        <w:r w:rsidRPr="00D942EB">
          <w:rPr>
            <w:rStyle w:val="Hyperlink"/>
          </w:rPr>
          <w:t>Creative Commons Attribution–</w:t>
        </w:r>
        <w:proofErr w:type="spellStart"/>
        <w:r w:rsidRPr="00D942EB">
          <w:rPr>
            <w:rStyle w:val="Hyperlink"/>
          </w:rPr>
          <w:t>NonCommercial</w:t>
        </w:r>
        <w:proofErr w:type="spellEnd"/>
        <w:r w:rsidRPr="00D942EB">
          <w:rPr>
            <w:rStyle w:val="Hyperlink"/>
          </w:rPr>
          <w:t>–</w:t>
        </w:r>
        <w:proofErr w:type="spellStart"/>
        <w:r w:rsidRPr="00D942EB">
          <w:rPr>
            <w:rStyle w:val="Hyperlink"/>
          </w:rPr>
          <w:t>NoDerivatives</w:t>
        </w:r>
        <w:proofErr w:type="spellEnd"/>
        <w:r w:rsidRPr="00D942EB">
          <w:rPr>
            <w:rStyle w:val="Hyperlink"/>
          </w:rPr>
          <w:t xml:space="preserve"> 4.0 International licence</w:t>
        </w:r>
      </w:hyperlink>
      <w:r w:rsidRPr="00D942EB">
        <w:rPr>
          <w:u w:val="single"/>
        </w:rPr>
        <w:t>.</w:t>
      </w:r>
    </w:p>
    <w:p w14:paraId="582291F6" w14:textId="77777777" w:rsidR="00EF5C37" w:rsidRPr="00D942EB" w:rsidRDefault="00AB1978" w:rsidP="00EF5C37">
      <w:r w:rsidRPr="00D942EB">
        <w:rPr>
          <w:noProof/>
          <w:lang w:val="en-US" w:eastAsia="en-US"/>
        </w:rPr>
        <w:drawing>
          <wp:inline distT="0" distB="0" distL="0" distR="0" wp14:anchorId="6EB9E91A" wp14:editId="6D307092">
            <wp:extent cx="859221" cy="298210"/>
            <wp:effectExtent l="0" t="0" r="0" b="6985"/>
            <wp:docPr id="1" name="Picture 1" descr="\\central.health\dfsuserenv\Users\User_11\cresad\Desktop\CC BY-NC-ND 3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1\cresad\Desktop\CC BY-NC-ND 3 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619" cy="298348"/>
                    </a:xfrm>
                    <a:prstGeom prst="rect">
                      <a:avLst/>
                    </a:prstGeom>
                    <a:noFill/>
                    <a:ln>
                      <a:noFill/>
                    </a:ln>
                  </pic:spPr>
                </pic:pic>
              </a:graphicData>
            </a:graphic>
          </wp:inline>
        </w:drawing>
      </w:r>
    </w:p>
    <w:p w14:paraId="414666E8" w14:textId="07487745" w:rsidR="00EF5C37" w:rsidRPr="00D942EB" w:rsidRDefault="00EF5C37" w:rsidP="00EF5C37">
      <w:r w:rsidRPr="00D942EB">
        <w:t xml:space="preserve">Enquiries about the licence and any use of this publication are welcome and can be sent to </w:t>
      </w:r>
      <w:hyperlink r:id="rId12" w:history="1">
        <w:r w:rsidRPr="00D942EB">
          <w:rPr>
            <w:rStyle w:val="Hyperlink"/>
          </w:rPr>
          <w:t>communications@safetyandquality.gov.au</w:t>
        </w:r>
      </w:hyperlink>
      <w:r w:rsidRPr="00D942EB">
        <w:t>.</w:t>
      </w:r>
    </w:p>
    <w:p w14:paraId="44E69DBC" w14:textId="77777777" w:rsidR="00EF5C37" w:rsidRPr="00D942EB" w:rsidRDefault="00EF5C37" w:rsidP="00EF5C37">
      <w:r w:rsidRPr="00D942EB">
        <w:t xml:space="preserve">The Commission’s preference is that you attribute this publication (and any material sourced from it) using the following citation: </w:t>
      </w:r>
    </w:p>
    <w:p w14:paraId="5E3E0BC3" w14:textId="77777777" w:rsidR="009A007B" w:rsidRPr="00D942EB" w:rsidRDefault="009A007B" w:rsidP="009A007B"/>
    <w:p w14:paraId="0D562936" w14:textId="41BAF4FF" w:rsidR="009A007B" w:rsidRPr="00D942EB" w:rsidRDefault="00E5486C" w:rsidP="009A007B">
      <w:pPr>
        <w:ind w:left="720"/>
      </w:pPr>
      <w:r w:rsidRPr="00D942EB">
        <w:t xml:space="preserve">Australian Commission on Safety and Quality in Health Care. Australian Sentinel Event </w:t>
      </w:r>
      <w:r w:rsidR="00845A09" w:rsidRPr="00D942EB">
        <w:t>L</w:t>
      </w:r>
      <w:r w:rsidRPr="00D942EB">
        <w:t>ist (</w:t>
      </w:r>
      <w:r w:rsidR="003B2784" w:rsidRPr="00D942EB">
        <w:t>version 2</w:t>
      </w:r>
      <w:r w:rsidRPr="00D942EB">
        <w:t>): Specifications. Sydney: ACSQHC; 202</w:t>
      </w:r>
      <w:r w:rsidR="00DD421B">
        <w:t>5</w:t>
      </w:r>
    </w:p>
    <w:p w14:paraId="3D77A946" w14:textId="77777777" w:rsidR="002F7E6F" w:rsidRPr="00D942EB" w:rsidRDefault="002F7E6F" w:rsidP="009A007B">
      <w:pPr>
        <w:rPr>
          <w:rStyle w:val="Strong"/>
        </w:rPr>
      </w:pPr>
    </w:p>
    <w:p w14:paraId="32A5C629" w14:textId="77777777" w:rsidR="00EF5C37" w:rsidRPr="00D942EB" w:rsidRDefault="00EF5C37" w:rsidP="00EF5C37">
      <w:pPr>
        <w:rPr>
          <w:b/>
          <w:bCs/>
        </w:rPr>
      </w:pPr>
      <w:r w:rsidRPr="00D942EB">
        <w:rPr>
          <w:b/>
          <w:bCs/>
        </w:rPr>
        <w:t>Disclaimer</w:t>
      </w:r>
    </w:p>
    <w:p w14:paraId="1CAFE3AB" w14:textId="6A5AFC37" w:rsidR="00EF5C37" w:rsidRPr="00D942EB" w:rsidRDefault="00EF5C37" w:rsidP="00EF5C37">
      <w:pPr>
        <w:rPr>
          <w:bCs/>
        </w:rPr>
      </w:pPr>
      <w:r w:rsidRPr="00D942EB">
        <w:rPr>
          <w:bCs/>
        </w:rPr>
        <w:t xml:space="preserve">The content of this document is published in good faith by the Commission for information purposes. The document is not intended to provide guidance on </w:t>
      </w:r>
      <w:proofErr w:type="gramStart"/>
      <w:r w:rsidRPr="00D942EB">
        <w:rPr>
          <w:bCs/>
        </w:rPr>
        <w:t>particular healthcare</w:t>
      </w:r>
      <w:proofErr w:type="gramEnd"/>
      <w:r w:rsidRPr="00D942EB">
        <w:rPr>
          <w:bCs/>
        </w:rPr>
        <w:t xml:space="preserve"> choices. You should contact your healthcare provider for information or advice on </w:t>
      </w:r>
      <w:proofErr w:type="gramStart"/>
      <w:r w:rsidRPr="00D942EB">
        <w:rPr>
          <w:bCs/>
        </w:rPr>
        <w:t>particular healthcare</w:t>
      </w:r>
      <w:proofErr w:type="gramEnd"/>
      <w:r w:rsidRPr="00D942EB">
        <w:rPr>
          <w:bCs/>
        </w:rPr>
        <w:t xml:space="preserve"> choices. </w:t>
      </w:r>
    </w:p>
    <w:p w14:paraId="22BDE99F" w14:textId="4681AC87" w:rsidR="009A007B" w:rsidRPr="00D942EB" w:rsidRDefault="00EF5C37" w:rsidP="00EF5C37">
      <w:pPr>
        <w:rPr>
          <w:bCs/>
          <w:i/>
          <w:smallCaps/>
        </w:rPr>
      </w:pPr>
      <w:r w:rsidRPr="00D942EB">
        <w:rPr>
          <w:bCs/>
        </w:rPr>
        <w:t xml:space="preserve">The Commission does not accept any legal liability for any injury, loss or damage incurred </w:t>
      </w:r>
      <w:proofErr w:type="gramStart"/>
      <w:r w:rsidRPr="00D942EB">
        <w:rPr>
          <w:bCs/>
        </w:rPr>
        <w:t>by the use of</w:t>
      </w:r>
      <w:proofErr w:type="gramEnd"/>
      <w:r w:rsidRPr="00D942EB">
        <w:rPr>
          <w:bCs/>
        </w:rPr>
        <w:t>, or reliance on, this document.</w:t>
      </w:r>
    </w:p>
    <w:p w14:paraId="6AB82BB6" w14:textId="77777777" w:rsidR="00BC07E4" w:rsidRPr="00D942EB" w:rsidRDefault="00BC07E4" w:rsidP="009A007B">
      <w:r w:rsidRPr="00D942EB">
        <w:br w:type="page"/>
      </w:r>
    </w:p>
    <w:bookmarkEnd w:id="6" w:displacedByCustomXml="next"/>
    <w:bookmarkEnd w:id="5" w:displacedByCustomXml="next"/>
    <w:bookmarkEnd w:id="4" w:displacedByCustomXml="next"/>
    <w:bookmarkEnd w:id="3" w:displacedByCustomXml="next"/>
    <w:bookmarkEnd w:id="2" w:displacedByCustomXml="next"/>
    <w:sdt>
      <w:sdtPr>
        <w:rPr>
          <w:rFonts w:asciiTheme="minorHAnsi" w:eastAsia="Times New Roman" w:hAnsiTheme="minorHAnsi" w:cs="Times New Roman"/>
          <w:b w:val="0"/>
          <w:bCs w:val="0"/>
          <w:color w:val="auto"/>
          <w:sz w:val="22"/>
          <w:szCs w:val="22"/>
          <w:lang w:val="en-AU" w:eastAsia="en-AU"/>
        </w:rPr>
        <w:id w:val="-156238153"/>
        <w:docPartObj>
          <w:docPartGallery w:val="Table of Contents"/>
          <w:docPartUnique/>
        </w:docPartObj>
      </w:sdtPr>
      <w:sdtEndPr>
        <w:rPr>
          <w:noProof/>
        </w:rPr>
      </w:sdtEndPr>
      <w:sdtContent>
        <w:p w14:paraId="29856F8A" w14:textId="77777777" w:rsidR="00255596" w:rsidRPr="00D942EB" w:rsidRDefault="00255596" w:rsidP="007C2D48">
          <w:pPr>
            <w:pStyle w:val="TOCHeading"/>
            <w:ind w:right="-330"/>
          </w:pPr>
          <w:r w:rsidRPr="00D942EB">
            <w:t>Contents</w:t>
          </w:r>
        </w:p>
        <w:p w14:paraId="1DFB1DCF" w14:textId="59CCA5C3" w:rsidR="005F15A0" w:rsidRDefault="00E5486C">
          <w:pPr>
            <w:pStyle w:val="TOC1"/>
            <w:rPr>
              <w:rFonts w:eastAsiaTheme="minorEastAsia" w:cstheme="minorBidi"/>
              <w:b w:val="0"/>
              <w:bCs w:val="0"/>
              <w:noProof/>
              <w:color w:val="auto"/>
              <w:kern w:val="2"/>
              <w:szCs w:val="24"/>
              <w14:ligatures w14:val="standardContextual"/>
            </w:rPr>
          </w:pPr>
          <w:r w:rsidRPr="00D942EB">
            <w:fldChar w:fldCharType="begin"/>
          </w:r>
          <w:r w:rsidRPr="00D942EB">
            <w:instrText xml:space="preserve"> TOC \o "1-3" \h \z \u </w:instrText>
          </w:r>
          <w:r w:rsidRPr="00D942EB">
            <w:fldChar w:fldCharType="separate"/>
          </w:r>
          <w:hyperlink w:anchor="_Toc181617060" w:history="1">
            <w:r w:rsidR="005F15A0" w:rsidRPr="00E65A1D">
              <w:rPr>
                <w:rStyle w:val="Hyperlink"/>
                <w:noProof/>
              </w:rPr>
              <w:t>Introduction</w:t>
            </w:r>
            <w:r w:rsidR="005F15A0">
              <w:rPr>
                <w:noProof/>
                <w:webHidden/>
              </w:rPr>
              <w:tab/>
            </w:r>
            <w:r w:rsidR="005F15A0">
              <w:rPr>
                <w:noProof/>
                <w:webHidden/>
              </w:rPr>
              <w:fldChar w:fldCharType="begin"/>
            </w:r>
            <w:r w:rsidR="005F15A0">
              <w:rPr>
                <w:noProof/>
                <w:webHidden/>
              </w:rPr>
              <w:instrText xml:space="preserve"> PAGEREF _Toc181617060 \h </w:instrText>
            </w:r>
            <w:r w:rsidR="005F15A0">
              <w:rPr>
                <w:noProof/>
                <w:webHidden/>
              </w:rPr>
            </w:r>
            <w:r w:rsidR="005F15A0">
              <w:rPr>
                <w:noProof/>
                <w:webHidden/>
              </w:rPr>
              <w:fldChar w:fldCharType="separate"/>
            </w:r>
            <w:r w:rsidR="00FB5A1F">
              <w:rPr>
                <w:noProof/>
                <w:webHidden/>
              </w:rPr>
              <w:t>5</w:t>
            </w:r>
            <w:r w:rsidR="005F15A0">
              <w:rPr>
                <w:noProof/>
                <w:webHidden/>
              </w:rPr>
              <w:fldChar w:fldCharType="end"/>
            </w:r>
          </w:hyperlink>
        </w:p>
        <w:p w14:paraId="45B35C0D" w14:textId="0140B0FD" w:rsidR="005F15A0" w:rsidRDefault="005F15A0">
          <w:pPr>
            <w:pStyle w:val="TOC2"/>
            <w:rPr>
              <w:rFonts w:eastAsiaTheme="minorEastAsia" w:cstheme="minorBidi"/>
              <w:noProof/>
              <w:kern w:val="2"/>
              <w:sz w:val="24"/>
              <w:szCs w:val="24"/>
              <w14:ligatures w14:val="standardContextual"/>
            </w:rPr>
          </w:pPr>
          <w:hyperlink w:anchor="_Toc181617061" w:history="1">
            <w:r w:rsidRPr="00E65A1D">
              <w:rPr>
                <w:rStyle w:val="Hyperlink"/>
                <w:noProof/>
              </w:rPr>
              <w:t>What is a sentinel event?</w:t>
            </w:r>
            <w:r>
              <w:rPr>
                <w:noProof/>
                <w:webHidden/>
              </w:rPr>
              <w:tab/>
            </w:r>
            <w:r>
              <w:rPr>
                <w:noProof/>
                <w:webHidden/>
              </w:rPr>
              <w:fldChar w:fldCharType="begin"/>
            </w:r>
            <w:r>
              <w:rPr>
                <w:noProof/>
                <w:webHidden/>
              </w:rPr>
              <w:instrText xml:space="preserve"> PAGEREF _Toc181617061 \h </w:instrText>
            </w:r>
            <w:r>
              <w:rPr>
                <w:noProof/>
                <w:webHidden/>
              </w:rPr>
            </w:r>
            <w:r>
              <w:rPr>
                <w:noProof/>
                <w:webHidden/>
              </w:rPr>
              <w:fldChar w:fldCharType="separate"/>
            </w:r>
            <w:r w:rsidR="00FB5A1F">
              <w:rPr>
                <w:noProof/>
                <w:webHidden/>
              </w:rPr>
              <w:t>5</w:t>
            </w:r>
            <w:r>
              <w:rPr>
                <w:noProof/>
                <w:webHidden/>
              </w:rPr>
              <w:fldChar w:fldCharType="end"/>
            </w:r>
          </w:hyperlink>
        </w:p>
        <w:p w14:paraId="0CDF2E00" w14:textId="0F5E4B6F" w:rsidR="005F15A0" w:rsidRDefault="005F15A0">
          <w:pPr>
            <w:pStyle w:val="TOC3"/>
            <w:rPr>
              <w:rFonts w:eastAsiaTheme="minorEastAsia" w:cstheme="minorBidi"/>
              <w:iCs w:val="0"/>
              <w:kern w:val="2"/>
              <w:sz w:val="24"/>
              <w:szCs w:val="24"/>
              <w14:ligatures w14:val="standardContextual"/>
            </w:rPr>
          </w:pPr>
          <w:hyperlink w:anchor="_Toc181617062" w:history="1">
            <w:r w:rsidRPr="00E65A1D">
              <w:rPr>
                <w:rStyle w:val="Hyperlink"/>
              </w:rPr>
              <w:t>Defining wholly preventable</w:t>
            </w:r>
            <w:r>
              <w:rPr>
                <w:webHidden/>
              </w:rPr>
              <w:tab/>
            </w:r>
            <w:r>
              <w:rPr>
                <w:webHidden/>
              </w:rPr>
              <w:fldChar w:fldCharType="begin"/>
            </w:r>
            <w:r>
              <w:rPr>
                <w:webHidden/>
              </w:rPr>
              <w:instrText xml:space="preserve"> PAGEREF _Toc181617062 \h </w:instrText>
            </w:r>
            <w:r>
              <w:rPr>
                <w:webHidden/>
              </w:rPr>
            </w:r>
            <w:r>
              <w:rPr>
                <w:webHidden/>
              </w:rPr>
              <w:fldChar w:fldCharType="separate"/>
            </w:r>
            <w:r w:rsidR="00FB5A1F">
              <w:rPr>
                <w:webHidden/>
              </w:rPr>
              <w:t>5</w:t>
            </w:r>
            <w:r>
              <w:rPr>
                <w:webHidden/>
              </w:rPr>
              <w:fldChar w:fldCharType="end"/>
            </w:r>
          </w:hyperlink>
        </w:p>
        <w:p w14:paraId="68F47038" w14:textId="70F4F3EF" w:rsidR="005F15A0" w:rsidRDefault="005F15A0">
          <w:pPr>
            <w:pStyle w:val="TOC3"/>
            <w:rPr>
              <w:rFonts w:eastAsiaTheme="minorEastAsia" w:cstheme="minorBidi"/>
              <w:iCs w:val="0"/>
              <w:kern w:val="2"/>
              <w:sz w:val="24"/>
              <w:szCs w:val="24"/>
              <w14:ligatures w14:val="standardContextual"/>
            </w:rPr>
          </w:pPr>
          <w:hyperlink w:anchor="_Toc181617063" w:history="1">
            <w:r w:rsidRPr="00E65A1D">
              <w:rPr>
                <w:rStyle w:val="Hyperlink"/>
              </w:rPr>
              <w:t>Defining serious harm</w:t>
            </w:r>
            <w:r>
              <w:rPr>
                <w:webHidden/>
              </w:rPr>
              <w:tab/>
            </w:r>
            <w:r>
              <w:rPr>
                <w:webHidden/>
              </w:rPr>
              <w:fldChar w:fldCharType="begin"/>
            </w:r>
            <w:r>
              <w:rPr>
                <w:webHidden/>
              </w:rPr>
              <w:instrText xml:space="preserve"> PAGEREF _Toc181617063 \h </w:instrText>
            </w:r>
            <w:r>
              <w:rPr>
                <w:webHidden/>
              </w:rPr>
            </w:r>
            <w:r>
              <w:rPr>
                <w:webHidden/>
              </w:rPr>
              <w:fldChar w:fldCharType="separate"/>
            </w:r>
            <w:r w:rsidR="00FB5A1F">
              <w:rPr>
                <w:webHidden/>
              </w:rPr>
              <w:t>5</w:t>
            </w:r>
            <w:r>
              <w:rPr>
                <w:webHidden/>
              </w:rPr>
              <w:fldChar w:fldCharType="end"/>
            </w:r>
          </w:hyperlink>
        </w:p>
        <w:p w14:paraId="0481F35B" w14:textId="0D2C818E" w:rsidR="005F15A0" w:rsidRDefault="005F15A0">
          <w:pPr>
            <w:pStyle w:val="TOC3"/>
            <w:rPr>
              <w:rFonts w:eastAsiaTheme="minorEastAsia" w:cstheme="minorBidi"/>
              <w:iCs w:val="0"/>
              <w:kern w:val="2"/>
              <w:sz w:val="24"/>
              <w:szCs w:val="24"/>
              <w14:ligatures w14:val="standardContextual"/>
            </w:rPr>
          </w:pPr>
          <w:hyperlink w:anchor="_Toc181617064" w:history="1">
            <w:r w:rsidRPr="00E65A1D">
              <w:rPr>
                <w:rStyle w:val="Hyperlink"/>
              </w:rPr>
              <w:t>Psychological harm</w:t>
            </w:r>
            <w:r>
              <w:rPr>
                <w:webHidden/>
              </w:rPr>
              <w:tab/>
            </w:r>
            <w:r>
              <w:rPr>
                <w:webHidden/>
              </w:rPr>
              <w:fldChar w:fldCharType="begin"/>
            </w:r>
            <w:r>
              <w:rPr>
                <w:webHidden/>
              </w:rPr>
              <w:instrText xml:space="preserve"> PAGEREF _Toc181617064 \h </w:instrText>
            </w:r>
            <w:r>
              <w:rPr>
                <w:webHidden/>
              </w:rPr>
            </w:r>
            <w:r>
              <w:rPr>
                <w:webHidden/>
              </w:rPr>
              <w:fldChar w:fldCharType="separate"/>
            </w:r>
            <w:r w:rsidR="00FB5A1F">
              <w:rPr>
                <w:webHidden/>
              </w:rPr>
              <w:t>6</w:t>
            </w:r>
            <w:r>
              <w:rPr>
                <w:webHidden/>
              </w:rPr>
              <w:fldChar w:fldCharType="end"/>
            </w:r>
          </w:hyperlink>
        </w:p>
        <w:p w14:paraId="0861A9D4" w14:textId="731CE644" w:rsidR="005F15A0" w:rsidRDefault="005F15A0">
          <w:pPr>
            <w:pStyle w:val="TOC1"/>
            <w:rPr>
              <w:rFonts w:eastAsiaTheme="minorEastAsia" w:cstheme="minorBidi"/>
              <w:b w:val="0"/>
              <w:bCs w:val="0"/>
              <w:noProof/>
              <w:color w:val="auto"/>
              <w:kern w:val="2"/>
              <w:szCs w:val="24"/>
              <w14:ligatures w14:val="standardContextual"/>
            </w:rPr>
          </w:pPr>
          <w:hyperlink w:anchor="_Toc181617065" w:history="1">
            <w:r w:rsidRPr="00E65A1D">
              <w:rPr>
                <w:rStyle w:val="Hyperlink"/>
                <w:noProof/>
              </w:rPr>
              <w:t>Sentinel event specifications</w:t>
            </w:r>
            <w:r>
              <w:rPr>
                <w:noProof/>
                <w:webHidden/>
              </w:rPr>
              <w:tab/>
            </w:r>
            <w:r>
              <w:rPr>
                <w:noProof/>
                <w:webHidden/>
              </w:rPr>
              <w:fldChar w:fldCharType="begin"/>
            </w:r>
            <w:r>
              <w:rPr>
                <w:noProof/>
                <w:webHidden/>
              </w:rPr>
              <w:instrText xml:space="preserve"> PAGEREF _Toc181617065 \h </w:instrText>
            </w:r>
            <w:r>
              <w:rPr>
                <w:noProof/>
                <w:webHidden/>
              </w:rPr>
            </w:r>
            <w:r>
              <w:rPr>
                <w:noProof/>
                <w:webHidden/>
              </w:rPr>
              <w:fldChar w:fldCharType="separate"/>
            </w:r>
            <w:r w:rsidR="00FB5A1F">
              <w:rPr>
                <w:noProof/>
                <w:webHidden/>
              </w:rPr>
              <w:t>7</w:t>
            </w:r>
            <w:r>
              <w:rPr>
                <w:noProof/>
                <w:webHidden/>
              </w:rPr>
              <w:fldChar w:fldCharType="end"/>
            </w:r>
          </w:hyperlink>
        </w:p>
        <w:p w14:paraId="25BCCD3C" w14:textId="32100080" w:rsidR="005F15A0" w:rsidRDefault="005F15A0">
          <w:pPr>
            <w:pStyle w:val="TOC2"/>
            <w:rPr>
              <w:rFonts w:eastAsiaTheme="minorEastAsia" w:cstheme="minorBidi"/>
              <w:noProof/>
              <w:kern w:val="2"/>
              <w:sz w:val="24"/>
              <w:szCs w:val="24"/>
              <w14:ligatures w14:val="standardContextual"/>
            </w:rPr>
          </w:pPr>
          <w:hyperlink w:anchor="_Toc181617066" w:history="1">
            <w:r w:rsidRPr="00E65A1D">
              <w:rPr>
                <w:rStyle w:val="Hyperlink"/>
                <w:noProof/>
              </w:rPr>
              <w:t>1:  Surgery or other invasive procedure performed on the wrong site resulting in serious harm or death</w:t>
            </w:r>
            <w:r>
              <w:rPr>
                <w:noProof/>
                <w:webHidden/>
              </w:rPr>
              <w:tab/>
            </w:r>
            <w:r>
              <w:rPr>
                <w:noProof/>
                <w:webHidden/>
              </w:rPr>
              <w:fldChar w:fldCharType="begin"/>
            </w:r>
            <w:r>
              <w:rPr>
                <w:noProof/>
                <w:webHidden/>
              </w:rPr>
              <w:instrText xml:space="preserve"> PAGEREF _Toc181617066 \h </w:instrText>
            </w:r>
            <w:r>
              <w:rPr>
                <w:noProof/>
                <w:webHidden/>
              </w:rPr>
            </w:r>
            <w:r>
              <w:rPr>
                <w:noProof/>
                <w:webHidden/>
              </w:rPr>
              <w:fldChar w:fldCharType="separate"/>
            </w:r>
            <w:r w:rsidR="00FB5A1F">
              <w:rPr>
                <w:noProof/>
                <w:webHidden/>
              </w:rPr>
              <w:t>7</w:t>
            </w:r>
            <w:r>
              <w:rPr>
                <w:noProof/>
                <w:webHidden/>
              </w:rPr>
              <w:fldChar w:fldCharType="end"/>
            </w:r>
          </w:hyperlink>
        </w:p>
        <w:p w14:paraId="571A3882" w14:textId="526646D7" w:rsidR="005F15A0" w:rsidRDefault="005F15A0">
          <w:pPr>
            <w:pStyle w:val="TOC3"/>
            <w:rPr>
              <w:rFonts w:eastAsiaTheme="minorEastAsia" w:cstheme="minorBidi"/>
              <w:iCs w:val="0"/>
              <w:kern w:val="2"/>
              <w:sz w:val="24"/>
              <w:szCs w:val="24"/>
              <w14:ligatures w14:val="standardContextual"/>
            </w:rPr>
          </w:pPr>
          <w:hyperlink w:anchor="_Toc181617067" w:history="1">
            <w:r w:rsidRPr="00E65A1D">
              <w:rPr>
                <w:rStyle w:val="Hyperlink"/>
              </w:rPr>
              <w:t>Sentinel event</w:t>
            </w:r>
            <w:r>
              <w:rPr>
                <w:webHidden/>
              </w:rPr>
              <w:tab/>
            </w:r>
            <w:r>
              <w:rPr>
                <w:webHidden/>
              </w:rPr>
              <w:fldChar w:fldCharType="begin"/>
            </w:r>
            <w:r>
              <w:rPr>
                <w:webHidden/>
              </w:rPr>
              <w:instrText xml:space="preserve"> PAGEREF _Toc181617067 \h </w:instrText>
            </w:r>
            <w:r>
              <w:rPr>
                <w:webHidden/>
              </w:rPr>
            </w:r>
            <w:r>
              <w:rPr>
                <w:webHidden/>
              </w:rPr>
              <w:fldChar w:fldCharType="separate"/>
            </w:r>
            <w:r w:rsidR="00FB5A1F">
              <w:rPr>
                <w:webHidden/>
              </w:rPr>
              <w:t>7</w:t>
            </w:r>
            <w:r>
              <w:rPr>
                <w:webHidden/>
              </w:rPr>
              <w:fldChar w:fldCharType="end"/>
            </w:r>
          </w:hyperlink>
        </w:p>
        <w:p w14:paraId="23F6B888" w14:textId="1C1C358B" w:rsidR="005F15A0" w:rsidRDefault="005F15A0">
          <w:pPr>
            <w:pStyle w:val="TOC3"/>
            <w:rPr>
              <w:rFonts w:eastAsiaTheme="minorEastAsia" w:cstheme="minorBidi"/>
              <w:iCs w:val="0"/>
              <w:kern w:val="2"/>
              <w:sz w:val="24"/>
              <w:szCs w:val="24"/>
              <w14:ligatures w14:val="standardContextual"/>
            </w:rPr>
          </w:pPr>
          <w:hyperlink w:anchor="_Toc181617068" w:history="1">
            <w:r w:rsidRPr="00E65A1D">
              <w:rPr>
                <w:rStyle w:val="Hyperlink"/>
              </w:rPr>
              <w:t>Inclusions/exclusions</w:t>
            </w:r>
            <w:r>
              <w:rPr>
                <w:webHidden/>
              </w:rPr>
              <w:tab/>
            </w:r>
            <w:r>
              <w:rPr>
                <w:webHidden/>
              </w:rPr>
              <w:fldChar w:fldCharType="begin"/>
            </w:r>
            <w:r>
              <w:rPr>
                <w:webHidden/>
              </w:rPr>
              <w:instrText xml:space="preserve"> PAGEREF _Toc181617068 \h </w:instrText>
            </w:r>
            <w:r>
              <w:rPr>
                <w:webHidden/>
              </w:rPr>
            </w:r>
            <w:r>
              <w:rPr>
                <w:webHidden/>
              </w:rPr>
              <w:fldChar w:fldCharType="separate"/>
            </w:r>
            <w:r w:rsidR="00FB5A1F">
              <w:rPr>
                <w:webHidden/>
              </w:rPr>
              <w:t>7</w:t>
            </w:r>
            <w:r>
              <w:rPr>
                <w:webHidden/>
              </w:rPr>
              <w:fldChar w:fldCharType="end"/>
            </w:r>
          </w:hyperlink>
        </w:p>
        <w:p w14:paraId="4B12030F" w14:textId="5FFBB246" w:rsidR="005F15A0" w:rsidRDefault="005F15A0">
          <w:pPr>
            <w:pStyle w:val="TOC3"/>
            <w:rPr>
              <w:rFonts w:eastAsiaTheme="minorEastAsia" w:cstheme="minorBidi"/>
              <w:iCs w:val="0"/>
              <w:kern w:val="2"/>
              <w:sz w:val="24"/>
              <w:szCs w:val="24"/>
              <w14:ligatures w14:val="standardContextual"/>
            </w:rPr>
          </w:pPr>
          <w:hyperlink w:anchor="_Toc181617069" w:history="1">
            <w:r w:rsidRPr="00E65A1D">
              <w:rPr>
                <w:rStyle w:val="Hyperlink"/>
              </w:rPr>
              <w:t>Setting</w:t>
            </w:r>
            <w:r>
              <w:rPr>
                <w:webHidden/>
              </w:rPr>
              <w:tab/>
            </w:r>
            <w:r>
              <w:rPr>
                <w:webHidden/>
              </w:rPr>
              <w:fldChar w:fldCharType="begin"/>
            </w:r>
            <w:r>
              <w:rPr>
                <w:webHidden/>
              </w:rPr>
              <w:instrText xml:space="preserve"> PAGEREF _Toc181617069 \h </w:instrText>
            </w:r>
            <w:r>
              <w:rPr>
                <w:webHidden/>
              </w:rPr>
            </w:r>
            <w:r>
              <w:rPr>
                <w:webHidden/>
              </w:rPr>
              <w:fldChar w:fldCharType="separate"/>
            </w:r>
            <w:r w:rsidR="00FB5A1F">
              <w:rPr>
                <w:webHidden/>
              </w:rPr>
              <w:t>7</w:t>
            </w:r>
            <w:r>
              <w:rPr>
                <w:webHidden/>
              </w:rPr>
              <w:fldChar w:fldCharType="end"/>
            </w:r>
          </w:hyperlink>
        </w:p>
        <w:p w14:paraId="0D0C457F" w14:textId="6ADCFF27" w:rsidR="005F15A0" w:rsidRDefault="005F15A0">
          <w:pPr>
            <w:pStyle w:val="TOC3"/>
            <w:rPr>
              <w:rFonts w:eastAsiaTheme="minorEastAsia" w:cstheme="minorBidi"/>
              <w:iCs w:val="0"/>
              <w:kern w:val="2"/>
              <w:sz w:val="24"/>
              <w:szCs w:val="24"/>
              <w14:ligatures w14:val="standardContextual"/>
            </w:rPr>
          </w:pPr>
          <w:hyperlink w:anchor="_Toc181617070" w:history="1">
            <w:r w:rsidRPr="00E65A1D">
              <w:rPr>
                <w:rStyle w:val="Hyperlink"/>
              </w:rPr>
              <w:t>Definitions</w:t>
            </w:r>
            <w:r>
              <w:rPr>
                <w:webHidden/>
              </w:rPr>
              <w:tab/>
            </w:r>
            <w:r>
              <w:rPr>
                <w:webHidden/>
              </w:rPr>
              <w:fldChar w:fldCharType="begin"/>
            </w:r>
            <w:r>
              <w:rPr>
                <w:webHidden/>
              </w:rPr>
              <w:instrText xml:space="preserve"> PAGEREF _Toc181617070 \h </w:instrText>
            </w:r>
            <w:r>
              <w:rPr>
                <w:webHidden/>
              </w:rPr>
            </w:r>
            <w:r>
              <w:rPr>
                <w:webHidden/>
              </w:rPr>
              <w:fldChar w:fldCharType="separate"/>
            </w:r>
            <w:r w:rsidR="00FB5A1F">
              <w:rPr>
                <w:webHidden/>
              </w:rPr>
              <w:t>7</w:t>
            </w:r>
            <w:r>
              <w:rPr>
                <w:webHidden/>
              </w:rPr>
              <w:fldChar w:fldCharType="end"/>
            </w:r>
          </w:hyperlink>
        </w:p>
        <w:p w14:paraId="2AD2D3F5" w14:textId="093BB1C5" w:rsidR="005F15A0" w:rsidRDefault="005F15A0">
          <w:pPr>
            <w:pStyle w:val="TOC3"/>
            <w:rPr>
              <w:rFonts w:eastAsiaTheme="minorEastAsia" w:cstheme="minorBidi"/>
              <w:iCs w:val="0"/>
              <w:kern w:val="2"/>
              <w:sz w:val="24"/>
              <w:szCs w:val="24"/>
              <w14:ligatures w14:val="standardContextual"/>
            </w:rPr>
          </w:pPr>
          <w:hyperlink w:anchor="_Toc181617071" w:history="1">
            <w:r w:rsidRPr="00E65A1D">
              <w:rPr>
                <w:rStyle w:val="Hyperlink"/>
              </w:rPr>
              <w:t>Examples of preventive barriers</w:t>
            </w:r>
            <w:r>
              <w:rPr>
                <w:webHidden/>
              </w:rPr>
              <w:tab/>
            </w:r>
            <w:r>
              <w:rPr>
                <w:webHidden/>
              </w:rPr>
              <w:fldChar w:fldCharType="begin"/>
            </w:r>
            <w:r>
              <w:rPr>
                <w:webHidden/>
              </w:rPr>
              <w:instrText xml:space="preserve"> PAGEREF _Toc181617071 \h </w:instrText>
            </w:r>
            <w:r>
              <w:rPr>
                <w:webHidden/>
              </w:rPr>
            </w:r>
            <w:r>
              <w:rPr>
                <w:webHidden/>
              </w:rPr>
              <w:fldChar w:fldCharType="separate"/>
            </w:r>
            <w:r w:rsidR="00FB5A1F">
              <w:rPr>
                <w:webHidden/>
              </w:rPr>
              <w:t>7</w:t>
            </w:r>
            <w:r>
              <w:rPr>
                <w:webHidden/>
              </w:rPr>
              <w:fldChar w:fldCharType="end"/>
            </w:r>
          </w:hyperlink>
        </w:p>
        <w:p w14:paraId="751A2808" w14:textId="1D271407" w:rsidR="005F15A0" w:rsidRDefault="005F15A0">
          <w:pPr>
            <w:pStyle w:val="TOC2"/>
            <w:rPr>
              <w:rFonts w:eastAsiaTheme="minorEastAsia" w:cstheme="minorBidi"/>
              <w:noProof/>
              <w:kern w:val="2"/>
              <w:sz w:val="24"/>
              <w:szCs w:val="24"/>
              <w14:ligatures w14:val="standardContextual"/>
            </w:rPr>
          </w:pPr>
          <w:hyperlink w:anchor="_Toc181617072" w:history="1">
            <w:r w:rsidRPr="00E65A1D">
              <w:rPr>
                <w:rStyle w:val="Hyperlink"/>
                <w:noProof/>
              </w:rPr>
              <w:t>2:  Surgery or other invasive procedure performed on the wrong patient resulting in serious harm or death</w:t>
            </w:r>
            <w:r>
              <w:rPr>
                <w:noProof/>
                <w:webHidden/>
              </w:rPr>
              <w:tab/>
            </w:r>
            <w:r>
              <w:rPr>
                <w:noProof/>
                <w:webHidden/>
              </w:rPr>
              <w:fldChar w:fldCharType="begin"/>
            </w:r>
            <w:r>
              <w:rPr>
                <w:noProof/>
                <w:webHidden/>
              </w:rPr>
              <w:instrText xml:space="preserve"> PAGEREF _Toc181617072 \h </w:instrText>
            </w:r>
            <w:r>
              <w:rPr>
                <w:noProof/>
                <w:webHidden/>
              </w:rPr>
            </w:r>
            <w:r>
              <w:rPr>
                <w:noProof/>
                <w:webHidden/>
              </w:rPr>
              <w:fldChar w:fldCharType="separate"/>
            </w:r>
            <w:r w:rsidR="00FB5A1F">
              <w:rPr>
                <w:noProof/>
                <w:webHidden/>
              </w:rPr>
              <w:t>8</w:t>
            </w:r>
            <w:r>
              <w:rPr>
                <w:noProof/>
                <w:webHidden/>
              </w:rPr>
              <w:fldChar w:fldCharType="end"/>
            </w:r>
          </w:hyperlink>
        </w:p>
        <w:p w14:paraId="077EA66F" w14:textId="227DAB4F" w:rsidR="005F15A0" w:rsidRDefault="005F15A0">
          <w:pPr>
            <w:pStyle w:val="TOC3"/>
            <w:rPr>
              <w:rFonts w:eastAsiaTheme="minorEastAsia" w:cstheme="minorBidi"/>
              <w:iCs w:val="0"/>
              <w:kern w:val="2"/>
              <w:sz w:val="24"/>
              <w:szCs w:val="24"/>
              <w14:ligatures w14:val="standardContextual"/>
            </w:rPr>
          </w:pPr>
          <w:hyperlink w:anchor="_Toc181617073" w:history="1">
            <w:r w:rsidRPr="00E65A1D">
              <w:rPr>
                <w:rStyle w:val="Hyperlink"/>
              </w:rPr>
              <w:t>Sentinel event</w:t>
            </w:r>
            <w:r>
              <w:rPr>
                <w:webHidden/>
              </w:rPr>
              <w:tab/>
            </w:r>
            <w:r>
              <w:rPr>
                <w:webHidden/>
              </w:rPr>
              <w:fldChar w:fldCharType="begin"/>
            </w:r>
            <w:r>
              <w:rPr>
                <w:webHidden/>
              </w:rPr>
              <w:instrText xml:space="preserve"> PAGEREF _Toc181617073 \h </w:instrText>
            </w:r>
            <w:r>
              <w:rPr>
                <w:webHidden/>
              </w:rPr>
            </w:r>
            <w:r>
              <w:rPr>
                <w:webHidden/>
              </w:rPr>
              <w:fldChar w:fldCharType="separate"/>
            </w:r>
            <w:r w:rsidR="00FB5A1F">
              <w:rPr>
                <w:webHidden/>
              </w:rPr>
              <w:t>8</w:t>
            </w:r>
            <w:r>
              <w:rPr>
                <w:webHidden/>
              </w:rPr>
              <w:fldChar w:fldCharType="end"/>
            </w:r>
          </w:hyperlink>
        </w:p>
        <w:p w14:paraId="20C3969D" w14:textId="0D20FE73" w:rsidR="005F15A0" w:rsidRDefault="005F15A0">
          <w:pPr>
            <w:pStyle w:val="TOC3"/>
            <w:rPr>
              <w:rFonts w:eastAsiaTheme="minorEastAsia" w:cstheme="minorBidi"/>
              <w:iCs w:val="0"/>
              <w:kern w:val="2"/>
              <w:sz w:val="24"/>
              <w:szCs w:val="24"/>
              <w14:ligatures w14:val="standardContextual"/>
            </w:rPr>
          </w:pPr>
          <w:hyperlink w:anchor="_Toc181617074" w:history="1">
            <w:r w:rsidRPr="00E65A1D">
              <w:rPr>
                <w:rStyle w:val="Hyperlink"/>
              </w:rPr>
              <w:t>Inclusions/exclusions</w:t>
            </w:r>
            <w:r>
              <w:rPr>
                <w:webHidden/>
              </w:rPr>
              <w:tab/>
            </w:r>
            <w:r>
              <w:rPr>
                <w:webHidden/>
              </w:rPr>
              <w:fldChar w:fldCharType="begin"/>
            </w:r>
            <w:r>
              <w:rPr>
                <w:webHidden/>
              </w:rPr>
              <w:instrText xml:space="preserve"> PAGEREF _Toc181617074 \h </w:instrText>
            </w:r>
            <w:r>
              <w:rPr>
                <w:webHidden/>
              </w:rPr>
            </w:r>
            <w:r>
              <w:rPr>
                <w:webHidden/>
              </w:rPr>
              <w:fldChar w:fldCharType="separate"/>
            </w:r>
            <w:r w:rsidR="00FB5A1F">
              <w:rPr>
                <w:webHidden/>
              </w:rPr>
              <w:t>8</w:t>
            </w:r>
            <w:r>
              <w:rPr>
                <w:webHidden/>
              </w:rPr>
              <w:fldChar w:fldCharType="end"/>
            </w:r>
          </w:hyperlink>
        </w:p>
        <w:p w14:paraId="0A75D7E9" w14:textId="10E3E70D" w:rsidR="005F15A0" w:rsidRDefault="005F15A0">
          <w:pPr>
            <w:pStyle w:val="TOC3"/>
            <w:rPr>
              <w:rFonts w:eastAsiaTheme="minorEastAsia" w:cstheme="minorBidi"/>
              <w:iCs w:val="0"/>
              <w:kern w:val="2"/>
              <w:sz w:val="24"/>
              <w:szCs w:val="24"/>
              <w14:ligatures w14:val="standardContextual"/>
            </w:rPr>
          </w:pPr>
          <w:hyperlink w:anchor="_Toc181617075" w:history="1">
            <w:r w:rsidRPr="00E65A1D">
              <w:rPr>
                <w:rStyle w:val="Hyperlink"/>
              </w:rPr>
              <w:t>Setting</w:t>
            </w:r>
            <w:r>
              <w:rPr>
                <w:webHidden/>
              </w:rPr>
              <w:tab/>
            </w:r>
            <w:r>
              <w:rPr>
                <w:webHidden/>
              </w:rPr>
              <w:fldChar w:fldCharType="begin"/>
            </w:r>
            <w:r>
              <w:rPr>
                <w:webHidden/>
              </w:rPr>
              <w:instrText xml:space="preserve"> PAGEREF _Toc181617075 \h </w:instrText>
            </w:r>
            <w:r>
              <w:rPr>
                <w:webHidden/>
              </w:rPr>
            </w:r>
            <w:r>
              <w:rPr>
                <w:webHidden/>
              </w:rPr>
              <w:fldChar w:fldCharType="separate"/>
            </w:r>
            <w:r w:rsidR="00FB5A1F">
              <w:rPr>
                <w:webHidden/>
              </w:rPr>
              <w:t>8</w:t>
            </w:r>
            <w:r>
              <w:rPr>
                <w:webHidden/>
              </w:rPr>
              <w:fldChar w:fldCharType="end"/>
            </w:r>
          </w:hyperlink>
        </w:p>
        <w:p w14:paraId="65E8B512" w14:textId="78EAEA2E" w:rsidR="005F15A0" w:rsidRDefault="005F15A0">
          <w:pPr>
            <w:pStyle w:val="TOC3"/>
            <w:rPr>
              <w:rFonts w:eastAsiaTheme="minorEastAsia" w:cstheme="minorBidi"/>
              <w:iCs w:val="0"/>
              <w:kern w:val="2"/>
              <w:sz w:val="24"/>
              <w:szCs w:val="24"/>
              <w14:ligatures w14:val="standardContextual"/>
            </w:rPr>
          </w:pPr>
          <w:hyperlink w:anchor="_Toc181617076" w:history="1">
            <w:r w:rsidRPr="00E65A1D">
              <w:rPr>
                <w:rStyle w:val="Hyperlink"/>
              </w:rPr>
              <w:t>Definitions</w:t>
            </w:r>
            <w:r>
              <w:rPr>
                <w:webHidden/>
              </w:rPr>
              <w:tab/>
            </w:r>
            <w:r>
              <w:rPr>
                <w:webHidden/>
              </w:rPr>
              <w:fldChar w:fldCharType="begin"/>
            </w:r>
            <w:r>
              <w:rPr>
                <w:webHidden/>
              </w:rPr>
              <w:instrText xml:space="preserve"> PAGEREF _Toc181617076 \h </w:instrText>
            </w:r>
            <w:r>
              <w:rPr>
                <w:webHidden/>
              </w:rPr>
            </w:r>
            <w:r>
              <w:rPr>
                <w:webHidden/>
              </w:rPr>
              <w:fldChar w:fldCharType="separate"/>
            </w:r>
            <w:r w:rsidR="00FB5A1F">
              <w:rPr>
                <w:webHidden/>
              </w:rPr>
              <w:t>8</w:t>
            </w:r>
            <w:r>
              <w:rPr>
                <w:webHidden/>
              </w:rPr>
              <w:fldChar w:fldCharType="end"/>
            </w:r>
          </w:hyperlink>
        </w:p>
        <w:p w14:paraId="2B7772EB" w14:textId="593EFEB8" w:rsidR="005F15A0" w:rsidRDefault="005F15A0">
          <w:pPr>
            <w:pStyle w:val="TOC3"/>
            <w:rPr>
              <w:rFonts w:eastAsiaTheme="minorEastAsia" w:cstheme="minorBidi"/>
              <w:iCs w:val="0"/>
              <w:kern w:val="2"/>
              <w:sz w:val="24"/>
              <w:szCs w:val="24"/>
              <w14:ligatures w14:val="standardContextual"/>
            </w:rPr>
          </w:pPr>
          <w:hyperlink w:anchor="_Toc181617077" w:history="1">
            <w:r w:rsidRPr="00E65A1D">
              <w:rPr>
                <w:rStyle w:val="Hyperlink"/>
              </w:rPr>
              <w:t>Examples of preventive barriers</w:t>
            </w:r>
            <w:r>
              <w:rPr>
                <w:webHidden/>
              </w:rPr>
              <w:tab/>
            </w:r>
            <w:r>
              <w:rPr>
                <w:webHidden/>
              </w:rPr>
              <w:fldChar w:fldCharType="begin"/>
            </w:r>
            <w:r>
              <w:rPr>
                <w:webHidden/>
              </w:rPr>
              <w:instrText xml:space="preserve"> PAGEREF _Toc181617077 \h </w:instrText>
            </w:r>
            <w:r>
              <w:rPr>
                <w:webHidden/>
              </w:rPr>
            </w:r>
            <w:r>
              <w:rPr>
                <w:webHidden/>
              </w:rPr>
              <w:fldChar w:fldCharType="separate"/>
            </w:r>
            <w:r w:rsidR="00FB5A1F">
              <w:rPr>
                <w:webHidden/>
              </w:rPr>
              <w:t>8</w:t>
            </w:r>
            <w:r>
              <w:rPr>
                <w:webHidden/>
              </w:rPr>
              <w:fldChar w:fldCharType="end"/>
            </w:r>
          </w:hyperlink>
        </w:p>
        <w:p w14:paraId="2080731F" w14:textId="1349222A" w:rsidR="005F15A0" w:rsidRDefault="005F15A0">
          <w:pPr>
            <w:pStyle w:val="TOC2"/>
            <w:rPr>
              <w:rFonts w:eastAsiaTheme="minorEastAsia" w:cstheme="minorBidi"/>
              <w:noProof/>
              <w:kern w:val="2"/>
              <w:sz w:val="24"/>
              <w:szCs w:val="24"/>
              <w14:ligatures w14:val="standardContextual"/>
            </w:rPr>
          </w:pPr>
          <w:hyperlink w:anchor="_Toc181617078" w:history="1">
            <w:r w:rsidRPr="00E65A1D">
              <w:rPr>
                <w:rStyle w:val="Hyperlink"/>
                <w:noProof/>
              </w:rPr>
              <w:t>3:  Wrong surgical or other invasive procedure performed on a patient resulting in serious harm or death</w:t>
            </w:r>
            <w:r>
              <w:rPr>
                <w:noProof/>
                <w:webHidden/>
              </w:rPr>
              <w:tab/>
            </w:r>
            <w:r>
              <w:rPr>
                <w:noProof/>
                <w:webHidden/>
              </w:rPr>
              <w:fldChar w:fldCharType="begin"/>
            </w:r>
            <w:r>
              <w:rPr>
                <w:noProof/>
                <w:webHidden/>
              </w:rPr>
              <w:instrText xml:space="preserve"> PAGEREF _Toc181617078 \h </w:instrText>
            </w:r>
            <w:r>
              <w:rPr>
                <w:noProof/>
                <w:webHidden/>
              </w:rPr>
            </w:r>
            <w:r>
              <w:rPr>
                <w:noProof/>
                <w:webHidden/>
              </w:rPr>
              <w:fldChar w:fldCharType="separate"/>
            </w:r>
            <w:r w:rsidR="00FB5A1F">
              <w:rPr>
                <w:noProof/>
                <w:webHidden/>
              </w:rPr>
              <w:t>9</w:t>
            </w:r>
            <w:r>
              <w:rPr>
                <w:noProof/>
                <w:webHidden/>
              </w:rPr>
              <w:fldChar w:fldCharType="end"/>
            </w:r>
          </w:hyperlink>
        </w:p>
        <w:p w14:paraId="7ACD2641" w14:textId="467C311C" w:rsidR="005F15A0" w:rsidRDefault="005F15A0">
          <w:pPr>
            <w:pStyle w:val="TOC3"/>
            <w:rPr>
              <w:rFonts w:eastAsiaTheme="minorEastAsia" w:cstheme="minorBidi"/>
              <w:iCs w:val="0"/>
              <w:kern w:val="2"/>
              <w:sz w:val="24"/>
              <w:szCs w:val="24"/>
              <w14:ligatures w14:val="standardContextual"/>
            </w:rPr>
          </w:pPr>
          <w:hyperlink w:anchor="_Toc181617079" w:history="1">
            <w:r w:rsidRPr="00E65A1D">
              <w:rPr>
                <w:rStyle w:val="Hyperlink"/>
              </w:rPr>
              <w:t>Sentinel event</w:t>
            </w:r>
            <w:r>
              <w:rPr>
                <w:webHidden/>
              </w:rPr>
              <w:tab/>
            </w:r>
            <w:r>
              <w:rPr>
                <w:webHidden/>
              </w:rPr>
              <w:fldChar w:fldCharType="begin"/>
            </w:r>
            <w:r>
              <w:rPr>
                <w:webHidden/>
              </w:rPr>
              <w:instrText xml:space="preserve"> PAGEREF _Toc181617079 \h </w:instrText>
            </w:r>
            <w:r>
              <w:rPr>
                <w:webHidden/>
              </w:rPr>
            </w:r>
            <w:r>
              <w:rPr>
                <w:webHidden/>
              </w:rPr>
              <w:fldChar w:fldCharType="separate"/>
            </w:r>
            <w:r w:rsidR="00FB5A1F">
              <w:rPr>
                <w:webHidden/>
              </w:rPr>
              <w:t>9</w:t>
            </w:r>
            <w:r>
              <w:rPr>
                <w:webHidden/>
              </w:rPr>
              <w:fldChar w:fldCharType="end"/>
            </w:r>
          </w:hyperlink>
        </w:p>
        <w:p w14:paraId="2B417C15" w14:textId="10DE00EF" w:rsidR="005F15A0" w:rsidRDefault="005F15A0">
          <w:pPr>
            <w:pStyle w:val="TOC3"/>
            <w:rPr>
              <w:rFonts w:eastAsiaTheme="minorEastAsia" w:cstheme="minorBidi"/>
              <w:iCs w:val="0"/>
              <w:kern w:val="2"/>
              <w:sz w:val="24"/>
              <w:szCs w:val="24"/>
              <w14:ligatures w14:val="standardContextual"/>
            </w:rPr>
          </w:pPr>
          <w:hyperlink w:anchor="_Toc181617080" w:history="1">
            <w:r w:rsidRPr="00E65A1D">
              <w:rPr>
                <w:rStyle w:val="Hyperlink"/>
              </w:rPr>
              <w:t>Inclusions/exclusions</w:t>
            </w:r>
            <w:r>
              <w:rPr>
                <w:webHidden/>
              </w:rPr>
              <w:tab/>
            </w:r>
            <w:r>
              <w:rPr>
                <w:webHidden/>
              </w:rPr>
              <w:fldChar w:fldCharType="begin"/>
            </w:r>
            <w:r>
              <w:rPr>
                <w:webHidden/>
              </w:rPr>
              <w:instrText xml:space="preserve"> PAGEREF _Toc181617080 \h </w:instrText>
            </w:r>
            <w:r>
              <w:rPr>
                <w:webHidden/>
              </w:rPr>
            </w:r>
            <w:r>
              <w:rPr>
                <w:webHidden/>
              </w:rPr>
              <w:fldChar w:fldCharType="separate"/>
            </w:r>
            <w:r w:rsidR="00FB5A1F">
              <w:rPr>
                <w:webHidden/>
              </w:rPr>
              <w:t>9</w:t>
            </w:r>
            <w:r>
              <w:rPr>
                <w:webHidden/>
              </w:rPr>
              <w:fldChar w:fldCharType="end"/>
            </w:r>
          </w:hyperlink>
        </w:p>
        <w:p w14:paraId="0A41FDD6" w14:textId="55B4F797" w:rsidR="005F15A0" w:rsidRDefault="005F15A0">
          <w:pPr>
            <w:pStyle w:val="TOC3"/>
            <w:rPr>
              <w:rFonts w:eastAsiaTheme="minorEastAsia" w:cstheme="minorBidi"/>
              <w:iCs w:val="0"/>
              <w:kern w:val="2"/>
              <w:sz w:val="24"/>
              <w:szCs w:val="24"/>
              <w14:ligatures w14:val="standardContextual"/>
            </w:rPr>
          </w:pPr>
          <w:hyperlink w:anchor="_Toc181617081" w:history="1">
            <w:r w:rsidRPr="00E65A1D">
              <w:rPr>
                <w:rStyle w:val="Hyperlink"/>
              </w:rPr>
              <w:t>Setting</w:t>
            </w:r>
            <w:r>
              <w:rPr>
                <w:webHidden/>
              </w:rPr>
              <w:tab/>
            </w:r>
            <w:r>
              <w:rPr>
                <w:webHidden/>
              </w:rPr>
              <w:fldChar w:fldCharType="begin"/>
            </w:r>
            <w:r>
              <w:rPr>
                <w:webHidden/>
              </w:rPr>
              <w:instrText xml:space="preserve"> PAGEREF _Toc181617081 \h </w:instrText>
            </w:r>
            <w:r>
              <w:rPr>
                <w:webHidden/>
              </w:rPr>
            </w:r>
            <w:r>
              <w:rPr>
                <w:webHidden/>
              </w:rPr>
              <w:fldChar w:fldCharType="separate"/>
            </w:r>
            <w:r w:rsidR="00FB5A1F">
              <w:rPr>
                <w:webHidden/>
              </w:rPr>
              <w:t>9</w:t>
            </w:r>
            <w:r>
              <w:rPr>
                <w:webHidden/>
              </w:rPr>
              <w:fldChar w:fldCharType="end"/>
            </w:r>
          </w:hyperlink>
        </w:p>
        <w:p w14:paraId="20B3A3CE" w14:textId="69A33ED1" w:rsidR="005F15A0" w:rsidRDefault="005F15A0">
          <w:pPr>
            <w:pStyle w:val="TOC3"/>
            <w:rPr>
              <w:rFonts w:eastAsiaTheme="minorEastAsia" w:cstheme="minorBidi"/>
              <w:iCs w:val="0"/>
              <w:kern w:val="2"/>
              <w:sz w:val="24"/>
              <w:szCs w:val="24"/>
              <w14:ligatures w14:val="standardContextual"/>
            </w:rPr>
          </w:pPr>
          <w:hyperlink w:anchor="_Toc181617082" w:history="1">
            <w:r w:rsidRPr="00E65A1D">
              <w:rPr>
                <w:rStyle w:val="Hyperlink"/>
              </w:rPr>
              <w:t>Definitions</w:t>
            </w:r>
            <w:r>
              <w:rPr>
                <w:webHidden/>
              </w:rPr>
              <w:tab/>
            </w:r>
            <w:r>
              <w:rPr>
                <w:webHidden/>
              </w:rPr>
              <w:fldChar w:fldCharType="begin"/>
            </w:r>
            <w:r>
              <w:rPr>
                <w:webHidden/>
              </w:rPr>
              <w:instrText xml:space="preserve"> PAGEREF _Toc181617082 \h </w:instrText>
            </w:r>
            <w:r>
              <w:rPr>
                <w:webHidden/>
              </w:rPr>
            </w:r>
            <w:r>
              <w:rPr>
                <w:webHidden/>
              </w:rPr>
              <w:fldChar w:fldCharType="separate"/>
            </w:r>
            <w:r w:rsidR="00FB5A1F">
              <w:rPr>
                <w:webHidden/>
              </w:rPr>
              <w:t>9</w:t>
            </w:r>
            <w:r>
              <w:rPr>
                <w:webHidden/>
              </w:rPr>
              <w:fldChar w:fldCharType="end"/>
            </w:r>
          </w:hyperlink>
        </w:p>
        <w:p w14:paraId="269FDDFE" w14:textId="43BF98E3" w:rsidR="005F15A0" w:rsidRDefault="005F15A0">
          <w:pPr>
            <w:pStyle w:val="TOC3"/>
            <w:rPr>
              <w:rFonts w:eastAsiaTheme="minorEastAsia" w:cstheme="minorBidi"/>
              <w:iCs w:val="0"/>
              <w:kern w:val="2"/>
              <w:sz w:val="24"/>
              <w:szCs w:val="24"/>
              <w14:ligatures w14:val="standardContextual"/>
            </w:rPr>
          </w:pPr>
          <w:hyperlink w:anchor="_Toc181617083" w:history="1">
            <w:r w:rsidRPr="00E65A1D">
              <w:rPr>
                <w:rStyle w:val="Hyperlink"/>
              </w:rPr>
              <w:t>Examples of preventive barriers</w:t>
            </w:r>
            <w:r>
              <w:rPr>
                <w:webHidden/>
              </w:rPr>
              <w:tab/>
            </w:r>
            <w:r>
              <w:rPr>
                <w:webHidden/>
              </w:rPr>
              <w:fldChar w:fldCharType="begin"/>
            </w:r>
            <w:r>
              <w:rPr>
                <w:webHidden/>
              </w:rPr>
              <w:instrText xml:space="preserve"> PAGEREF _Toc181617083 \h </w:instrText>
            </w:r>
            <w:r>
              <w:rPr>
                <w:webHidden/>
              </w:rPr>
            </w:r>
            <w:r>
              <w:rPr>
                <w:webHidden/>
              </w:rPr>
              <w:fldChar w:fldCharType="separate"/>
            </w:r>
            <w:r w:rsidR="00FB5A1F">
              <w:rPr>
                <w:webHidden/>
              </w:rPr>
              <w:t>9</w:t>
            </w:r>
            <w:r>
              <w:rPr>
                <w:webHidden/>
              </w:rPr>
              <w:fldChar w:fldCharType="end"/>
            </w:r>
          </w:hyperlink>
        </w:p>
        <w:p w14:paraId="5E14300A" w14:textId="7E406E6A" w:rsidR="005F15A0" w:rsidRDefault="005F15A0">
          <w:pPr>
            <w:pStyle w:val="TOC2"/>
            <w:rPr>
              <w:rFonts w:eastAsiaTheme="minorEastAsia" w:cstheme="minorBidi"/>
              <w:noProof/>
              <w:kern w:val="2"/>
              <w:sz w:val="24"/>
              <w:szCs w:val="24"/>
              <w14:ligatures w14:val="standardContextual"/>
            </w:rPr>
          </w:pPr>
          <w:hyperlink w:anchor="_Toc181617084" w:history="1">
            <w:r w:rsidRPr="00E65A1D">
              <w:rPr>
                <w:rStyle w:val="Hyperlink"/>
                <w:noProof/>
              </w:rPr>
              <w:t>4:  Unintended retention of a foreign object in a patient after surgery or other invasive procedure resulting in serious harm or death</w:t>
            </w:r>
            <w:r>
              <w:rPr>
                <w:noProof/>
                <w:webHidden/>
              </w:rPr>
              <w:tab/>
            </w:r>
            <w:r>
              <w:rPr>
                <w:noProof/>
                <w:webHidden/>
              </w:rPr>
              <w:fldChar w:fldCharType="begin"/>
            </w:r>
            <w:r>
              <w:rPr>
                <w:noProof/>
                <w:webHidden/>
              </w:rPr>
              <w:instrText xml:space="preserve"> PAGEREF _Toc181617084 \h </w:instrText>
            </w:r>
            <w:r>
              <w:rPr>
                <w:noProof/>
                <w:webHidden/>
              </w:rPr>
            </w:r>
            <w:r>
              <w:rPr>
                <w:noProof/>
                <w:webHidden/>
              </w:rPr>
              <w:fldChar w:fldCharType="separate"/>
            </w:r>
            <w:r w:rsidR="00FB5A1F">
              <w:rPr>
                <w:noProof/>
                <w:webHidden/>
              </w:rPr>
              <w:t>10</w:t>
            </w:r>
            <w:r>
              <w:rPr>
                <w:noProof/>
                <w:webHidden/>
              </w:rPr>
              <w:fldChar w:fldCharType="end"/>
            </w:r>
          </w:hyperlink>
        </w:p>
        <w:p w14:paraId="4783D682" w14:textId="042C36C7" w:rsidR="005F15A0" w:rsidRDefault="005F15A0">
          <w:pPr>
            <w:pStyle w:val="TOC3"/>
            <w:rPr>
              <w:rFonts w:eastAsiaTheme="minorEastAsia" w:cstheme="minorBidi"/>
              <w:iCs w:val="0"/>
              <w:kern w:val="2"/>
              <w:sz w:val="24"/>
              <w:szCs w:val="24"/>
              <w14:ligatures w14:val="standardContextual"/>
            </w:rPr>
          </w:pPr>
          <w:hyperlink w:anchor="_Toc181617085" w:history="1">
            <w:r w:rsidRPr="00E65A1D">
              <w:rPr>
                <w:rStyle w:val="Hyperlink"/>
              </w:rPr>
              <w:t>Sentinel event</w:t>
            </w:r>
            <w:r>
              <w:rPr>
                <w:webHidden/>
              </w:rPr>
              <w:tab/>
            </w:r>
            <w:r>
              <w:rPr>
                <w:webHidden/>
              </w:rPr>
              <w:fldChar w:fldCharType="begin"/>
            </w:r>
            <w:r>
              <w:rPr>
                <w:webHidden/>
              </w:rPr>
              <w:instrText xml:space="preserve"> PAGEREF _Toc181617085 \h </w:instrText>
            </w:r>
            <w:r>
              <w:rPr>
                <w:webHidden/>
              </w:rPr>
            </w:r>
            <w:r>
              <w:rPr>
                <w:webHidden/>
              </w:rPr>
              <w:fldChar w:fldCharType="separate"/>
            </w:r>
            <w:r w:rsidR="00FB5A1F">
              <w:rPr>
                <w:webHidden/>
              </w:rPr>
              <w:t>10</w:t>
            </w:r>
            <w:r>
              <w:rPr>
                <w:webHidden/>
              </w:rPr>
              <w:fldChar w:fldCharType="end"/>
            </w:r>
          </w:hyperlink>
        </w:p>
        <w:p w14:paraId="27C92221" w14:textId="7FD4D861" w:rsidR="005F15A0" w:rsidRDefault="005F15A0">
          <w:pPr>
            <w:pStyle w:val="TOC3"/>
            <w:rPr>
              <w:rFonts w:eastAsiaTheme="minorEastAsia" w:cstheme="minorBidi"/>
              <w:iCs w:val="0"/>
              <w:kern w:val="2"/>
              <w:sz w:val="24"/>
              <w:szCs w:val="24"/>
              <w14:ligatures w14:val="standardContextual"/>
            </w:rPr>
          </w:pPr>
          <w:hyperlink w:anchor="_Toc181617086" w:history="1">
            <w:r w:rsidRPr="00E65A1D">
              <w:rPr>
                <w:rStyle w:val="Hyperlink"/>
              </w:rPr>
              <w:t>Inclusions/exclusions</w:t>
            </w:r>
            <w:r>
              <w:rPr>
                <w:webHidden/>
              </w:rPr>
              <w:tab/>
            </w:r>
            <w:r>
              <w:rPr>
                <w:webHidden/>
              </w:rPr>
              <w:fldChar w:fldCharType="begin"/>
            </w:r>
            <w:r>
              <w:rPr>
                <w:webHidden/>
              </w:rPr>
              <w:instrText xml:space="preserve"> PAGEREF _Toc181617086 \h </w:instrText>
            </w:r>
            <w:r>
              <w:rPr>
                <w:webHidden/>
              </w:rPr>
            </w:r>
            <w:r>
              <w:rPr>
                <w:webHidden/>
              </w:rPr>
              <w:fldChar w:fldCharType="separate"/>
            </w:r>
            <w:r w:rsidR="00FB5A1F">
              <w:rPr>
                <w:webHidden/>
              </w:rPr>
              <w:t>10</w:t>
            </w:r>
            <w:r>
              <w:rPr>
                <w:webHidden/>
              </w:rPr>
              <w:fldChar w:fldCharType="end"/>
            </w:r>
          </w:hyperlink>
        </w:p>
        <w:p w14:paraId="6A2F0ADA" w14:textId="3315C8DE" w:rsidR="005F15A0" w:rsidRDefault="005F15A0">
          <w:pPr>
            <w:pStyle w:val="TOC3"/>
            <w:rPr>
              <w:rFonts w:eastAsiaTheme="minorEastAsia" w:cstheme="minorBidi"/>
              <w:iCs w:val="0"/>
              <w:kern w:val="2"/>
              <w:sz w:val="24"/>
              <w:szCs w:val="24"/>
              <w14:ligatures w14:val="standardContextual"/>
            </w:rPr>
          </w:pPr>
          <w:hyperlink w:anchor="_Toc181617087" w:history="1">
            <w:r w:rsidRPr="00E65A1D">
              <w:rPr>
                <w:rStyle w:val="Hyperlink"/>
              </w:rPr>
              <w:t>Setting</w:t>
            </w:r>
            <w:r>
              <w:rPr>
                <w:webHidden/>
              </w:rPr>
              <w:tab/>
            </w:r>
            <w:r>
              <w:rPr>
                <w:webHidden/>
              </w:rPr>
              <w:fldChar w:fldCharType="begin"/>
            </w:r>
            <w:r>
              <w:rPr>
                <w:webHidden/>
              </w:rPr>
              <w:instrText xml:space="preserve"> PAGEREF _Toc181617087 \h </w:instrText>
            </w:r>
            <w:r>
              <w:rPr>
                <w:webHidden/>
              </w:rPr>
            </w:r>
            <w:r>
              <w:rPr>
                <w:webHidden/>
              </w:rPr>
              <w:fldChar w:fldCharType="separate"/>
            </w:r>
            <w:r w:rsidR="00FB5A1F">
              <w:rPr>
                <w:webHidden/>
              </w:rPr>
              <w:t>10</w:t>
            </w:r>
            <w:r>
              <w:rPr>
                <w:webHidden/>
              </w:rPr>
              <w:fldChar w:fldCharType="end"/>
            </w:r>
          </w:hyperlink>
        </w:p>
        <w:p w14:paraId="29C0363F" w14:textId="391CBD5B" w:rsidR="005F15A0" w:rsidRDefault="005F15A0">
          <w:pPr>
            <w:pStyle w:val="TOC3"/>
            <w:rPr>
              <w:rFonts w:eastAsiaTheme="minorEastAsia" w:cstheme="minorBidi"/>
              <w:iCs w:val="0"/>
              <w:kern w:val="2"/>
              <w:sz w:val="24"/>
              <w:szCs w:val="24"/>
              <w14:ligatures w14:val="standardContextual"/>
            </w:rPr>
          </w:pPr>
          <w:hyperlink w:anchor="_Toc181617088" w:history="1">
            <w:r w:rsidRPr="00E65A1D">
              <w:rPr>
                <w:rStyle w:val="Hyperlink"/>
              </w:rPr>
              <w:t>Definitions</w:t>
            </w:r>
            <w:r>
              <w:rPr>
                <w:webHidden/>
              </w:rPr>
              <w:tab/>
            </w:r>
            <w:r>
              <w:rPr>
                <w:webHidden/>
              </w:rPr>
              <w:fldChar w:fldCharType="begin"/>
            </w:r>
            <w:r>
              <w:rPr>
                <w:webHidden/>
              </w:rPr>
              <w:instrText xml:space="preserve"> PAGEREF _Toc181617088 \h </w:instrText>
            </w:r>
            <w:r>
              <w:rPr>
                <w:webHidden/>
              </w:rPr>
            </w:r>
            <w:r>
              <w:rPr>
                <w:webHidden/>
              </w:rPr>
              <w:fldChar w:fldCharType="separate"/>
            </w:r>
            <w:r w:rsidR="00FB5A1F">
              <w:rPr>
                <w:webHidden/>
              </w:rPr>
              <w:t>10</w:t>
            </w:r>
            <w:r>
              <w:rPr>
                <w:webHidden/>
              </w:rPr>
              <w:fldChar w:fldCharType="end"/>
            </w:r>
          </w:hyperlink>
        </w:p>
        <w:p w14:paraId="4DEDDBB0" w14:textId="712DBE4E" w:rsidR="005F15A0" w:rsidRDefault="005F15A0">
          <w:pPr>
            <w:pStyle w:val="TOC3"/>
            <w:rPr>
              <w:rFonts w:eastAsiaTheme="minorEastAsia" w:cstheme="minorBidi"/>
              <w:iCs w:val="0"/>
              <w:kern w:val="2"/>
              <w:sz w:val="24"/>
              <w:szCs w:val="24"/>
              <w14:ligatures w14:val="standardContextual"/>
            </w:rPr>
          </w:pPr>
          <w:hyperlink w:anchor="_Toc181617089" w:history="1">
            <w:r w:rsidRPr="00E65A1D">
              <w:rPr>
                <w:rStyle w:val="Hyperlink"/>
              </w:rPr>
              <w:t>Example of national preventive barriers</w:t>
            </w:r>
            <w:r>
              <w:rPr>
                <w:webHidden/>
              </w:rPr>
              <w:tab/>
            </w:r>
            <w:r>
              <w:rPr>
                <w:webHidden/>
              </w:rPr>
              <w:fldChar w:fldCharType="begin"/>
            </w:r>
            <w:r>
              <w:rPr>
                <w:webHidden/>
              </w:rPr>
              <w:instrText xml:space="preserve"> PAGEREF _Toc181617089 \h </w:instrText>
            </w:r>
            <w:r>
              <w:rPr>
                <w:webHidden/>
              </w:rPr>
            </w:r>
            <w:r>
              <w:rPr>
                <w:webHidden/>
              </w:rPr>
              <w:fldChar w:fldCharType="separate"/>
            </w:r>
            <w:r w:rsidR="00FB5A1F">
              <w:rPr>
                <w:webHidden/>
              </w:rPr>
              <w:t>10</w:t>
            </w:r>
            <w:r>
              <w:rPr>
                <w:webHidden/>
              </w:rPr>
              <w:fldChar w:fldCharType="end"/>
            </w:r>
          </w:hyperlink>
        </w:p>
        <w:p w14:paraId="3911CFBF" w14:textId="012D40AD" w:rsidR="005F15A0" w:rsidRDefault="005F15A0">
          <w:pPr>
            <w:pStyle w:val="TOC2"/>
            <w:rPr>
              <w:rFonts w:eastAsiaTheme="minorEastAsia" w:cstheme="minorBidi"/>
              <w:noProof/>
              <w:kern w:val="2"/>
              <w:sz w:val="24"/>
              <w:szCs w:val="24"/>
              <w14:ligatures w14:val="standardContextual"/>
            </w:rPr>
          </w:pPr>
          <w:hyperlink w:anchor="_Toc181617090" w:history="1">
            <w:r w:rsidRPr="00E65A1D">
              <w:rPr>
                <w:rStyle w:val="Hyperlink"/>
                <w:noProof/>
              </w:rPr>
              <w:t>5:  Haemolytic blood transfusion reaction resulting from ABO incompatibility resulting in serious harm or death</w:t>
            </w:r>
            <w:r>
              <w:rPr>
                <w:noProof/>
                <w:webHidden/>
              </w:rPr>
              <w:tab/>
            </w:r>
            <w:r>
              <w:rPr>
                <w:noProof/>
                <w:webHidden/>
              </w:rPr>
              <w:fldChar w:fldCharType="begin"/>
            </w:r>
            <w:r>
              <w:rPr>
                <w:noProof/>
                <w:webHidden/>
              </w:rPr>
              <w:instrText xml:space="preserve"> PAGEREF _Toc181617090 \h </w:instrText>
            </w:r>
            <w:r>
              <w:rPr>
                <w:noProof/>
                <w:webHidden/>
              </w:rPr>
            </w:r>
            <w:r>
              <w:rPr>
                <w:noProof/>
                <w:webHidden/>
              </w:rPr>
              <w:fldChar w:fldCharType="separate"/>
            </w:r>
            <w:r w:rsidR="00FB5A1F">
              <w:rPr>
                <w:noProof/>
                <w:webHidden/>
              </w:rPr>
              <w:t>11</w:t>
            </w:r>
            <w:r>
              <w:rPr>
                <w:noProof/>
                <w:webHidden/>
              </w:rPr>
              <w:fldChar w:fldCharType="end"/>
            </w:r>
          </w:hyperlink>
        </w:p>
        <w:p w14:paraId="7B5B9FEF" w14:textId="4666F2D1" w:rsidR="005F15A0" w:rsidRDefault="005F15A0">
          <w:pPr>
            <w:pStyle w:val="TOC3"/>
            <w:rPr>
              <w:rFonts w:eastAsiaTheme="minorEastAsia" w:cstheme="minorBidi"/>
              <w:iCs w:val="0"/>
              <w:kern w:val="2"/>
              <w:sz w:val="24"/>
              <w:szCs w:val="24"/>
              <w14:ligatures w14:val="standardContextual"/>
            </w:rPr>
          </w:pPr>
          <w:hyperlink w:anchor="_Toc181617091" w:history="1">
            <w:r w:rsidRPr="00E65A1D">
              <w:rPr>
                <w:rStyle w:val="Hyperlink"/>
              </w:rPr>
              <w:t>Sentinel event</w:t>
            </w:r>
            <w:r>
              <w:rPr>
                <w:webHidden/>
              </w:rPr>
              <w:tab/>
            </w:r>
            <w:r>
              <w:rPr>
                <w:webHidden/>
              </w:rPr>
              <w:fldChar w:fldCharType="begin"/>
            </w:r>
            <w:r>
              <w:rPr>
                <w:webHidden/>
              </w:rPr>
              <w:instrText xml:space="preserve"> PAGEREF _Toc181617091 \h </w:instrText>
            </w:r>
            <w:r>
              <w:rPr>
                <w:webHidden/>
              </w:rPr>
            </w:r>
            <w:r>
              <w:rPr>
                <w:webHidden/>
              </w:rPr>
              <w:fldChar w:fldCharType="separate"/>
            </w:r>
            <w:r w:rsidR="00FB5A1F">
              <w:rPr>
                <w:webHidden/>
              </w:rPr>
              <w:t>11</w:t>
            </w:r>
            <w:r>
              <w:rPr>
                <w:webHidden/>
              </w:rPr>
              <w:fldChar w:fldCharType="end"/>
            </w:r>
          </w:hyperlink>
        </w:p>
        <w:p w14:paraId="051393F5" w14:textId="5D32BC17" w:rsidR="005F15A0" w:rsidRDefault="005F15A0">
          <w:pPr>
            <w:pStyle w:val="TOC3"/>
            <w:rPr>
              <w:rFonts w:eastAsiaTheme="minorEastAsia" w:cstheme="minorBidi"/>
              <w:iCs w:val="0"/>
              <w:kern w:val="2"/>
              <w:sz w:val="24"/>
              <w:szCs w:val="24"/>
              <w14:ligatures w14:val="standardContextual"/>
            </w:rPr>
          </w:pPr>
          <w:hyperlink w:anchor="_Toc181617092" w:history="1">
            <w:r w:rsidRPr="00E65A1D">
              <w:rPr>
                <w:rStyle w:val="Hyperlink"/>
              </w:rPr>
              <w:t>Inclusions/exclusions</w:t>
            </w:r>
            <w:r>
              <w:rPr>
                <w:webHidden/>
              </w:rPr>
              <w:tab/>
            </w:r>
            <w:r>
              <w:rPr>
                <w:webHidden/>
              </w:rPr>
              <w:fldChar w:fldCharType="begin"/>
            </w:r>
            <w:r>
              <w:rPr>
                <w:webHidden/>
              </w:rPr>
              <w:instrText xml:space="preserve"> PAGEREF _Toc181617092 \h </w:instrText>
            </w:r>
            <w:r>
              <w:rPr>
                <w:webHidden/>
              </w:rPr>
            </w:r>
            <w:r>
              <w:rPr>
                <w:webHidden/>
              </w:rPr>
              <w:fldChar w:fldCharType="separate"/>
            </w:r>
            <w:r w:rsidR="00FB5A1F">
              <w:rPr>
                <w:webHidden/>
              </w:rPr>
              <w:t>11</w:t>
            </w:r>
            <w:r>
              <w:rPr>
                <w:webHidden/>
              </w:rPr>
              <w:fldChar w:fldCharType="end"/>
            </w:r>
          </w:hyperlink>
        </w:p>
        <w:p w14:paraId="5B1FC27E" w14:textId="43A6E848" w:rsidR="005F15A0" w:rsidRDefault="005F15A0">
          <w:pPr>
            <w:pStyle w:val="TOC3"/>
            <w:rPr>
              <w:rFonts w:eastAsiaTheme="minorEastAsia" w:cstheme="minorBidi"/>
              <w:iCs w:val="0"/>
              <w:kern w:val="2"/>
              <w:sz w:val="24"/>
              <w:szCs w:val="24"/>
              <w14:ligatures w14:val="standardContextual"/>
            </w:rPr>
          </w:pPr>
          <w:hyperlink w:anchor="_Toc181617093" w:history="1">
            <w:r w:rsidRPr="00E65A1D">
              <w:rPr>
                <w:rStyle w:val="Hyperlink"/>
              </w:rPr>
              <w:t>Setting</w:t>
            </w:r>
            <w:r>
              <w:rPr>
                <w:webHidden/>
              </w:rPr>
              <w:tab/>
            </w:r>
            <w:r>
              <w:rPr>
                <w:webHidden/>
              </w:rPr>
              <w:fldChar w:fldCharType="begin"/>
            </w:r>
            <w:r>
              <w:rPr>
                <w:webHidden/>
              </w:rPr>
              <w:instrText xml:space="preserve"> PAGEREF _Toc181617093 \h </w:instrText>
            </w:r>
            <w:r>
              <w:rPr>
                <w:webHidden/>
              </w:rPr>
            </w:r>
            <w:r>
              <w:rPr>
                <w:webHidden/>
              </w:rPr>
              <w:fldChar w:fldCharType="separate"/>
            </w:r>
            <w:r w:rsidR="00FB5A1F">
              <w:rPr>
                <w:webHidden/>
              </w:rPr>
              <w:t>11</w:t>
            </w:r>
            <w:r>
              <w:rPr>
                <w:webHidden/>
              </w:rPr>
              <w:fldChar w:fldCharType="end"/>
            </w:r>
          </w:hyperlink>
        </w:p>
        <w:p w14:paraId="6C754738" w14:textId="630D75CB" w:rsidR="005F15A0" w:rsidRDefault="005F15A0">
          <w:pPr>
            <w:pStyle w:val="TOC3"/>
            <w:rPr>
              <w:rFonts w:eastAsiaTheme="minorEastAsia" w:cstheme="minorBidi"/>
              <w:iCs w:val="0"/>
              <w:kern w:val="2"/>
              <w:sz w:val="24"/>
              <w:szCs w:val="24"/>
              <w14:ligatures w14:val="standardContextual"/>
            </w:rPr>
          </w:pPr>
          <w:hyperlink w:anchor="_Toc181617094" w:history="1">
            <w:r w:rsidRPr="00E65A1D">
              <w:rPr>
                <w:rStyle w:val="Hyperlink"/>
              </w:rPr>
              <w:t>Definition</w:t>
            </w:r>
            <w:r>
              <w:rPr>
                <w:webHidden/>
              </w:rPr>
              <w:tab/>
            </w:r>
            <w:r>
              <w:rPr>
                <w:webHidden/>
              </w:rPr>
              <w:fldChar w:fldCharType="begin"/>
            </w:r>
            <w:r>
              <w:rPr>
                <w:webHidden/>
              </w:rPr>
              <w:instrText xml:space="preserve"> PAGEREF _Toc181617094 \h </w:instrText>
            </w:r>
            <w:r>
              <w:rPr>
                <w:webHidden/>
              </w:rPr>
            </w:r>
            <w:r>
              <w:rPr>
                <w:webHidden/>
              </w:rPr>
              <w:fldChar w:fldCharType="separate"/>
            </w:r>
            <w:r w:rsidR="00FB5A1F">
              <w:rPr>
                <w:webHidden/>
              </w:rPr>
              <w:t>11</w:t>
            </w:r>
            <w:r>
              <w:rPr>
                <w:webHidden/>
              </w:rPr>
              <w:fldChar w:fldCharType="end"/>
            </w:r>
          </w:hyperlink>
        </w:p>
        <w:p w14:paraId="6A3A1B50" w14:textId="662DB89C" w:rsidR="005F15A0" w:rsidRDefault="005F15A0">
          <w:pPr>
            <w:pStyle w:val="TOC3"/>
            <w:rPr>
              <w:rFonts w:eastAsiaTheme="minorEastAsia" w:cstheme="minorBidi"/>
              <w:iCs w:val="0"/>
              <w:kern w:val="2"/>
              <w:sz w:val="24"/>
              <w:szCs w:val="24"/>
              <w14:ligatures w14:val="standardContextual"/>
            </w:rPr>
          </w:pPr>
          <w:hyperlink w:anchor="_Toc181617095" w:history="1">
            <w:r w:rsidRPr="00E65A1D">
              <w:rPr>
                <w:rStyle w:val="Hyperlink"/>
              </w:rPr>
              <w:t>Examples of preventive barriers</w:t>
            </w:r>
            <w:r>
              <w:rPr>
                <w:webHidden/>
              </w:rPr>
              <w:tab/>
            </w:r>
            <w:r>
              <w:rPr>
                <w:webHidden/>
              </w:rPr>
              <w:fldChar w:fldCharType="begin"/>
            </w:r>
            <w:r>
              <w:rPr>
                <w:webHidden/>
              </w:rPr>
              <w:instrText xml:space="preserve"> PAGEREF _Toc181617095 \h </w:instrText>
            </w:r>
            <w:r>
              <w:rPr>
                <w:webHidden/>
              </w:rPr>
            </w:r>
            <w:r>
              <w:rPr>
                <w:webHidden/>
              </w:rPr>
              <w:fldChar w:fldCharType="separate"/>
            </w:r>
            <w:r w:rsidR="00FB5A1F">
              <w:rPr>
                <w:webHidden/>
              </w:rPr>
              <w:t>11</w:t>
            </w:r>
            <w:r>
              <w:rPr>
                <w:webHidden/>
              </w:rPr>
              <w:fldChar w:fldCharType="end"/>
            </w:r>
          </w:hyperlink>
        </w:p>
        <w:p w14:paraId="5236C286" w14:textId="1EA80EF7" w:rsidR="005F15A0" w:rsidRDefault="005F15A0">
          <w:pPr>
            <w:pStyle w:val="TOC2"/>
            <w:rPr>
              <w:rFonts w:eastAsiaTheme="minorEastAsia" w:cstheme="minorBidi"/>
              <w:noProof/>
              <w:kern w:val="2"/>
              <w:sz w:val="24"/>
              <w:szCs w:val="24"/>
              <w14:ligatures w14:val="standardContextual"/>
            </w:rPr>
          </w:pPr>
          <w:hyperlink w:anchor="_Toc181617096" w:history="1">
            <w:r w:rsidRPr="00E65A1D">
              <w:rPr>
                <w:rStyle w:val="Hyperlink"/>
                <w:noProof/>
              </w:rPr>
              <w:t>6:  Suspected suicide of a patient within an acute psychiatric unit or acute psychiatric ward</w:t>
            </w:r>
            <w:r>
              <w:rPr>
                <w:noProof/>
                <w:webHidden/>
              </w:rPr>
              <w:tab/>
            </w:r>
            <w:r>
              <w:rPr>
                <w:noProof/>
                <w:webHidden/>
              </w:rPr>
              <w:fldChar w:fldCharType="begin"/>
            </w:r>
            <w:r>
              <w:rPr>
                <w:noProof/>
                <w:webHidden/>
              </w:rPr>
              <w:instrText xml:space="preserve"> PAGEREF _Toc181617096 \h </w:instrText>
            </w:r>
            <w:r>
              <w:rPr>
                <w:noProof/>
                <w:webHidden/>
              </w:rPr>
            </w:r>
            <w:r>
              <w:rPr>
                <w:noProof/>
                <w:webHidden/>
              </w:rPr>
              <w:fldChar w:fldCharType="separate"/>
            </w:r>
            <w:r w:rsidR="00FB5A1F">
              <w:rPr>
                <w:noProof/>
                <w:webHidden/>
              </w:rPr>
              <w:t>12</w:t>
            </w:r>
            <w:r>
              <w:rPr>
                <w:noProof/>
                <w:webHidden/>
              </w:rPr>
              <w:fldChar w:fldCharType="end"/>
            </w:r>
          </w:hyperlink>
        </w:p>
        <w:p w14:paraId="19D16F31" w14:textId="76A52FC0" w:rsidR="005F15A0" w:rsidRDefault="005F15A0">
          <w:pPr>
            <w:pStyle w:val="TOC3"/>
            <w:rPr>
              <w:rFonts w:eastAsiaTheme="minorEastAsia" w:cstheme="minorBidi"/>
              <w:iCs w:val="0"/>
              <w:kern w:val="2"/>
              <w:sz w:val="24"/>
              <w:szCs w:val="24"/>
              <w14:ligatures w14:val="standardContextual"/>
            </w:rPr>
          </w:pPr>
          <w:hyperlink w:anchor="_Toc181617097" w:history="1">
            <w:r w:rsidRPr="00E65A1D">
              <w:rPr>
                <w:rStyle w:val="Hyperlink"/>
              </w:rPr>
              <w:t>Sentinel event</w:t>
            </w:r>
            <w:r>
              <w:rPr>
                <w:webHidden/>
              </w:rPr>
              <w:tab/>
            </w:r>
            <w:r>
              <w:rPr>
                <w:webHidden/>
              </w:rPr>
              <w:fldChar w:fldCharType="begin"/>
            </w:r>
            <w:r>
              <w:rPr>
                <w:webHidden/>
              </w:rPr>
              <w:instrText xml:space="preserve"> PAGEREF _Toc181617097 \h </w:instrText>
            </w:r>
            <w:r>
              <w:rPr>
                <w:webHidden/>
              </w:rPr>
            </w:r>
            <w:r>
              <w:rPr>
                <w:webHidden/>
              </w:rPr>
              <w:fldChar w:fldCharType="separate"/>
            </w:r>
            <w:r w:rsidR="00FB5A1F">
              <w:rPr>
                <w:webHidden/>
              </w:rPr>
              <w:t>12</w:t>
            </w:r>
            <w:r>
              <w:rPr>
                <w:webHidden/>
              </w:rPr>
              <w:fldChar w:fldCharType="end"/>
            </w:r>
          </w:hyperlink>
        </w:p>
        <w:p w14:paraId="12A35C7B" w14:textId="5651D938" w:rsidR="005F15A0" w:rsidRDefault="005F15A0">
          <w:pPr>
            <w:pStyle w:val="TOC3"/>
            <w:rPr>
              <w:rFonts w:eastAsiaTheme="minorEastAsia" w:cstheme="minorBidi"/>
              <w:iCs w:val="0"/>
              <w:kern w:val="2"/>
              <w:sz w:val="24"/>
              <w:szCs w:val="24"/>
              <w14:ligatures w14:val="standardContextual"/>
            </w:rPr>
          </w:pPr>
          <w:hyperlink w:anchor="_Toc181617098" w:history="1">
            <w:r w:rsidRPr="00E65A1D">
              <w:rPr>
                <w:rStyle w:val="Hyperlink"/>
              </w:rPr>
              <w:t>Inclusions/exclusions</w:t>
            </w:r>
            <w:r>
              <w:rPr>
                <w:webHidden/>
              </w:rPr>
              <w:tab/>
            </w:r>
            <w:r>
              <w:rPr>
                <w:webHidden/>
              </w:rPr>
              <w:fldChar w:fldCharType="begin"/>
            </w:r>
            <w:r>
              <w:rPr>
                <w:webHidden/>
              </w:rPr>
              <w:instrText xml:space="preserve"> PAGEREF _Toc181617098 \h </w:instrText>
            </w:r>
            <w:r>
              <w:rPr>
                <w:webHidden/>
              </w:rPr>
            </w:r>
            <w:r>
              <w:rPr>
                <w:webHidden/>
              </w:rPr>
              <w:fldChar w:fldCharType="separate"/>
            </w:r>
            <w:r w:rsidR="00FB5A1F">
              <w:rPr>
                <w:webHidden/>
              </w:rPr>
              <w:t>12</w:t>
            </w:r>
            <w:r>
              <w:rPr>
                <w:webHidden/>
              </w:rPr>
              <w:fldChar w:fldCharType="end"/>
            </w:r>
          </w:hyperlink>
        </w:p>
        <w:p w14:paraId="201F9E92" w14:textId="374637E8" w:rsidR="005F15A0" w:rsidRDefault="005F15A0">
          <w:pPr>
            <w:pStyle w:val="TOC3"/>
            <w:rPr>
              <w:rFonts w:eastAsiaTheme="minorEastAsia" w:cstheme="minorBidi"/>
              <w:iCs w:val="0"/>
              <w:kern w:val="2"/>
              <w:sz w:val="24"/>
              <w:szCs w:val="24"/>
              <w14:ligatures w14:val="standardContextual"/>
            </w:rPr>
          </w:pPr>
          <w:hyperlink w:anchor="_Toc181617099" w:history="1">
            <w:r w:rsidRPr="00E65A1D">
              <w:rPr>
                <w:rStyle w:val="Hyperlink"/>
              </w:rPr>
              <w:t>Setting</w:t>
            </w:r>
            <w:r>
              <w:rPr>
                <w:webHidden/>
              </w:rPr>
              <w:tab/>
            </w:r>
            <w:r>
              <w:rPr>
                <w:webHidden/>
              </w:rPr>
              <w:fldChar w:fldCharType="begin"/>
            </w:r>
            <w:r>
              <w:rPr>
                <w:webHidden/>
              </w:rPr>
              <w:instrText xml:space="preserve"> PAGEREF _Toc181617099 \h </w:instrText>
            </w:r>
            <w:r>
              <w:rPr>
                <w:webHidden/>
              </w:rPr>
            </w:r>
            <w:r>
              <w:rPr>
                <w:webHidden/>
              </w:rPr>
              <w:fldChar w:fldCharType="separate"/>
            </w:r>
            <w:r w:rsidR="00FB5A1F">
              <w:rPr>
                <w:webHidden/>
              </w:rPr>
              <w:t>12</w:t>
            </w:r>
            <w:r>
              <w:rPr>
                <w:webHidden/>
              </w:rPr>
              <w:fldChar w:fldCharType="end"/>
            </w:r>
          </w:hyperlink>
        </w:p>
        <w:p w14:paraId="7813103E" w14:textId="50188841" w:rsidR="005F15A0" w:rsidRDefault="005F15A0">
          <w:pPr>
            <w:pStyle w:val="TOC3"/>
            <w:rPr>
              <w:rFonts w:eastAsiaTheme="minorEastAsia" w:cstheme="minorBidi"/>
              <w:iCs w:val="0"/>
              <w:kern w:val="2"/>
              <w:sz w:val="24"/>
              <w:szCs w:val="24"/>
              <w14:ligatures w14:val="standardContextual"/>
            </w:rPr>
          </w:pPr>
          <w:hyperlink w:anchor="_Toc181617100" w:history="1">
            <w:r w:rsidRPr="00E65A1D">
              <w:rPr>
                <w:rStyle w:val="Hyperlink"/>
              </w:rPr>
              <w:t>Definitions</w:t>
            </w:r>
            <w:r>
              <w:rPr>
                <w:webHidden/>
              </w:rPr>
              <w:tab/>
            </w:r>
            <w:r>
              <w:rPr>
                <w:webHidden/>
              </w:rPr>
              <w:fldChar w:fldCharType="begin"/>
            </w:r>
            <w:r>
              <w:rPr>
                <w:webHidden/>
              </w:rPr>
              <w:instrText xml:space="preserve"> PAGEREF _Toc181617100 \h </w:instrText>
            </w:r>
            <w:r>
              <w:rPr>
                <w:webHidden/>
              </w:rPr>
            </w:r>
            <w:r>
              <w:rPr>
                <w:webHidden/>
              </w:rPr>
              <w:fldChar w:fldCharType="separate"/>
            </w:r>
            <w:r w:rsidR="00FB5A1F">
              <w:rPr>
                <w:webHidden/>
              </w:rPr>
              <w:t>12</w:t>
            </w:r>
            <w:r>
              <w:rPr>
                <w:webHidden/>
              </w:rPr>
              <w:fldChar w:fldCharType="end"/>
            </w:r>
          </w:hyperlink>
        </w:p>
        <w:p w14:paraId="0E630620" w14:textId="475BD4CD" w:rsidR="005F15A0" w:rsidRDefault="005F15A0">
          <w:pPr>
            <w:pStyle w:val="TOC3"/>
            <w:rPr>
              <w:rFonts w:eastAsiaTheme="minorEastAsia" w:cstheme="minorBidi"/>
              <w:iCs w:val="0"/>
              <w:kern w:val="2"/>
              <w:sz w:val="24"/>
              <w:szCs w:val="24"/>
              <w14:ligatures w14:val="standardContextual"/>
            </w:rPr>
          </w:pPr>
          <w:hyperlink w:anchor="_Toc181617101" w:history="1">
            <w:r w:rsidRPr="00E65A1D">
              <w:rPr>
                <w:rStyle w:val="Hyperlink"/>
              </w:rPr>
              <w:t>Examples of preventive barriers</w:t>
            </w:r>
            <w:r>
              <w:rPr>
                <w:webHidden/>
              </w:rPr>
              <w:tab/>
            </w:r>
            <w:r>
              <w:rPr>
                <w:webHidden/>
              </w:rPr>
              <w:fldChar w:fldCharType="begin"/>
            </w:r>
            <w:r>
              <w:rPr>
                <w:webHidden/>
              </w:rPr>
              <w:instrText xml:space="preserve"> PAGEREF _Toc181617101 \h </w:instrText>
            </w:r>
            <w:r>
              <w:rPr>
                <w:webHidden/>
              </w:rPr>
            </w:r>
            <w:r>
              <w:rPr>
                <w:webHidden/>
              </w:rPr>
              <w:fldChar w:fldCharType="separate"/>
            </w:r>
            <w:r w:rsidR="00FB5A1F">
              <w:rPr>
                <w:webHidden/>
              </w:rPr>
              <w:t>12</w:t>
            </w:r>
            <w:r>
              <w:rPr>
                <w:webHidden/>
              </w:rPr>
              <w:fldChar w:fldCharType="end"/>
            </w:r>
          </w:hyperlink>
        </w:p>
        <w:p w14:paraId="07EEA6CF" w14:textId="6EB23E31" w:rsidR="005F15A0" w:rsidRDefault="005F15A0">
          <w:pPr>
            <w:pStyle w:val="TOC2"/>
            <w:rPr>
              <w:rFonts w:eastAsiaTheme="minorEastAsia" w:cstheme="minorBidi"/>
              <w:noProof/>
              <w:kern w:val="2"/>
              <w:sz w:val="24"/>
              <w:szCs w:val="24"/>
              <w14:ligatures w14:val="standardContextual"/>
            </w:rPr>
          </w:pPr>
          <w:hyperlink w:anchor="_Toc181617102" w:history="1">
            <w:r w:rsidRPr="00E65A1D">
              <w:rPr>
                <w:rStyle w:val="Hyperlink"/>
                <w:noProof/>
              </w:rPr>
              <w:t>7:  Medication error resulting in serious harm or death</w:t>
            </w:r>
            <w:r>
              <w:rPr>
                <w:noProof/>
                <w:webHidden/>
              </w:rPr>
              <w:tab/>
            </w:r>
            <w:r>
              <w:rPr>
                <w:noProof/>
                <w:webHidden/>
              </w:rPr>
              <w:fldChar w:fldCharType="begin"/>
            </w:r>
            <w:r>
              <w:rPr>
                <w:noProof/>
                <w:webHidden/>
              </w:rPr>
              <w:instrText xml:space="preserve"> PAGEREF _Toc181617102 \h </w:instrText>
            </w:r>
            <w:r>
              <w:rPr>
                <w:noProof/>
                <w:webHidden/>
              </w:rPr>
            </w:r>
            <w:r>
              <w:rPr>
                <w:noProof/>
                <w:webHidden/>
              </w:rPr>
              <w:fldChar w:fldCharType="separate"/>
            </w:r>
            <w:r w:rsidR="00FB5A1F">
              <w:rPr>
                <w:noProof/>
                <w:webHidden/>
              </w:rPr>
              <w:t>14</w:t>
            </w:r>
            <w:r>
              <w:rPr>
                <w:noProof/>
                <w:webHidden/>
              </w:rPr>
              <w:fldChar w:fldCharType="end"/>
            </w:r>
          </w:hyperlink>
        </w:p>
        <w:p w14:paraId="69821AFA" w14:textId="374B5FF1" w:rsidR="005F15A0" w:rsidRDefault="005F15A0">
          <w:pPr>
            <w:pStyle w:val="TOC3"/>
            <w:rPr>
              <w:rFonts w:eastAsiaTheme="minorEastAsia" w:cstheme="minorBidi"/>
              <w:iCs w:val="0"/>
              <w:kern w:val="2"/>
              <w:sz w:val="24"/>
              <w:szCs w:val="24"/>
              <w14:ligatures w14:val="standardContextual"/>
            </w:rPr>
          </w:pPr>
          <w:hyperlink w:anchor="_Toc181617103" w:history="1">
            <w:r w:rsidRPr="00E65A1D">
              <w:rPr>
                <w:rStyle w:val="Hyperlink"/>
              </w:rPr>
              <w:t>Sentinel event</w:t>
            </w:r>
            <w:r>
              <w:rPr>
                <w:webHidden/>
              </w:rPr>
              <w:tab/>
            </w:r>
            <w:r>
              <w:rPr>
                <w:webHidden/>
              </w:rPr>
              <w:fldChar w:fldCharType="begin"/>
            </w:r>
            <w:r>
              <w:rPr>
                <w:webHidden/>
              </w:rPr>
              <w:instrText xml:space="preserve"> PAGEREF _Toc181617103 \h </w:instrText>
            </w:r>
            <w:r>
              <w:rPr>
                <w:webHidden/>
              </w:rPr>
            </w:r>
            <w:r>
              <w:rPr>
                <w:webHidden/>
              </w:rPr>
              <w:fldChar w:fldCharType="separate"/>
            </w:r>
            <w:r w:rsidR="00FB5A1F">
              <w:rPr>
                <w:webHidden/>
              </w:rPr>
              <w:t>14</w:t>
            </w:r>
            <w:r>
              <w:rPr>
                <w:webHidden/>
              </w:rPr>
              <w:fldChar w:fldCharType="end"/>
            </w:r>
          </w:hyperlink>
        </w:p>
        <w:p w14:paraId="3F51E979" w14:textId="2D5C687B" w:rsidR="005F15A0" w:rsidRDefault="005F15A0">
          <w:pPr>
            <w:pStyle w:val="TOC3"/>
            <w:rPr>
              <w:rFonts w:eastAsiaTheme="minorEastAsia" w:cstheme="minorBidi"/>
              <w:iCs w:val="0"/>
              <w:kern w:val="2"/>
              <w:sz w:val="24"/>
              <w:szCs w:val="24"/>
              <w14:ligatures w14:val="standardContextual"/>
            </w:rPr>
          </w:pPr>
          <w:hyperlink w:anchor="_Toc181617104" w:history="1">
            <w:r w:rsidRPr="00E65A1D">
              <w:rPr>
                <w:rStyle w:val="Hyperlink"/>
              </w:rPr>
              <w:t>Inclusions/exclusions</w:t>
            </w:r>
            <w:r>
              <w:rPr>
                <w:webHidden/>
              </w:rPr>
              <w:tab/>
            </w:r>
            <w:r>
              <w:rPr>
                <w:webHidden/>
              </w:rPr>
              <w:fldChar w:fldCharType="begin"/>
            </w:r>
            <w:r>
              <w:rPr>
                <w:webHidden/>
              </w:rPr>
              <w:instrText xml:space="preserve"> PAGEREF _Toc181617104 \h </w:instrText>
            </w:r>
            <w:r>
              <w:rPr>
                <w:webHidden/>
              </w:rPr>
            </w:r>
            <w:r>
              <w:rPr>
                <w:webHidden/>
              </w:rPr>
              <w:fldChar w:fldCharType="separate"/>
            </w:r>
            <w:r w:rsidR="00FB5A1F">
              <w:rPr>
                <w:webHidden/>
              </w:rPr>
              <w:t>14</w:t>
            </w:r>
            <w:r>
              <w:rPr>
                <w:webHidden/>
              </w:rPr>
              <w:fldChar w:fldCharType="end"/>
            </w:r>
          </w:hyperlink>
        </w:p>
        <w:p w14:paraId="44769C13" w14:textId="0647B017" w:rsidR="005F15A0" w:rsidRDefault="005F15A0">
          <w:pPr>
            <w:pStyle w:val="TOC3"/>
            <w:rPr>
              <w:rFonts w:eastAsiaTheme="minorEastAsia" w:cstheme="minorBidi"/>
              <w:iCs w:val="0"/>
              <w:kern w:val="2"/>
              <w:sz w:val="24"/>
              <w:szCs w:val="24"/>
              <w14:ligatures w14:val="standardContextual"/>
            </w:rPr>
          </w:pPr>
          <w:hyperlink w:anchor="_Toc181617105" w:history="1">
            <w:r w:rsidRPr="00E65A1D">
              <w:rPr>
                <w:rStyle w:val="Hyperlink"/>
              </w:rPr>
              <w:t>Setting</w:t>
            </w:r>
            <w:r>
              <w:rPr>
                <w:webHidden/>
              </w:rPr>
              <w:tab/>
            </w:r>
            <w:r>
              <w:rPr>
                <w:webHidden/>
              </w:rPr>
              <w:fldChar w:fldCharType="begin"/>
            </w:r>
            <w:r>
              <w:rPr>
                <w:webHidden/>
              </w:rPr>
              <w:instrText xml:space="preserve"> PAGEREF _Toc181617105 \h </w:instrText>
            </w:r>
            <w:r>
              <w:rPr>
                <w:webHidden/>
              </w:rPr>
            </w:r>
            <w:r>
              <w:rPr>
                <w:webHidden/>
              </w:rPr>
              <w:fldChar w:fldCharType="separate"/>
            </w:r>
            <w:r w:rsidR="00FB5A1F">
              <w:rPr>
                <w:webHidden/>
              </w:rPr>
              <w:t>14</w:t>
            </w:r>
            <w:r>
              <w:rPr>
                <w:webHidden/>
              </w:rPr>
              <w:fldChar w:fldCharType="end"/>
            </w:r>
          </w:hyperlink>
        </w:p>
        <w:p w14:paraId="154E6BEF" w14:textId="02DAE5DF" w:rsidR="005F15A0" w:rsidRDefault="005F15A0">
          <w:pPr>
            <w:pStyle w:val="TOC3"/>
            <w:rPr>
              <w:rFonts w:eastAsiaTheme="minorEastAsia" w:cstheme="minorBidi"/>
              <w:iCs w:val="0"/>
              <w:kern w:val="2"/>
              <w:sz w:val="24"/>
              <w:szCs w:val="24"/>
              <w14:ligatures w14:val="standardContextual"/>
            </w:rPr>
          </w:pPr>
          <w:hyperlink w:anchor="_Toc181617106" w:history="1">
            <w:r w:rsidRPr="00E65A1D">
              <w:rPr>
                <w:rStyle w:val="Hyperlink"/>
              </w:rPr>
              <w:t>Definition</w:t>
            </w:r>
            <w:r>
              <w:rPr>
                <w:webHidden/>
              </w:rPr>
              <w:tab/>
            </w:r>
            <w:r>
              <w:rPr>
                <w:webHidden/>
              </w:rPr>
              <w:fldChar w:fldCharType="begin"/>
            </w:r>
            <w:r>
              <w:rPr>
                <w:webHidden/>
              </w:rPr>
              <w:instrText xml:space="preserve"> PAGEREF _Toc181617106 \h </w:instrText>
            </w:r>
            <w:r>
              <w:rPr>
                <w:webHidden/>
              </w:rPr>
            </w:r>
            <w:r>
              <w:rPr>
                <w:webHidden/>
              </w:rPr>
              <w:fldChar w:fldCharType="separate"/>
            </w:r>
            <w:r w:rsidR="00FB5A1F">
              <w:rPr>
                <w:webHidden/>
              </w:rPr>
              <w:t>14</w:t>
            </w:r>
            <w:r>
              <w:rPr>
                <w:webHidden/>
              </w:rPr>
              <w:fldChar w:fldCharType="end"/>
            </w:r>
          </w:hyperlink>
        </w:p>
        <w:p w14:paraId="7C8F59EE" w14:textId="06B0A6AF" w:rsidR="005F15A0" w:rsidRDefault="005F15A0">
          <w:pPr>
            <w:pStyle w:val="TOC3"/>
            <w:rPr>
              <w:rFonts w:eastAsiaTheme="minorEastAsia" w:cstheme="minorBidi"/>
              <w:iCs w:val="0"/>
              <w:kern w:val="2"/>
              <w:sz w:val="24"/>
              <w:szCs w:val="24"/>
              <w14:ligatures w14:val="standardContextual"/>
            </w:rPr>
          </w:pPr>
          <w:hyperlink w:anchor="_Toc181617107" w:history="1">
            <w:r w:rsidRPr="00E65A1D">
              <w:rPr>
                <w:rStyle w:val="Hyperlink"/>
              </w:rPr>
              <w:t>Examples of preventive barriers</w:t>
            </w:r>
            <w:r>
              <w:rPr>
                <w:webHidden/>
              </w:rPr>
              <w:tab/>
            </w:r>
            <w:r>
              <w:rPr>
                <w:webHidden/>
              </w:rPr>
              <w:fldChar w:fldCharType="begin"/>
            </w:r>
            <w:r>
              <w:rPr>
                <w:webHidden/>
              </w:rPr>
              <w:instrText xml:space="preserve"> PAGEREF _Toc181617107 \h </w:instrText>
            </w:r>
            <w:r>
              <w:rPr>
                <w:webHidden/>
              </w:rPr>
            </w:r>
            <w:r>
              <w:rPr>
                <w:webHidden/>
              </w:rPr>
              <w:fldChar w:fldCharType="separate"/>
            </w:r>
            <w:r w:rsidR="00FB5A1F">
              <w:rPr>
                <w:webHidden/>
              </w:rPr>
              <w:t>14</w:t>
            </w:r>
            <w:r>
              <w:rPr>
                <w:webHidden/>
              </w:rPr>
              <w:fldChar w:fldCharType="end"/>
            </w:r>
          </w:hyperlink>
        </w:p>
        <w:p w14:paraId="227A02D0" w14:textId="4502EEFF" w:rsidR="005F15A0" w:rsidRDefault="005F15A0">
          <w:pPr>
            <w:pStyle w:val="TOC2"/>
            <w:rPr>
              <w:rFonts w:eastAsiaTheme="minorEastAsia" w:cstheme="minorBidi"/>
              <w:noProof/>
              <w:kern w:val="2"/>
              <w:sz w:val="24"/>
              <w:szCs w:val="24"/>
              <w14:ligatures w14:val="standardContextual"/>
            </w:rPr>
          </w:pPr>
          <w:hyperlink w:anchor="_Toc181617108" w:history="1">
            <w:r w:rsidRPr="00E65A1D">
              <w:rPr>
                <w:rStyle w:val="Hyperlink"/>
                <w:noProof/>
              </w:rPr>
              <w:t>8:  Use of physical or mechanical restraint resulting in serious harm or death</w:t>
            </w:r>
            <w:r>
              <w:rPr>
                <w:noProof/>
                <w:webHidden/>
              </w:rPr>
              <w:tab/>
            </w:r>
            <w:r>
              <w:rPr>
                <w:noProof/>
                <w:webHidden/>
              </w:rPr>
              <w:fldChar w:fldCharType="begin"/>
            </w:r>
            <w:r>
              <w:rPr>
                <w:noProof/>
                <w:webHidden/>
              </w:rPr>
              <w:instrText xml:space="preserve"> PAGEREF _Toc181617108 \h </w:instrText>
            </w:r>
            <w:r>
              <w:rPr>
                <w:noProof/>
                <w:webHidden/>
              </w:rPr>
            </w:r>
            <w:r>
              <w:rPr>
                <w:noProof/>
                <w:webHidden/>
              </w:rPr>
              <w:fldChar w:fldCharType="separate"/>
            </w:r>
            <w:r w:rsidR="00FB5A1F">
              <w:rPr>
                <w:noProof/>
                <w:webHidden/>
              </w:rPr>
              <w:t>15</w:t>
            </w:r>
            <w:r>
              <w:rPr>
                <w:noProof/>
                <w:webHidden/>
              </w:rPr>
              <w:fldChar w:fldCharType="end"/>
            </w:r>
          </w:hyperlink>
        </w:p>
        <w:p w14:paraId="3DCAA913" w14:textId="7DFD31BF" w:rsidR="005F15A0" w:rsidRDefault="005F15A0">
          <w:pPr>
            <w:pStyle w:val="TOC3"/>
            <w:rPr>
              <w:rFonts w:eastAsiaTheme="minorEastAsia" w:cstheme="minorBidi"/>
              <w:iCs w:val="0"/>
              <w:kern w:val="2"/>
              <w:sz w:val="24"/>
              <w:szCs w:val="24"/>
              <w14:ligatures w14:val="standardContextual"/>
            </w:rPr>
          </w:pPr>
          <w:hyperlink w:anchor="_Toc181617109" w:history="1">
            <w:r w:rsidRPr="00E65A1D">
              <w:rPr>
                <w:rStyle w:val="Hyperlink"/>
              </w:rPr>
              <w:t>Sentinel event</w:t>
            </w:r>
            <w:r>
              <w:rPr>
                <w:webHidden/>
              </w:rPr>
              <w:tab/>
            </w:r>
            <w:r>
              <w:rPr>
                <w:webHidden/>
              </w:rPr>
              <w:fldChar w:fldCharType="begin"/>
            </w:r>
            <w:r>
              <w:rPr>
                <w:webHidden/>
              </w:rPr>
              <w:instrText xml:space="preserve"> PAGEREF _Toc181617109 \h </w:instrText>
            </w:r>
            <w:r>
              <w:rPr>
                <w:webHidden/>
              </w:rPr>
            </w:r>
            <w:r>
              <w:rPr>
                <w:webHidden/>
              </w:rPr>
              <w:fldChar w:fldCharType="separate"/>
            </w:r>
            <w:r w:rsidR="00FB5A1F">
              <w:rPr>
                <w:webHidden/>
              </w:rPr>
              <w:t>15</w:t>
            </w:r>
            <w:r>
              <w:rPr>
                <w:webHidden/>
              </w:rPr>
              <w:fldChar w:fldCharType="end"/>
            </w:r>
          </w:hyperlink>
        </w:p>
        <w:p w14:paraId="22C50AA2" w14:textId="0C060EF0" w:rsidR="005F15A0" w:rsidRDefault="005F15A0">
          <w:pPr>
            <w:pStyle w:val="TOC3"/>
            <w:rPr>
              <w:rFonts w:eastAsiaTheme="minorEastAsia" w:cstheme="minorBidi"/>
              <w:iCs w:val="0"/>
              <w:kern w:val="2"/>
              <w:sz w:val="24"/>
              <w:szCs w:val="24"/>
              <w14:ligatures w14:val="standardContextual"/>
            </w:rPr>
          </w:pPr>
          <w:hyperlink w:anchor="_Toc181617110" w:history="1">
            <w:r w:rsidRPr="00E65A1D">
              <w:rPr>
                <w:rStyle w:val="Hyperlink"/>
              </w:rPr>
              <w:t>Inclusions/exclusions</w:t>
            </w:r>
            <w:r>
              <w:rPr>
                <w:webHidden/>
              </w:rPr>
              <w:tab/>
            </w:r>
            <w:r>
              <w:rPr>
                <w:webHidden/>
              </w:rPr>
              <w:fldChar w:fldCharType="begin"/>
            </w:r>
            <w:r>
              <w:rPr>
                <w:webHidden/>
              </w:rPr>
              <w:instrText xml:space="preserve"> PAGEREF _Toc181617110 \h </w:instrText>
            </w:r>
            <w:r>
              <w:rPr>
                <w:webHidden/>
              </w:rPr>
            </w:r>
            <w:r>
              <w:rPr>
                <w:webHidden/>
              </w:rPr>
              <w:fldChar w:fldCharType="separate"/>
            </w:r>
            <w:r w:rsidR="00FB5A1F">
              <w:rPr>
                <w:webHidden/>
              </w:rPr>
              <w:t>15</w:t>
            </w:r>
            <w:r>
              <w:rPr>
                <w:webHidden/>
              </w:rPr>
              <w:fldChar w:fldCharType="end"/>
            </w:r>
          </w:hyperlink>
        </w:p>
        <w:p w14:paraId="7C359C53" w14:textId="104F499F" w:rsidR="005F15A0" w:rsidRDefault="005F15A0">
          <w:pPr>
            <w:pStyle w:val="TOC3"/>
            <w:rPr>
              <w:rFonts w:eastAsiaTheme="minorEastAsia" w:cstheme="minorBidi"/>
              <w:iCs w:val="0"/>
              <w:kern w:val="2"/>
              <w:sz w:val="24"/>
              <w:szCs w:val="24"/>
              <w14:ligatures w14:val="standardContextual"/>
            </w:rPr>
          </w:pPr>
          <w:hyperlink w:anchor="_Toc181617111" w:history="1">
            <w:r w:rsidRPr="00E65A1D">
              <w:rPr>
                <w:rStyle w:val="Hyperlink"/>
              </w:rPr>
              <w:t>Setting</w:t>
            </w:r>
            <w:r>
              <w:rPr>
                <w:webHidden/>
              </w:rPr>
              <w:tab/>
            </w:r>
            <w:r>
              <w:rPr>
                <w:webHidden/>
              </w:rPr>
              <w:fldChar w:fldCharType="begin"/>
            </w:r>
            <w:r>
              <w:rPr>
                <w:webHidden/>
              </w:rPr>
              <w:instrText xml:space="preserve"> PAGEREF _Toc181617111 \h </w:instrText>
            </w:r>
            <w:r>
              <w:rPr>
                <w:webHidden/>
              </w:rPr>
            </w:r>
            <w:r>
              <w:rPr>
                <w:webHidden/>
              </w:rPr>
              <w:fldChar w:fldCharType="separate"/>
            </w:r>
            <w:r w:rsidR="00FB5A1F">
              <w:rPr>
                <w:webHidden/>
              </w:rPr>
              <w:t>15</w:t>
            </w:r>
            <w:r>
              <w:rPr>
                <w:webHidden/>
              </w:rPr>
              <w:fldChar w:fldCharType="end"/>
            </w:r>
          </w:hyperlink>
        </w:p>
        <w:p w14:paraId="2FBB1430" w14:textId="345331C3" w:rsidR="005F15A0" w:rsidRDefault="005F15A0">
          <w:pPr>
            <w:pStyle w:val="TOC3"/>
            <w:rPr>
              <w:rFonts w:eastAsiaTheme="minorEastAsia" w:cstheme="minorBidi"/>
              <w:iCs w:val="0"/>
              <w:kern w:val="2"/>
              <w:sz w:val="24"/>
              <w:szCs w:val="24"/>
              <w14:ligatures w14:val="standardContextual"/>
            </w:rPr>
          </w:pPr>
          <w:hyperlink w:anchor="_Toc181617112" w:history="1">
            <w:r w:rsidRPr="00E65A1D">
              <w:rPr>
                <w:rStyle w:val="Hyperlink"/>
              </w:rPr>
              <w:t>Definitions</w:t>
            </w:r>
            <w:r>
              <w:rPr>
                <w:webHidden/>
              </w:rPr>
              <w:tab/>
            </w:r>
            <w:r>
              <w:rPr>
                <w:webHidden/>
              </w:rPr>
              <w:fldChar w:fldCharType="begin"/>
            </w:r>
            <w:r>
              <w:rPr>
                <w:webHidden/>
              </w:rPr>
              <w:instrText xml:space="preserve"> PAGEREF _Toc181617112 \h </w:instrText>
            </w:r>
            <w:r>
              <w:rPr>
                <w:webHidden/>
              </w:rPr>
            </w:r>
            <w:r>
              <w:rPr>
                <w:webHidden/>
              </w:rPr>
              <w:fldChar w:fldCharType="separate"/>
            </w:r>
            <w:r w:rsidR="00FB5A1F">
              <w:rPr>
                <w:webHidden/>
              </w:rPr>
              <w:t>15</w:t>
            </w:r>
            <w:r>
              <w:rPr>
                <w:webHidden/>
              </w:rPr>
              <w:fldChar w:fldCharType="end"/>
            </w:r>
          </w:hyperlink>
        </w:p>
        <w:p w14:paraId="37024EFA" w14:textId="43D9D314" w:rsidR="005F15A0" w:rsidRDefault="005F15A0">
          <w:pPr>
            <w:pStyle w:val="TOC3"/>
            <w:rPr>
              <w:rFonts w:eastAsiaTheme="minorEastAsia" w:cstheme="minorBidi"/>
              <w:iCs w:val="0"/>
              <w:kern w:val="2"/>
              <w:sz w:val="24"/>
              <w:szCs w:val="24"/>
              <w14:ligatures w14:val="standardContextual"/>
            </w:rPr>
          </w:pPr>
          <w:hyperlink w:anchor="_Toc181617113" w:history="1">
            <w:r w:rsidRPr="00E65A1D">
              <w:rPr>
                <w:rStyle w:val="Hyperlink"/>
              </w:rPr>
              <w:t>Explanatory notes</w:t>
            </w:r>
            <w:r>
              <w:rPr>
                <w:webHidden/>
              </w:rPr>
              <w:tab/>
            </w:r>
            <w:r>
              <w:rPr>
                <w:webHidden/>
              </w:rPr>
              <w:fldChar w:fldCharType="begin"/>
            </w:r>
            <w:r>
              <w:rPr>
                <w:webHidden/>
              </w:rPr>
              <w:instrText xml:space="preserve"> PAGEREF _Toc181617113 \h </w:instrText>
            </w:r>
            <w:r>
              <w:rPr>
                <w:webHidden/>
              </w:rPr>
            </w:r>
            <w:r>
              <w:rPr>
                <w:webHidden/>
              </w:rPr>
              <w:fldChar w:fldCharType="separate"/>
            </w:r>
            <w:r w:rsidR="00FB5A1F">
              <w:rPr>
                <w:webHidden/>
              </w:rPr>
              <w:t>15</w:t>
            </w:r>
            <w:r>
              <w:rPr>
                <w:webHidden/>
              </w:rPr>
              <w:fldChar w:fldCharType="end"/>
            </w:r>
          </w:hyperlink>
        </w:p>
        <w:p w14:paraId="6E9CA8FB" w14:textId="4D12E646" w:rsidR="005F15A0" w:rsidRDefault="005F15A0">
          <w:pPr>
            <w:pStyle w:val="TOC3"/>
            <w:rPr>
              <w:rFonts w:eastAsiaTheme="minorEastAsia" w:cstheme="minorBidi"/>
              <w:iCs w:val="0"/>
              <w:kern w:val="2"/>
              <w:sz w:val="24"/>
              <w:szCs w:val="24"/>
              <w14:ligatures w14:val="standardContextual"/>
            </w:rPr>
          </w:pPr>
          <w:hyperlink w:anchor="_Toc181617114" w:history="1">
            <w:r w:rsidRPr="00E65A1D">
              <w:rPr>
                <w:rStyle w:val="Hyperlink"/>
              </w:rPr>
              <w:t>Examples of preventive barriers</w:t>
            </w:r>
            <w:r>
              <w:rPr>
                <w:webHidden/>
              </w:rPr>
              <w:tab/>
            </w:r>
            <w:r>
              <w:rPr>
                <w:webHidden/>
              </w:rPr>
              <w:fldChar w:fldCharType="begin"/>
            </w:r>
            <w:r>
              <w:rPr>
                <w:webHidden/>
              </w:rPr>
              <w:instrText xml:space="preserve"> PAGEREF _Toc181617114 \h </w:instrText>
            </w:r>
            <w:r>
              <w:rPr>
                <w:webHidden/>
              </w:rPr>
            </w:r>
            <w:r>
              <w:rPr>
                <w:webHidden/>
              </w:rPr>
              <w:fldChar w:fldCharType="separate"/>
            </w:r>
            <w:r w:rsidR="00FB5A1F">
              <w:rPr>
                <w:webHidden/>
              </w:rPr>
              <w:t>15</w:t>
            </w:r>
            <w:r>
              <w:rPr>
                <w:webHidden/>
              </w:rPr>
              <w:fldChar w:fldCharType="end"/>
            </w:r>
          </w:hyperlink>
        </w:p>
        <w:p w14:paraId="0B0B8F10" w14:textId="7CCF8656" w:rsidR="005F15A0" w:rsidRDefault="005F15A0">
          <w:pPr>
            <w:pStyle w:val="TOC2"/>
            <w:rPr>
              <w:rFonts w:eastAsiaTheme="minorEastAsia" w:cstheme="minorBidi"/>
              <w:noProof/>
              <w:kern w:val="2"/>
              <w:sz w:val="24"/>
              <w:szCs w:val="24"/>
              <w14:ligatures w14:val="standardContextual"/>
            </w:rPr>
          </w:pPr>
          <w:hyperlink w:anchor="_Toc181617115" w:history="1">
            <w:r w:rsidRPr="00E65A1D">
              <w:rPr>
                <w:rStyle w:val="Hyperlink"/>
                <w:noProof/>
              </w:rPr>
              <w:t>9:  Discharge or release of a child to an unauthorised person</w:t>
            </w:r>
            <w:r>
              <w:rPr>
                <w:noProof/>
                <w:webHidden/>
              </w:rPr>
              <w:tab/>
            </w:r>
            <w:r>
              <w:rPr>
                <w:noProof/>
                <w:webHidden/>
              </w:rPr>
              <w:fldChar w:fldCharType="begin"/>
            </w:r>
            <w:r>
              <w:rPr>
                <w:noProof/>
                <w:webHidden/>
              </w:rPr>
              <w:instrText xml:space="preserve"> PAGEREF _Toc181617115 \h </w:instrText>
            </w:r>
            <w:r>
              <w:rPr>
                <w:noProof/>
                <w:webHidden/>
              </w:rPr>
            </w:r>
            <w:r>
              <w:rPr>
                <w:noProof/>
                <w:webHidden/>
              </w:rPr>
              <w:fldChar w:fldCharType="separate"/>
            </w:r>
            <w:r w:rsidR="00FB5A1F">
              <w:rPr>
                <w:noProof/>
                <w:webHidden/>
              </w:rPr>
              <w:t>16</w:t>
            </w:r>
            <w:r>
              <w:rPr>
                <w:noProof/>
                <w:webHidden/>
              </w:rPr>
              <w:fldChar w:fldCharType="end"/>
            </w:r>
          </w:hyperlink>
        </w:p>
        <w:p w14:paraId="557BFF40" w14:textId="795D9C6F" w:rsidR="005F15A0" w:rsidRDefault="005F15A0">
          <w:pPr>
            <w:pStyle w:val="TOC3"/>
            <w:rPr>
              <w:rFonts w:eastAsiaTheme="minorEastAsia" w:cstheme="minorBidi"/>
              <w:iCs w:val="0"/>
              <w:kern w:val="2"/>
              <w:sz w:val="24"/>
              <w:szCs w:val="24"/>
              <w14:ligatures w14:val="standardContextual"/>
            </w:rPr>
          </w:pPr>
          <w:hyperlink w:anchor="_Toc181617116" w:history="1">
            <w:r w:rsidRPr="00E65A1D">
              <w:rPr>
                <w:rStyle w:val="Hyperlink"/>
              </w:rPr>
              <w:t>Sentinel event</w:t>
            </w:r>
            <w:r>
              <w:rPr>
                <w:webHidden/>
              </w:rPr>
              <w:tab/>
            </w:r>
            <w:r>
              <w:rPr>
                <w:webHidden/>
              </w:rPr>
              <w:fldChar w:fldCharType="begin"/>
            </w:r>
            <w:r>
              <w:rPr>
                <w:webHidden/>
              </w:rPr>
              <w:instrText xml:space="preserve"> PAGEREF _Toc181617116 \h </w:instrText>
            </w:r>
            <w:r>
              <w:rPr>
                <w:webHidden/>
              </w:rPr>
            </w:r>
            <w:r>
              <w:rPr>
                <w:webHidden/>
              </w:rPr>
              <w:fldChar w:fldCharType="separate"/>
            </w:r>
            <w:r w:rsidR="00FB5A1F">
              <w:rPr>
                <w:webHidden/>
              </w:rPr>
              <w:t>16</w:t>
            </w:r>
            <w:r>
              <w:rPr>
                <w:webHidden/>
              </w:rPr>
              <w:fldChar w:fldCharType="end"/>
            </w:r>
          </w:hyperlink>
        </w:p>
        <w:p w14:paraId="10FC1B10" w14:textId="25DE7FE4" w:rsidR="005F15A0" w:rsidRDefault="005F15A0">
          <w:pPr>
            <w:pStyle w:val="TOC3"/>
            <w:rPr>
              <w:rFonts w:eastAsiaTheme="minorEastAsia" w:cstheme="minorBidi"/>
              <w:iCs w:val="0"/>
              <w:kern w:val="2"/>
              <w:sz w:val="24"/>
              <w:szCs w:val="24"/>
              <w14:ligatures w14:val="standardContextual"/>
            </w:rPr>
          </w:pPr>
          <w:hyperlink w:anchor="_Toc181617117" w:history="1">
            <w:r w:rsidRPr="00E65A1D">
              <w:rPr>
                <w:rStyle w:val="Hyperlink"/>
              </w:rPr>
              <w:t>Inclusions/exclusions</w:t>
            </w:r>
            <w:r>
              <w:rPr>
                <w:webHidden/>
              </w:rPr>
              <w:tab/>
            </w:r>
            <w:r>
              <w:rPr>
                <w:webHidden/>
              </w:rPr>
              <w:fldChar w:fldCharType="begin"/>
            </w:r>
            <w:r>
              <w:rPr>
                <w:webHidden/>
              </w:rPr>
              <w:instrText xml:space="preserve"> PAGEREF _Toc181617117 \h </w:instrText>
            </w:r>
            <w:r>
              <w:rPr>
                <w:webHidden/>
              </w:rPr>
            </w:r>
            <w:r>
              <w:rPr>
                <w:webHidden/>
              </w:rPr>
              <w:fldChar w:fldCharType="separate"/>
            </w:r>
            <w:r w:rsidR="00FB5A1F">
              <w:rPr>
                <w:webHidden/>
              </w:rPr>
              <w:t>16</w:t>
            </w:r>
            <w:r>
              <w:rPr>
                <w:webHidden/>
              </w:rPr>
              <w:fldChar w:fldCharType="end"/>
            </w:r>
          </w:hyperlink>
        </w:p>
        <w:p w14:paraId="32A6DC00" w14:textId="359844AF" w:rsidR="005F15A0" w:rsidRDefault="005F15A0">
          <w:pPr>
            <w:pStyle w:val="TOC3"/>
            <w:rPr>
              <w:rFonts w:eastAsiaTheme="minorEastAsia" w:cstheme="minorBidi"/>
              <w:iCs w:val="0"/>
              <w:kern w:val="2"/>
              <w:sz w:val="24"/>
              <w:szCs w:val="24"/>
              <w14:ligatures w14:val="standardContextual"/>
            </w:rPr>
          </w:pPr>
          <w:hyperlink w:anchor="_Toc181617118" w:history="1">
            <w:r w:rsidRPr="00E65A1D">
              <w:rPr>
                <w:rStyle w:val="Hyperlink"/>
              </w:rPr>
              <w:t>Setting</w:t>
            </w:r>
            <w:r>
              <w:rPr>
                <w:webHidden/>
              </w:rPr>
              <w:tab/>
            </w:r>
            <w:r>
              <w:rPr>
                <w:webHidden/>
              </w:rPr>
              <w:fldChar w:fldCharType="begin"/>
            </w:r>
            <w:r>
              <w:rPr>
                <w:webHidden/>
              </w:rPr>
              <w:instrText xml:space="preserve"> PAGEREF _Toc181617118 \h </w:instrText>
            </w:r>
            <w:r>
              <w:rPr>
                <w:webHidden/>
              </w:rPr>
            </w:r>
            <w:r>
              <w:rPr>
                <w:webHidden/>
              </w:rPr>
              <w:fldChar w:fldCharType="separate"/>
            </w:r>
            <w:r w:rsidR="00FB5A1F">
              <w:rPr>
                <w:webHidden/>
              </w:rPr>
              <w:t>16</w:t>
            </w:r>
            <w:r>
              <w:rPr>
                <w:webHidden/>
              </w:rPr>
              <w:fldChar w:fldCharType="end"/>
            </w:r>
          </w:hyperlink>
        </w:p>
        <w:p w14:paraId="4652C5C4" w14:textId="7D3E7D91" w:rsidR="005F15A0" w:rsidRDefault="005F15A0">
          <w:pPr>
            <w:pStyle w:val="TOC3"/>
            <w:rPr>
              <w:rFonts w:eastAsiaTheme="minorEastAsia" w:cstheme="minorBidi"/>
              <w:iCs w:val="0"/>
              <w:kern w:val="2"/>
              <w:sz w:val="24"/>
              <w:szCs w:val="24"/>
              <w14:ligatures w14:val="standardContextual"/>
            </w:rPr>
          </w:pPr>
          <w:hyperlink w:anchor="_Toc181617119" w:history="1">
            <w:r w:rsidRPr="00E65A1D">
              <w:rPr>
                <w:rStyle w:val="Hyperlink"/>
              </w:rPr>
              <w:t>Definitions</w:t>
            </w:r>
            <w:r>
              <w:rPr>
                <w:webHidden/>
              </w:rPr>
              <w:tab/>
            </w:r>
            <w:r>
              <w:rPr>
                <w:webHidden/>
              </w:rPr>
              <w:fldChar w:fldCharType="begin"/>
            </w:r>
            <w:r>
              <w:rPr>
                <w:webHidden/>
              </w:rPr>
              <w:instrText xml:space="preserve"> PAGEREF _Toc181617119 \h </w:instrText>
            </w:r>
            <w:r>
              <w:rPr>
                <w:webHidden/>
              </w:rPr>
            </w:r>
            <w:r>
              <w:rPr>
                <w:webHidden/>
              </w:rPr>
              <w:fldChar w:fldCharType="separate"/>
            </w:r>
            <w:r w:rsidR="00FB5A1F">
              <w:rPr>
                <w:webHidden/>
              </w:rPr>
              <w:t>16</w:t>
            </w:r>
            <w:r>
              <w:rPr>
                <w:webHidden/>
              </w:rPr>
              <w:fldChar w:fldCharType="end"/>
            </w:r>
          </w:hyperlink>
        </w:p>
        <w:p w14:paraId="7079BAE7" w14:textId="5B17512B" w:rsidR="005F15A0" w:rsidRDefault="005F15A0">
          <w:pPr>
            <w:pStyle w:val="TOC3"/>
            <w:rPr>
              <w:rFonts w:eastAsiaTheme="minorEastAsia" w:cstheme="minorBidi"/>
              <w:iCs w:val="0"/>
              <w:kern w:val="2"/>
              <w:sz w:val="24"/>
              <w:szCs w:val="24"/>
              <w14:ligatures w14:val="standardContextual"/>
            </w:rPr>
          </w:pPr>
          <w:hyperlink w:anchor="_Toc181617120" w:history="1">
            <w:r w:rsidRPr="00E65A1D">
              <w:rPr>
                <w:rStyle w:val="Hyperlink"/>
              </w:rPr>
              <w:t>Example of preventive barriers</w:t>
            </w:r>
            <w:r>
              <w:rPr>
                <w:webHidden/>
              </w:rPr>
              <w:tab/>
            </w:r>
            <w:r>
              <w:rPr>
                <w:webHidden/>
              </w:rPr>
              <w:fldChar w:fldCharType="begin"/>
            </w:r>
            <w:r>
              <w:rPr>
                <w:webHidden/>
              </w:rPr>
              <w:instrText xml:space="preserve"> PAGEREF _Toc181617120 \h </w:instrText>
            </w:r>
            <w:r>
              <w:rPr>
                <w:webHidden/>
              </w:rPr>
            </w:r>
            <w:r>
              <w:rPr>
                <w:webHidden/>
              </w:rPr>
              <w:fldChar w:fldCharType="separate"/>
            </w:r>
            <w:r w:rsidR="00FB5A1F">
              <w:rPr>
                <w:webHidden/>
              </w:rPr>
              <w:t>16</w:t>
            </w:r>
            <w:r>
              <w:rPr>
                <w:webHidden/>
              </w:rPr>
              <w:fldChar w:fldCharType="end"/>
            </w:r>
          </w:hyperlink>
        </w:p>
        <w:p w14:paraId="090433CC" w14:textId="7CA2D2E7" w:rsidR="005F15A0" w:rsidRDefault="005F15A0">
          <w:pPr>
            <w:pStyle w:val="TOC2"/>
            <w:rPr>
              <w:rFonts w:eastAsiaTheme="minorEastAsia" w:cstheme="minorBidi"/>
              <w:noProof/>
              <w:kern w:val="2"/>
              <w:sz w:val="24"/>
              <w:szCs w:val="24"/>
              <w14:ligatures w14:val="standardContextual"/>
            </w:rPr>
          </w:pPr>
          <w:hyperlink w:anchor="_Toc181617121" w:history="1">
            <w:r w:rsidRPr="00E65A1D">
              <w:rPr>
                <w:rStyle w:val="Hyperlink"/>
                <w:noProof/>
              </w:rPr>
              <w:t>10:  Use of an incorrectly positioned oro- or naso-gastric tube resulting in serious harm or death</w:t>
            </w:r>
            <w:r>
              <w:rPr>
                <w:noProof/>
                <w:webHidden/>
              </w:rPr>
              <w:tab/>
            </w:r>
            <w:r>
              <w:rPr>
                <w:noProof/>
                <w:webHidden/>
              </w:rPr>
              <w:fldChar w:fldCharType="begin"/>
            </w:r>
            <w:r>
              <w:rPr>
                <w:noProof/>
                <w:webHidden/>
              </w:rPr>
              <w:instrText xml:space="preserve"> PAGEREF _Toc181617121 \h </w:instrText>
            </w:r>
            <w:r>
              <w:rPr>
                <w:noProof/>
                <w:webHidden/>
              </w:rPr>
            </w:r>
            <w:r>
              <w:rPr>
                <w:noProof/>
                <w:webHidden/>
              </w:rPr>
              <w:fldChar w:fldCharType="separate"/>
            </w:r>
            <w:r w:rsidR="00FB5A1F">
              <w:rPr>
                <w:noProof/>
                <w:webHidden/>
              </w:rPr>
              <w:t>17</w:t>
            </w:r>
            <w:r>
              <w:rPr>
                <w:noProof/>
                <w:webHidden/>
              </w:rPr>
              <w:fldChar w:fldCharType="end"/>
            </w:r>
          </w:hyperlink>
        </w:p>
        <w:p w14:paraId="0143C09A" w14:textId="4A2330E9" w:rsidR="005F15A0" w:rsidRDefault="005F15A0">
          <w:pPr>
            <w:pStyle w:val="TOC3"/>
            <w:rPr>
              <w:rFonts w:eastAsiaTheme="minorEastAsia" w:cstheme="minorBidi"/>
              <w:iCs w:val="0"/>
              <w:kern w:val="2"/>
              <w:sz w:val="24"/>
              <w:szCs w:val="24"/>
              <w14:ligatures w14:val="standardContextual"/>
            </w:rPr>
          </w:pPr>
          <w:hyperlink w:anchor="_Toc181617122" w:history="1">
            <w:r w:rsidRPr="00E65A1D">
              <w:rPr>
                <w:rStyle w:val="Hyperlink"/>
              </w:rPr>
              <w:t>Sentinel event</w:t>
            </w:r>
            <w:r>
              <w:rPr>
                <w:webHidden/>
              </w:rPr>
              <w:tab/>
            </w:r>
            <w:r>
              <w:rPr>
                <w:webHidden/>
              </w:rPr>
              <w:fldChar w:fldCharType="begin"/>
            </w:r>
            <w:r>
              <w:rPr>
                <w:webHidden/>
              </w:rPr>
              <w:instrText xml:space="preserve"> PAGEREF _Toc181617122 \h </w:instrText>
            </w:r>
            <w:r>
              <w:rPr>
                <w:webHidden/>
              </w:rPr>
            </w:r>
            <w:r>
              <w:rPr>
                <w:webHidden/>
              </w:rPr>
              <w:fldChar w:fldCharType="separate"/>
            </w:r>
            <w:r w:rsidR="00FB5A1F">
              <w:rPr>
                <w:webHidden/>
              </w:rPr>
              <w:t>17</w:t>
            </w:r>
            <w:r>
              <w:rPr>
                <w:webHidden/>
              </w:rPr>
              <w:fldChar w:fldCharType="end"/>
            </w:r>
          </w:hyperlink>
        </w:p>
        <w:p w14:paraId="1F407CDC" w14:textId="122C7006" w:rsidR="005F15A0" w:rsidRDefault="005F15A0">
          <w:pPr>
            <w:pStyle w:val="TOC3"/>
            <w:rPr>
              <w:rFonts w:eastAsiaTheme="minorEastAsia" w:cstheme="minorBidi"/>
              <w:iCs w:val="0"/>
              <w:kern w:val="2"/>
              <w:sz w:val="24"/>
              <w:szCs w:val="24"/>
              <w14:ligatures w14:val="standardContextual"/>
            </w:rPr>
          </w:pPr>
          <w:hyperlink w:anchor="_Toc181617123" w:history="1">
            <w:r w:rsidRPr="00E65A1D">
              <w:rPr>
                <w:rStyle w:val="Hyperlink"/>
              </w:rPr>
              <w:t>Inclusions/exclusions</w:t>
            </w:r>
            <w:r>
              <w:rPr>
                <w:webHidden/>
              </w:rPr>
              <w:tab/>
            </w:r>
            <w:r>
              <w:rPr>
                <w:webHidden/>
              </w:rPr>
              <w:fldChar w:fldCharType="begin"/>
            </w:r>
            <w:r>
              <w:rPr>
                <w:webHidden/>
              </w:rPr>
              <w:instrText xml:space="preserve"> PAGEREF _Toc181617123 \h </w:instrText>
            </w:r>
            <w:r>
              <w:rPr>
                <w:webHidden/>
              </w:rPr>
            </w:r>
            <w:r>
              <w:rPr>
                <w:webHidden/>
              </w:rPr>
              <w:fldChar w:fldCharType="separate"/>
            </w:r>
            <w:r w:rsidR="00FB5A1F">
              <w:rPr>
                <w:webHidden/>
              </w:rPr>
              <w:t>17</w:t>
            </w:r>
            <w:r>
              <w:rPr>
                <w:webHidden/>
              </w:rPr>
              <w:fldChar w:fldCharType="end"/>
            </w:r>
          </w:hyperlink>
        </w:p>
        <w:p w14:paraId="0802BE25" w14:textId="19A249B6" w:rsidR="005F15A0" w:rsidRDefault="005F15A0">
          <w:pPr>
            <w:pStyle w:val="TOC3"/>
            <w:rPr>
              <w:rFonts w:eastAsiaTheme="minorEastAsia" w:cstheme="minorBidi"/>
              <w:iCs w:val="0"/>
              <w:kern w:val="2"/>
              <w:sz w:val="24"/>
              <w:szCs w:val="24"/>
              <w14:ligatures w14:val="standardContextual"/>
            </w:rPr>
          </w:pPr>
          <w:hyperlink w:anchor="_Toc181617124" w:history="1">
            <w:r w:rsidRPr="00E65A1D">
              <w:rPr>
                <w:rStyle w:val="Hyperlink"/>
              </w:rPr>
              <w:t>Setting</w:t>
            </w:r>
            <w:r>
              <w:rPr>
                <w:webHidden/>
              </w:rPr>
              <w:tab/>
            </w:r>
            <w:r>
              <w:rPr>
                <w:webHidden/>
              </w:rPr>
              <w:fldChar w:fldCharType="begin"/>
            </w:r>
            <w:r>
              <w:rPr>
                <w:webHidden/>
              </w:rPr>
              <w:instrText xml:space="preserve"> PAGEREF _Toc181617124 \h </w:instrText>
            </w:r>
            <w:r>
              <w:rPr>
                <w:webHidden/>
              </w:rPr>
            </w:r>
            <w:r>
              <w:rPr>
                <w:webHidden/>
              </w:rPr>
              <w:fldChar w:fldCharType="separate"/>
            </w:r>
            <w:r w:rsidR="00FB5A1F">
              <w:rPr>
                <w:webHidden/>
              </w:rPr>
              <w:t>17</w:t>
            </w:r>
            <w:r>
              <w:rPr>
                <w:webHidden/>
              </w:rPr>
              <w:fldChar w:fldCharType="end"/>
            </w:r>
          </w:hyperlink>
        </w:p>
        <w:p w14:paraId="6C455596" w14:textId="5136E4A3" w:rsidR="005F15A0" w:rsidRDefault="005F15A0">
          <w:pPr>
            <w:pStyle w:val="TOC3"/>
            <w:rPr>
              <w:rFonts w:eastAsiaTheme="minorEastAsia" w:cstheme="minorBidi"/>
              <w:iCs w:val="0"/>
              <w:kern w:val="2"/>
              <w:sz w:val="24"/>
              <w:szCs w:val="24"/>
              <w14:ligatures w14:val="standardContextual"/>
            </w:rPr>
          </w:pPr>
          <w:hyperlink w:anchor="_Toc181617125" w:history="1">
            <w:r w:rsidRPr="00E65A1D">
              <w:rPr>
                <w:rStyle w:val="Hyperlink"/>
              </w:rPr>
              <w:t>Definition</w:t>
            </w:r>
            <w:r>
              <w:rPr>
                <w:webHidden/>
              </w:rPr>
              <w:tab/>
            </w:r>
            <w:r>
              <w:rPr>
                <w:webHidden/>
              </w:rPr>
              <w:fldChar w:fldCharType="begin"/>
            </w:r>
            <w:r>
              <w:rPr>
                <w:webHidden/>
              </w:rPr>
              <w:instrText xml:space="preserve"> PAGEREF _Toc181617125 \h </w:instrText>
            </w:r>
            <w:r>
              <w:rPr>
                <w:webHidden/>
              </w:rPr>
            </w:r>
            <w:r>
              <w:rPr>
                <w:webHidden/>
              </w:rPr>
              <w:fldChar w:fldCharType="separate"/>
            </w:r>
            <w:r w:rsidR="00FB5A1F">
              <w:rPr>
                <w:webHidden/>
              </w:rPr>
              <w:t>17</w:t>
            </w:r>
            <w:r>
              <w:rPr>
                <w:webHidden/>
              </w:rPr>
              <w:fldChar w:fldCharType="end"/>
            </w:r>
          </w:hyperlink>
        </w:p>
        <w:p w14:paraId="3AF15045" w14:textId="679C24BB" w:rsidR="005F15A0" w:rsidRDefault="005F15A0">
          <w:pPr>
            <w:pStyle w:val="TOC3"/>
            <w:rPr>
              <w:rFonts w:eastAsiaTheme="minorEastAsia" w:cstheme="minorBidi"/>
              <w:iCs w:val="0"/>
              <w:kern w:val="2"/>
              <w:sz w:val="24"/>
              <w:szCs w:val="24"/>
              <w14:ligatures w14:val="standardContextual"/>
            </w:rPr>
          </w:pPr>
          <w:hyperlink w:anchor="_Toc181617126" w:history="1">
            <w:r w:rsidRPr="00E65A1D">
              <w:rPr>
                <w:rStyle w:val="Hyperlink"/>
              </w:rPr>
              <w:t>Example of preventive barrier</w:t>
            </w:r>
            <w:r>
              <w:rPr>
                <w:webHidden/>
              </w:rPr>
              <w:tab/>
            </w:r>
            <w:r>
              <w:rPr>
                <w:webHidden/>
              </w:rPr>
              <w:fldChar w:fldCharType="begin"/>
            </w:r>
            <w:r>
              <w:rPr>
                <w:webHidden/>
              </w:rPr>
              <w:instrText xml:space="preserve"> PAGEREF _Toc181617126 \h </w:instrText>
            </w:r>
            <w:r>
              <w:rPr>
                <w:webHidden/>
              </w:rPr>
            </w:r>
            <w:r>
              <w:rPr>
                <w:webHidden/>
              </w:rPr>
              <w:fldChar w:fldCharType="separate"/>
            </w:r>
            <w:r w:rsidR="00FB5A1F">
              <w:rPr>
                <w:webHidden/>
              </w:rPr>
              <w:t>17</w:t>
            </w:r>
            <w:r>
              <w:rPr>
                <w:webHidden/>
              </w:rPr>
              <w:fldChar w:fldCharType="end"/>
            </w:r>
          </w:hyperlink>
        </w:p>
        <w:p w14:paraId="56A1312B" w14:textId="0AAAD22B" w:rsidR="005F15A0" w:rsidRDefault="005F15A0">
          <w:pPr>
            <w:pStyle w:val="TOC1"/>
            <w:rPr>
              <w:rFonts w:eastAsiaTheme="minorEastAsia" w:cstheme="minorBidi"/>
              <w:b w:val="0"/>
              <w:bCs w:val="0"/>
              <w:noProof/>
              <w:color w:val="auto"/>
              <w:kern w:val="2"/>
              <w:szCs w:val="24"/>
              <w14:ligatures w14:val="standardContextual"/>
            </w:rPr>
          </w:pPr>
          <w:hyperlink w:anchor="_Toc181617127" w:history="1">
            <w:r w:rsidRPr="00E65A1D">
              <w:rPr>
                <w:rStyle w:val="Hyperlink"/>
                <w:noProof/>
              </w:rPr>
              <w:t>References</w:t>
            </w:r>
            <w:r>
              <w:rPr>
                <w:noProof/>
                <w:webHidden/>
              </w:rPr>
              <w:tab/>
            </w:r>
            <w:r>
              <w:rPr>
                <w:noProof/>
                <w:webHidden/>
              </w:rPr>
              <w:fldChar w:fldCharType="begin"/>
            </w:r>
            <w:r>
              <w:rPr>
                <w:noProof/>
                <w:webHidden/>
              </w:rPr>
              <w:instrText xml:space="preserve"> PAGEREF _Toc181617127 \h </w:instrText>
            </w:r>
            <w:r>
              <w:rPr>
                <w:noProof/>
                <w:webHidden/>
              </w:rPr>
            </w:r>
            <w:r>
              <w:rPr>
                <w:noProof/>
                <w:webHidden/>
              </w:rPr>
              <w:fldChar w:fldCharType="separate"/>
            </w:r>
            <w:r w:rsidR="00FB5A1F">
              <w:rPr>
                <w:noProof/>
                <w:webHidden/>
              </w:rPr>
              <w:t>18</w:t>
            </w:r>
            <w:r>
              <w:rPr>
                <w:noProof/>
                <w:webHidden/>
              </w:rPr>
              <w:fldChar w:fldCharType="end"/>
            </w:r>
          </w:hyperlink>
        </w:p>
        <w:p w14:paraId="17C3209B" w14:textId="00E8311E" w:rsidR="00255596" w:rsidRPr="00D942EB" w:rsidRDefault="00E5486C" w:rsidP="007C2D48">
          <w:pPr>
            <w:tabs>
              <w:tab w:val="right" w:leader="dot" w:pos="9072"/>
            </w:tabs>
            <w:ind w:right="-142"/>
            <w:rPr>
              <w:noProof/>
            </w:rPr>
          </w:pPr>
          <w:r w:rsidRPr="00D942EB">
            <w:rPr>
              <w:rFonts w:cstheme="minorHAnsi"/>
              <w:color w:val="1178A2" w:themeColor="text2"/>
              <w:sz w:val="24"/>
              <w:szCs w:val="20"/>
            </w:rPr>
            <w:fldChar w:fldCharType="end"/>
          </w:r>
        </w:p>
      </w:sdtContent>
    </w:sdt>
    <w:p w14:paraId="0E988442" w14:textId="77777777" w:rsidR="006800B6" w:rsidRPr="00D942EB" w:rsidRDefault="006800B6" w:rsidP="00E5486C"/>
    <w:p w14:paraId="2009D9AF" w14:textId="77777777" w:rsidR="00E5486C" w:rsidRPr="00D942EB" w:rsidRDefault="00E5486C">
      <w:pPr>
        <w:spacing w:after="80"/>
        <w:rPr>
          <w:rFonts w:cs="Arial"/>
          <w:b/>
          <w:bCs/>
          <w:noProof/>
          <w:color w:val="1178A2"/>
          <w:kern w:val="28"/>
          <w:sz w:val="40"/>
          <w:szCs w:val="32"/>
        </w:rPr>
      </w:pPr>
      <w:r w:rsidRPr="00D942EB">
        <w:rPr>
          <w:noProof/>
        </w:rPr>
        <w:br w:type="page"/>
      </w:r>
    </w:p>
    <w:p w14:paraId="300849C7" w14:textId="77777777" w:rsidR="006F2910" w:rsidRPr="00D942EB" w:rsidRDefault="006F2910" w:rsidP="006F2910">
      <w:pPr>
        <w:pStyle w:val="Heading1"/>
        <w:rPr>
          <w:noProof/>
        </w:rPr>
      </w:pPr>
      <w:bookmarkStart w:id="7" w:name="_Toc37768195"/>
      <w:bookmarkStart w:id="8" w:name="_Toc39143467"/>
      <w:bookmarkStart w:id="9" w:name="_Toc181617060"/>
      <w:r w:rsidRPr="00D942EB">
        <w:rPr>
          <w:noProof/>
        </w:rPr>
        <w:lastRenderedPageBreak/>
        <w:t>Introduction</w:t>
      </w:r>
      <w:bookmarkEnd w:id="7"/>
      <w:bookmarkEnd w:id="8"/>
      <w:bookmarkEnd w:id="9"/>
    </w:p>
    <w:p w14:paraId="49033028" w14:textId="2E5B238C" w:rsidR="006F2910" w:rsidRPr="00D942EB" w:rsidRDefault="006F2910" w:rsidP="007C2D48">
      <w:pPr>
        <w:rPr>
          <w:noProof/>
        </w:rPr>
      </w:pPr>
      <w:r w:rsidRPr="00D942EB">
        <w:rPr>
          <w:noProof/>
        </w:rPr>
        <w:t xml:space="preserve">The Australian Commission on Safety and Quality in Health Care (the Commission) conducted a review of the </w:t>
      </w:r>
      <w:r w:rsidRPr="00D942EB">
        <w:rPr>
          <w:i/>
          <w:noProof/>
        </w:rPr>
        <w:t xml:space="preserve">Australian </w:t>
      </w:r>
      <w:r w:rsidR="00845A09" w:rsidRPr="00D942EB">
        <w:rPr>
          <w:i/>
          <w:noProof/>
        </w:rPr>
        <w:t>S</w:t>
      </w:r>
      <w:r w:rsidRPr="00D942EB">
        <w:rPr>
          <w:i/>
          <w:noProof/>
        </w:rPr>
        <w:t xml:space="preserve">entinel </w:t>
      </w:r>
      <w:r w:rsidR="00845A09" w:rsidRPr="00D942EB">
        <w:rPr>
          <w:i/>
          <w:noProof/>
        </w:rPr>
        <w:t>E</w:t>
      </w:r>
      <w:r w:rsidRPr="00D942EB">
        <w:rPr>
          <w:i/>
          <w:noProof/>
        </w:rPr>
        <w:t xml:space="preserve">vents </w:t>
      </w:r>
      <w:r w:rsidR="00845A09" w:rsidRPr="00D942EB">
        <w:rPr>
          <w:i/>
          <w:noProof/>
        </w:rPr>
        <w:t>L</w:t>
      </w:r>
      <w:r w:rsidRPr="00D942EB">
        <w:rPr>
          <w:i/>
          <w:noProof/>
        </w:rPr>
        <w:t>ist</w:t>
      </w:r>
      <w:r w:rsidRPr="00D942EB">
        <w:rPr>
          <w:noProof/>
        </w:rPr>
        <w:t xml:space="preserve"> on behalf of the states, territories and Commonwealth in 2017. </w:t>
      </w:r>
      <w:r w:rsidRPr="00D942EB">
        <w:rPr>
          <w:i/>
          <w:noProof/>
        </w:rPr>
        <w:t xml:space="preserve">The Australian </w:t>
      </w:r>
      <w:r w:rsidR="00845A09" w:rsidRPr="00D942EB">
        <w:rPr>
          <w:i/>
          <w:noProof/>
        </w:rPr>
        <w:t>S</w:t>
      </w:r>
      <w:r w:rsidRPr="00D942EB">
        <w:rPr>
          <w:i/>
          <w:noProof/>
        </w:rPr>
        <w:t xml:space="preserve">entinel </w:t>
      </w:r>
      <w:r w:rsidR="00845A09" w:rsidRPr="00D942EB">
        <w:rPr>
          <w:i/>
          <w:noProof/>
        </w:rPr>
        <w:t>E</w:t>
      </w:r>
      <w:r w:rsidRPr="00D942EB">
        <w:rPr>
          <w:i/>
          <w:noProof/>
        </w:rPr>
        <w:t xml:space="preserve">vents </w:t>
      </w:r>
      <w:r w:rsidR="00845A09" w:rsidRPr="00D942EB">
        <w:rPr>
          <w:i/>
          <w:noProof/>
        </w:rPr>
        <w:t>L</w:t>
      </w:r>
      <w:r w:rsidRPr="00D942EB">
        <w:rPr>
          <w:i/>
          <w:noProof/>
        </w:rPr>
        <w:t xml:space="preserve">ist </w:t>
      </w:r>
      <w:r w:rsidR="00845A09" w:rsidRPr="00D942EB">
        <w:rPr>
          <w:i/>
          <w:noProof/>
        </w:rPr>
        <w:t>(</w:t>
      </w:r>
      <w:r w:rsidR="003B2784" w:rsidRPr="00D942EB">
        <w:rPr>
          <w:i/>
          <w:noProof/>
        </w:rPr>
        <w:t>verison 2</w:t>
      </w:r>
      <w:r w:rsidR="00845A09" w:rsidRPr="00D942EB">
        <w:rPr>
          <w:i/>
          <w:noProof/>
        </w:rPr>
        <w:t>): Specifications</w:t>
      </w:r>
      <w:r w:rsidR="00845A09" w:rsidRPr="00D942EB">
        <w:rPr>
          <w:noProof/>
        </w:rPr>
        <w:t xml:space="preserve"> </w:t>
      </w:r>
      <w:r w:rsidRPr="00D942EB">
        <w:rPr>
          <w:noProof/>
        </w:rPr>
        <w:t xml:space="preserve">was </w:t>
      </w:r>
      <w:r w:rsidR="00845A09" w:rsidRPr="00D942EB">
        <w:rPr>
          <w:noProof/>
        </w:rPr>
        <w:t xml:space="preserve">subsequently </w:t>
      </w:r>
      <w:r w:rsidRPr="00D942EB">
        <w:rPr>
          <w:noProof/>
        </w:rPr>
        <w:t xml:space="preserve">adopted in January 2019. Further information about the process of review is available in the </w:t>
      </w:r>
      <w:hyperlink r:id="rId13" w:anchor=":~:text=This%20document%20aims%20to%20inform,review%20and%20revise%20the%20list." w:history="1">
        <w:r w:rsidRPr="00D942EB">
          <w:rPr>
            <w:rStyle w:val="Hyperlink"/>
            <w:i/>
            <w:noProof/>
          </w:rPr>
          <w:t>Australian Sentinel Events List (</w:t>
        </w:r>
        <w:r w:rsidR="003B2784" w:rsidRPr="00D942EB">
          <w:rPr>
            <w:rStyle w:val="Hyperlink"/>
            <w:i/>
            <w:noProof/>
          </w:rPr>
          <w:t>version 2</w:t>
        </w:r>
        <w:r w:rsidRPr="00D942EB">
          <w:rPr>
            <w:rStyle w:val="Hyperlink"/>
            <w:i/>
            <w:noProof/>
          </w:rPr>
          <w:t>)</w:t>
        </w:r>
        <w:r w:rsidR="00E5486C" w:rsidRPr="00D942EB">
          <w:rPr>
            <w:rStyle w:val="Hyperlink"/>
            <w:i/>
            <w:noProof/>
          </w:rPr>
          <w:t>:</w:t>
        </w:r>
        <w:r w:rsidRPr="00D942EB">
          <w:rPr>
            <w:rStyle w:val="Hyperlink"/>
            <w:i/>
            <w:noProof/>
          </w:rPr>
          <w:t xml:space="preserve"> Review </w:t>
        </w:r>
        <w:r w:rsidR="00E5486C" w:rsidRPr="00D942EB">
          <w:rPr>
            <w:rStyle w:val="Hyperlink"/>
            <w:i/>
            <w:noProof/>
          </w:rPr>
          <w:t>s</w:t>
        </w:r>
        <w:r w:rsidRPr="00D942EB">
          <w:rPr>
            <w:rStyle w:val="Hyperlink"/>
            <w:i/>
            <w:noProof/>
          </w:rPr>
          <w:t>ummary</w:t>
        </w:r>
      </w:hyperlink>
      <w:r w:rsidRPr="00D942EB">
        <w:rPr>
          <w:noProof/>
        </w:rPr>
        <w:t>.</w:t>
      </w:r>
      <w:r w:rsidR="00E5486C" w:rsidRPr="00D942EB">
        <w:rPr>
          <w:i/>
        </w:rPr>
        <w:t xml:space="preserve"> </w:t>
      </w:r>
    </w:p>
    <w:p w14:paraId="1A5B58B5" w14:textId="5E9DA93E" w:rsidR="006F2910" w:rsidRPr="00D942EB" w:rsidRDefault="006F2910" w:rsidP="007C2D48">
      <w:pPr>
        <w:rPr>
          <w:noProof/>
          <w:lang w:val="en-US"/>
        </w:rPr>
      </w:pPr>
      <w:r w:rsidRPr="00D942EB">
        <w:rPr>
          <w:noProof/>
        </w:rPr>
        <w:t xml:space="preserve">Sentinel events are a subset of adverse patient safety events that are wholly preventable and result in serious harm to, or </w:t>
      </w:r>
      <w:r w:rsidR="00E5486C" w:rsidRPr="00D942EB">
        <w:rPr>
          <w:noProof/>
        </w:rPr>
        <w:t xml:space="preserve">the </w:t>
      </w:r>
      <w:r w:rsidRPr="00D942EB">
        <w:rPr>
          <w:noProof/>
        </w:rPr>
        <w:t xml:space="preserve">death of, a patient. The purpose of sentinel event reporting is to ensure public accountability and transparency and drive national improvements in patient safety. </w:t>
      </w:r>
    </w:p>
    <w:p w14:paraId="3D66D9FE" w14:textId="77777777" w:rsidR="006F2910" w:rsidRPr="00D942EB" w:rsidRDefault="006F2910" w:rsidP="007C2D48">
      <w:pPr>
        <w:pStyle w:val="Heading2"/>
        <w:rPr>
          <w:noProof/>
        </w:rPr>
      </w:pPr>
      <w:bookmarkStart w:id="10" w:name="_Toc490116610"/>
      <w:bookmarkStart w:id="11" w:name="_Toc37768196"/>
      <w:bookmarkStart w:id="12" w:name="_Toc39143468"/>
      <w:bookmarkStart w:id="13" w:name="_Toc181617061"/>
      <w:r w:rsidRPr="00D942EB">
        <w:rPr>
          <w:noProof/>
        </w:rPr>
        <w:t>What is a sentinel event?</w:t>
      </w:r>
      <w:bookmarkEnd w:id="10"/>
      <w:bookmarkEnd w:id="11"/>
      <w:bookmarkEnd w:id="12"/>
      <w:bookmarkEnd w:id="13"/>
      <w:r w:rsidRPr="00D942EB">
        <w:rPr>
          <w:noProof/>
        </w:rPr>
        <w:t xml:space="preserve"> </w:t>
      </w:r>
    </w:p>
    <w:p w14:paraId="2DC5AEA1" w14:textId="3248D760" w:rsidR="006F2910" w:rsidRPr="00D942EB" w:rsidRDefault="006F2910" w:rsidP="007C2D48">
      <w:pPr>
        <w:rPr>
          <w:noProof/>
        </w:rPr>
      </w:pPr>
      <w:r w:rsidRPr="00D942EB">
        <w:rPr>
          <w:noProof/>
        </w:rPr>
        <w:t xml:space="preserve">A sentinel event is a particular type of serious incident that is </w:t>
      </w:r>
      <w:r w:rsidRPr="00D942EB">
        <w:rPr>
          <w:b/>
          <w:noProof/>
        </w:rPr>
        <w:t>wholly preventable</w:t>
      </w:r>
      <w:r w:rsidRPr="00D942EB">
        <w:rPr>
          <w:noProof/>
        </w:rPr>
        <w:t xml:space="preserve"> and has caused </w:t>
      </w:r>
      <w:r w:rsidRPr="00D942EB">
        <w:rPr>
          <w:b/>
          <w:noProof/>
        </w:rPr>
        <w:t>serious harm</w:t>
      </w:r>
      <w:r w:rsidRPr="00D942EB">
        <w:rPr>
          <w:noProof/>
        </w:rPr>
        <w:t xml:space="preserve"> to, or </w:t>
      </w:r>
      <w:r w:rsidR="00E5486C" w:rsidRPr="00D942EB">
        <w:rPr>
          <w:noProof/>
        </w:rPr>
        <w:t xml:space="preserve">the </w:t>
      </w:r>
      <w:r w:rsidRPr="00D942EB">
        <w:rPr>
          <w:b/>
          <w:noProof/>
        </w:rPr>
        <w:t>death</w:t>
      </w:r>
      <w:r w:rsidRPr="00D942EB">
        <w:rPr>
          <w:noProof/>
        </w:rPr>
        <w:t xml:space="preserve"> of, a patient.</w:t>
      </w:r>
    </w:p>
    <w:p w14:paraId="13C929A9" w14:textId="23F2C122" w:rsidR="006F2910" w:rsidRPr="00D942EB" w:rsidRDefault="006F2910" w:rsidP="007C2D48">
      <w:pPr>
        <w:rPr>
          <w:noProof/>
        </w:rPr>
      </w:pPr>
      <w:r w:rsidRPr="00D942EB">
        <w:rPr>
          <w:noProof/>
        </w:rPr>
        <w:t xml:space="preserve">The intent of this document is to define sentinel events that are extremely serious, preventable and of concern to both the public and healthcare providers for the purpose of public accountability. Sentinel events have the potential to seriously undermine public confidence in the healthcare system and are a subset of the most serious incidents reported through each jurisdiction’s incident reporting system. The intent is not to measure episodes that do not end in death or </w:t>
      </w:r>
      <w:r w:rsidR="00FB63DD">
        <w:rPr>
          <w:noProof/>
        </w:rPr>
        <w:t>serious</w:t>
      </w:r>
      <w:r w:rsidR="00426048">
        <w:rPr>
          <w:noProof/>
        </w:rPr>
        <w:t xml:space="preserve"> harm</w:t>
      </w:r>
      <w:r w:rsidRPr="00D942EB">
        <w:rPr>
          <w:noProof/>
        </w:rPr>
        <w:t>.</w:t>
      </w:r>
    </w:p>
    <w:p w14:paraId="43AAB28F" w14:textId="77777777" w:rsidR="006F2910" w:rsidRPr="00D942EB" w:rsidRDefault="006F2910" w:rsidP="007C2D48">
      <w:pPr>
        <w:pStyle w:val="Normal-beforebullets"/>
        <w:rPr>
          <w:noProof/>
        </w:rPr>
      </w:pPr>
      <w:r w:rsidRPr="00D942EB">
        <w:rPr>
          <w:noProof/>
        </w:rPr>
        <w:t>To be classified a sentinel event, a strict set of criteria need to be met:</w:t>
      </w:r>
    </w:p>
    <w:p w14:paraId="0690EB33" w14:textId="77777777" w:rsidR="006F2910" w:rsidRPr="00D942EB" w:rsidRDefault="006F2910" w:rsidP="007C2D48">
      <w:pPr>
        <w:pStyle w:val="Bulletlist"/>
        <w:rPr>
          <w:noProof/>
        </w:rPr>
      </w:pPr>
      <w:r w:rsidRPr="00D942EB">
        <w:rPr>
          <w:noProof/>
        </w:rPr>
        <w:t>The event should not have occurred where preventive barriers are available</w:t>
      </w:r>
    </w:p>
    <w:p w14:paraId="009BAF71" w14:textId="77777777" w:rsidR="006F2910" w:rsidRPr="00D942EB" w:rsidRDefault="006F2910" w:rsidP="007C2D48">
      <w:pPr>
        <w:pStyle w:val="Bulletlist"/>
        <w:rPr>
          <w:noProof/>
        </w:rPr>
      </w:pPr>
      <w:r w:rsidRPr="00D942EB">
        <w:rPr>
          <w:noProof/>
        </w:rPr>
        <w:t xml:space="preserve">The event is easily recognised and clearly defined </w:t>
      </w:r>
    </w:p>
    <w:p w14:paraId="6FA62018" w14:textId="77777777" w:rsidR="006F2910" w:rsidRPr="00D942EB" w:rsidRDefault="006F2910" w:rsidP="007C2D48">
      <w:pPr>
        <w:pStyle w:val="Bulletlist"/>
        <w:rPr>
          <w:noProof/>
        </w:rPr>
      </w:pPr>
      <w:r w:rsidRPr="00D942EB">
        <w:rPr>
          <w:noProof/>
        </w:rPr>
        <w:t xml:space="preserve">There is evidence the event has occurred in the past. </w:t>
      </w:r>
    </w:p>
    <w:p w14:paraId="532A32B4" w14:textId="77777777" w:rsidR="006F2910" w:rsidRPr="00D942EB" w:rsidRDefault="006F2910" w:rsidP="007C2D48">
      <w:pPr>
        <w:pStyle w:val="Heading3"/>
      </w:pPr>
      <w:bookmarkStart w:id="14" w:name="_Toc37768197"/>
      <w:bookmarkStart w:id="15" w:name="_Toc39143469"/>
      <w:bookmarkStart w:id="16" w:name="_Toc181617062"/>
      <w:r w:rsidRPr="00D942EB">
        <w:t>Defining wholly preventable</w:t>
      </w:r>
      <w:bookmarkEnd w:id="14"/>
      <w:bookmarkEnd w:id="15"/>
      <w:bookmarkEnd w:id="16"/>
      <w:r w:rsidRPr="00D942EB">
        <w:t xml:space="preserve"> </w:t>
      </w:r>
    </w:p>
    <w:p w14:paraId="14E7FDAF" w14:textId="77777777" w:rsidR="006F2910" w:rsidRPr="00D942EB" w:rsidRDefault="006F2910" w:rsidP="007C2D48">
      <w:pPr>
        <w:rPr>
          <w:noProof/>
        </w:rPr>
      </w:pPr>
      <w:r w:rsidRPr="00D942EB">
        <w:rPr>
          <w:noProof/>
        </w:rPr>
        <w:t xml:space="preserve">Sentinel events will be considered ‘wholly preventable’ in the context of preventive barriers being available to stop the event from occurring. </w:t>
      </w:r>
    </w:p>
    <w:p w14:paraId="3B52F7ED" w14:textId="77777777" w:rsidR="00845A09" w:rsidRPr="00D942EB" w:rsidRDefault="006F2910" w:rsidP="008A6F88">
      <w:pPr>
        <w:pStyle w:val="Normal-beforebullets"/>
        <w:rPr>
          <w:noProof/>
        </w:rPr>
      </w:pPr>
      <w:r w:rsidRPr="00D942EB">
        <w:rPr>
          <w:noProof/>
        </w:rPr>
        <w:t xml:space="preserve">Preventive barriers may include: </w:t>
      </w:r>
    </w:p>
    <w:p w14:paraId="5F6C21BA" w14:textId="430AF8D7" w:rsidR="00845A09" w:rsidRPr="00D942EB" w:rsidRDefault="006F2910" w:rsidP="008A6F88">
      <w:pPr>
        <w:pStyle w:val="Bulletlist"/>
        <w:rPr>
          <w:noProof/>
        </w:rPr>
      </w:pPr>
      <w:r w:rsidRPr="00D942EB">
        <w:rPr>
          <w:noProof/>
        </w:rPr>
        <w:t>the National Safety and Quality Health Service (NSQHS) Standards</w:t>
      </w:r>
      <w:r w:rsidR="00474BED">
        <w:rPr>
          <w:noProof/>
        </w:rPr>
        <w:fldChar w:fldCharType="begin"/>
      </w:r>
      <w:r w:rsidR="005A6203">
        <w:rPr>
          <w:noProof/>
        </w:rPr>
        <w:instrText xml:space="preserve"> ADDIN EN.CITE &lt;EndNote&gt;&lt;Cite&gt;&lt;Author&gt;Australian Commission on Safety and Quality in Health Care&lt;/Author&gt;&lt;Year&gt;2012&lt;/Year&gt;&lt;RecNum&gt;5&lt;/RecNum&gt;&lt;DisplayText&gt;&lt;style face="superscript"&gt;1&lt;/style&gt;&lt;/DisplayText&gt;&lt;record&gt;&lt;rec-number&gt;5&lt;/rec-number&gt;&lt;foreign-keys&gt;&lt;key app="EN" db-id="s0afewfss5vsr9e0tvixevam5sps2w9r2t09" timestamp="1724730561"&gt;5&lt;/key&gt;&lt;/foreign-keys&gt;&lt;ref-type name="Electronic Book"&gt;44&lt;/ref-type&gt;&lt;contributors&gt;&lt;authors&gt;&lt;author&gt;Australian Commission on Safety and Quality in Health Care, &lt;/author&gt;&lt;/authors&gt;&lt;/contributors&gt;&lt;titles&gt;&lt;title&gt;National Safety and Quality Health Service Standards&lt;/title&gt;&lt;/titles&gt;&lt;dates&gt;&lt;year&gt;2012&lt;/year&gt;&lt;/dates&gt;&lt;pub-location&gt;Sydney&lt;/pub-location&gt;&lt;publisher&gt;ACSQHC&lt;/publisher&gt;&lt;urls&gt;&lt;related-urls&gt;&lt;url&gt;https://www.safetyandquality.gov.au/publications-and-resources/resource-library/national-safety-and-quality-health-service-standards-first-edition&lt;/url&gt;&lt;/related-urls&gt;&lt;/urls&gt;&lt;/record&gt;&lt;/Cite&gt;&lt;/EndNote&gt;</w:instrText>
      </w:r>
      <w:r w:rsidR="00474BED">
        <w:rPr>
          <w:noProof/>
        </w:rPr>
        <w:fldChar w:fldCharType="separate"/>
      </w:r>
      <w:r w:rsidR="005A6203" w:rsidRPr="005A6203">
        <w:rPr>
          <w:noProof/>
          <w:vertAlign w:val="superscript"/>
        </w:rPr>
        <w:t>1</w:t>
      </w:r>
      <w:r w:rsidR="00474BED">
        <w:rPr>
          <w:noProof/>
        </w:rPr>
        <w:fldChar w:fldCharType="end"/>
      </w:r>
      <w:r w:rsidRPr="00D942EB">
        <w:rPr>
          <w:noProof/>
        </w:rPr>
        <w:t xml:space="preserve"> (such as NSQHS Standard 1: Governance for Safety and Quality in Health Service Organisations and NSQHS Standard 2: Partnering with Consumers)</w:t>
      </w:r>
    </w:p>
    <w:p w14:paraId="45CCDB88" w14:textId="4D094B8A" w:rsidR="00845A09" w:rsidRPr="00D942EB" w:rsidRDefault="006F2910" w:rsidP="008A6F88">
      <w:pPr>
        <w:pStyle w:val="Bulletlist"/>
        <w:rPr>
          <w:noProof/>
        </w:rPr>
      </w:pPr>
      <w:r w:rsidRPr="00D942EB">
        <w:rPr>
          <w:noProof/>
        </w:rPr>
        <w:t>policy documents or clinical protocols</w:t>
      </w:r>
    </w:p>
    <w:p w14:paraId="22FBD155" w14:textId="78A3C013" w:rsidR="006F2910" w:rsidRPr="00D942EB" w:rsidRDefault="006F2910" w:rsidP="008A6F88">
      <w:pPr>
        <w:pStyle w:val="Bulletlist"/>
        <w:rPr>
          <w:noProof/>
        </w:rPr>
      </w:pPr>
      <w:r w:rsidRPr="00D942EB">
        <w:rPr>
          <w:noProof/>
        </w:rPr>
        <w:t>documents providing safety guidance, safety recommendations or both</w:t>
      </w:r>
      <w:r w:rsidR="00E5486C" w:rsidRPr="00D942EB">
        <w:rPr>
          <w:noProof/>
        </w:rPr>
        <w:t>,</w:t>
      </w:r>
      <w:r w:rsidRPr="00D942EB">
        <w:rPr>
          <w:noProof/>
        </w:rPr>
        <w:t xml:space="preserve"> on how the event can be prevented. </w:t>
      </w:r>
    </w:p>
    <w:p w14:paraId="319A6A8B" w14:textId="77777777" w:rsidR="006F2910" w:rsidRPr="00D942EB" w:rsidRDefault="006F2910" w:rsidP="007C2D48">
      <w:pPr>
        <w:rPr>
          <w:noProof/>
        </w:rPr>
      </w:pPr>
      <w:r w:rsidRPr="00D942EB">
        <w:rPr>
          <w:noProof/>
        </w:rPr>
        <w:t xml:space="preserve">The preventive barriers listed here are not exhaustive and represent only examples of barriers available at the national level. An increase in the number of occurrences of a particular sentinel event may be an indicator that preventive barriers need to be strengthened or better implemented. Investigation and review of incidents will help to identify where this is the case. </w:t>
      </w:r>
    </w:p>
    <w:p w14:paraId="0BF626F9" w14:textId="77777777" w:rsidR="006F2910" w:rsidRPr="00D942EB" w:rsidRDefault="006F2910" w:rsidP="00E5486C">
      <w:pPr>
        <w:pStyle w:val="Heading3"/>
      </w:pPr>
      <w:bookmarkStart w:id="17" w:name="_Toc37768198"/>
      <w:bookmarkStart w:id="18" w:name="_Toc39143470"/>
      <w:bookmarkStart w:id="19" w:name="_Toc181617063"/>
      <w:r w:rsidRPr="00D942EB">
        <w:t>Defining serious harm</w:t>
      </w:r>
      <w:bookmarkEnd w:id="17"/>
      <w:bookmarkEnd w:id="18"/>
      <w:bookmarkEnd w:id="19"/>
      <w:r w:rsidRPr="00D942EB">
        <w:t xml:space="preserve"> </w:t>
      </w:r>
    </w:p>
    <w:p w14:paraId="7D41D514" w14:textId="77777777" w:rsidR="006F2910" w:rsidRPr="00D942EB" w:rsidRDefault="006F2910" w:rsidP="007C2D48">
      <w:pPr>
        <w:pStyle w:val="Normal-beforebullets"/>
        <w:rPr>
          <w:noProof/>
        </w:rPr>
      </w:pPr>
      <w:r w:rsidRPr="00D942EB">
        <w:rPr>
          <w:noProof/>
        </w:rPr>
        <w:t>Serious harm is indicated where as a result of the incident the patient:</w:t>
      </w:r>
    </w:p>
    <w:p w14:paraId="61984A10" w14:textId="3D0C9C07" w:rsidR="006F2910" w:rsidRPr="00D942EB" w:rsidRDefault="00E5486C" w:rsidP="007C2D48">
      <w:pPr>
        <w:pStyle w:val="Bulletlist"/>
        <w:rPr>
          <w:noProof/>
        </w:rPr>
      </w:pPr>
      <w:r w:rsidRPr="00D942EB">
        <w:rPr>
          <w:noProof/>
        </w:rPr>
        <w:t>R</w:t>
      </w:r>
      <w:r w:rsidR="006F2910" w:rsidRPr="00D942EB">
        <w:rPr>
          <w:noProof/>
        </w:rPr>
        <w:t xml:space="preserve">equires life-saving surgical or medical intervention, or </w:t>
      </w:r>
    </w:p>
    <w:p w14:paraId="2A5E33F0" w14:textId="27CA8D97" w:rsidR="006F2910" w:rsidRPr="00D942EB" w:rsidRDefault="00E5486C" w:rsidP="007C2D48">
      <w:pPr>
        <w:pStyle w:val="Bulletlist"/>
        <w:rPr>
          <w:noProof/>
        </w:rPr>
      </w:pPr>
      <w:r w:rsidRPr="00D942EB">
        <w:rPr>
          <w:noProof/>
        </w:rPr>
        <w:t>H</w:t>
      </w:r>
      <w:r w:rsidR="006F2910" w:rsidRPr="00D942EB">
        <w:rPr>
          <w:noProof/>
        </w:rPr>
        <w:t xml:space="preserve">as shortened life expectancy, or </w:t>
      </w:r>
    </w:p>
    <w:p w14:paraId="7AFB35C8" w14:textId="20A6938D" w:rsidR="006F2910" w:rsidRPr="00D942EB" w:rsidRDefault="00E5486C" w:rsidP="007C2D48">
      <w:pPr>
        <w:pStyle w:val="Bulletlist"/>
        <w:rPr>
          <w:noProof/>
        </w:rPr>
      </w:pPr>
      <w:r w:rsidRPr="00D942EB">
        <w:rPr>
          <w:noProof/>
        </w:rPr>
        <w:lastRenderedPageBreak/>
        <w:t>H</w:t>
      </w:r>
      <w:r w:rsidR="006F2910" w:rsidRPr="00D942EB">
        <w:rPr>
          <w:noProof/>
        </w:rPr>
        <w:t>as experienced permanent or long-term physical harm, or</w:t>
      </w:r>
    </w:p>
    <w:p w14:paraId="124B3152" w14:textId="31775CD1" w:rsidR="006F2910" w:rsidRPr="00D942EB" w:rsidRDefault="00E5486C" w:rsidP="007C2D48">
      <w:pPr>
        <w:pStyle w:val="Bulletlist"/>
        <w:rPr>
          <w:noProof/>
        </w:rPr>
      </w:pPr>
      <w:r w:rsidRPr="00D942EB">
        <w:rPr>
          <w:noProof/>
        </w:rPr>
        <w:t>H</w:t>
      </w:r>
      <w:r w:rsidR="006F2910" w:rsidRPr="00D942EB">
        <w:rPr>
          <w:noProof/>
        </w:rPr>
        <w:t>as experienced permanent or long-term loss of function.</w:t>
      </w:r>
    </w:p>
    <w:p w14:paraId="69AFCD69" w14:textId="77777777" w:rsidR="006F2910" w:rsidRPr="00D942EB" w:rsidRDefault="006F2910" w:rsidP="00E5486C">
      <w:pPr>
        <w:pStyle w:val="Heading3"/>
      </w:pPr>
      <w:bookmarkStart w:id="20" w:name="_Toc37768199"/>
      <w:bookmarkStart w:id="21" w:name="_Toc39143471"/>
      <w:bookmarkStart w:id="22" w:name="_Toc181617064"/>
      <w:r w:rsidRPr="00D942EB">
        <w:t>Psychological harm</w:t>
      </w:r>
      <w:bookmarkEnd w:id="20"/>
      <w:bookmarkEnd w:id="21"/>
      <w:bookmarkEnd w:id="22"/>
    </w:p>
    <w:p w14:paraId="6D77EFAB" w14:textId="4B309A89" w:rsidR="006F2910" w:rsidRPr="00D942EB" w:rsidRDefault="006F2910" w:rsidP="007C2D48">
      <w:pPr>
        <w:rPr>
          <w:noProof/>
        </w:rPr>
      </w:pPr>
      <w:r w:rsidRPr="00D942EB">
        <w:rPr>
          <w:noProof/>
        </w:rPr>
        <w:t>Psychological harm is recognised as an important harm. In the context of the sentinel events list, psychological harm has not been included in the definition of serious harm given the inability to measure psychological harm in the way that physical harm can be measured.</w:t>
      </w:r>
      <w:r w:rsidRPr="00D942EB">
        <w:rPr>
          <w:noProof/>
        </w:rPr>
        <w:br w:type="page"/>
      </w:r>
    </w:p>
    <w:p w14:paraId="2D327772" w14:textId="77777777" w:rsidR="006F2910" w:rsidRPr="00D942EB" w:rsidRDefault="006F2910" w:rsidP="006F2910">
      <w:pPr>
        <w:pStyle w:val="Heading1"/>
        <w:rPr>
          <w:noProof/>
        </w:rPr>
      </w:pPr>
      <w:bookmarkStart w:id="23" w:name="_Toc37768200"/>
      <w:bookmarkStart w:id="24" w:name="_Toc39143472"/>
      <w:bookmarkStart w:id="25" w:name="_Toc181617065"/>
      <w:r w:rsidRPr="00D942EB">
        <w:rPr>
          <w:noProof/>
        </w:rPr>
        <w:lastRenderedPageBreak/>
        <w:t>Sentinel event specifications</w:t>
      </w:r>
      <w:bookmarkEnd w:id="23"/>
      <w:bookmarkEnd w:id="24"/>
      <w:bookmarkEnd w:id="25"/>
    </w:p>
    <w:p w14:paraId="041D21DD" w14:textId="22A56718" w:rsidR="006F2910" w:rsidRPr="00D942EB" w:rsidRDefault="006F2910" w:rsidP="006F2910">
      <w:pPr>
        <w:spacing w:after="80"/>
        <w:rPr>
          <w:noProof/>
        </w:rPr>
      </w:pPr>
      <w:r w:rsidRPr="00D942EB">
        <w:rPr>
          <w:noProof/>
        </w:rPr>
        <w:t xml:space="preserve">The specifications for the 10 national sentinel events were developed to provide clarity about what constitutes a sentinel event. This is intended to aid consistency in reporting. </w:t>
      </w:r>
    </w:p>
    <w:p w14:paraId="6CA8DFC4" w14:textId="4E79C2FF" w:rsidR="006F2910" w:rsidRPr="00D942EB" w:rsidRDefault="003B2784" w:rsidP="006F2910">
      <w:pPr>
        <w:pStyle w:val="Heading2"/>
        <w:rPr>
          <w:noProof/>
        </w:rPr>
      </w:pPr>
      <w:bookmarkStart w:id="26" w:name="_Toc37768201"/>
      <w:bookmarkStart w:id="27" w:name="_Toc39143473"/>
      <w:bookmarkStart w:id="28" w:name="_Toc181617066"/>
      <w:r w:rsidRPr="00D942EB">
        <w:rPr>
          <w:noProof/>
        </w:rPr>
        <w:t xml:space="preserve">1:  </w:t>
      </w:r>
      <w:r w:rsidR="006F2910" w:rsidRPr="00D942EB">
        <w:rPr>
          <w:noProof/>
        </w:rPr>
        <w:t>Surgery or other invasive procedure performed on the wrong site resulting in serious harm or death</w:t>
      </w:r>
      <w:bookmarkEnd w:id="26"/>
      <w:bookmarkEnd w:id="27"/>
      <w:bookmarkEnd w:id="28"/>
    </w:p>
    <w:tbl>
      <w:tblPr>
        <w:tblStyle w:val="TableGrid"/>
        <w:tblW w:w="9234" w:type="dxa"/>
        <w:tblLook w:val="04A0" w:firstRow="1" w:lastRow="0" w:firstColumn="1" w:lastColumn="0" w:noHBand="0" w:noVBand="1"/>
      </w:tblPr>
      <w:tblGrid>
        <w:gridCol w:w="9234"/>
      </w:tblGrid>
      <w:tr w:rsidR="006F2910" w:rsidRPr="00D942EB" w14:paraId="21F1C03D" w14:textId="77777777" w:rsidTr="0065199F">
        <w:trPr>
          <w:cnfStyle w:val="100000000000" w:firstRow="1" w:lastRow="0" w:firstColumn="0" w:lastColumn="0" w:oddVBand="0" w:evenVBand="0" w:oddHBand="0" w:evenHBand="0" w:firstRowFirstColumn="0" w:firstRowLastColumn="0" w:lastRowFirstColumn="0" w:lastRowLastColumn="0"/>
          <w:trHeight w:hRule="exact" w:val="508"/>
        </w:trPr>
        <w:tc>
          <w:tcPr>
            <w:tcW w:w="9234" w:type="dxa"/>
            <w:tcBorders>
              <w:top w:val="nil"/>
              <w:left w:val="nil"/>
              <w:bottom w:val="nil"/>
              <w:right w:val="nil"/>
            </w:tcBorders>
            <w:shd w:val="clear" w:color="auto" w:fill="EEECE1" w:themeFill="background2"/>
          </w:tcPr>
          <w:p w14:paraId="259D6328"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Category: surgical or other procedures</w:t>
            </w:r>
          </w:p>
        </w:tc>
      </w:tr>
    </w:tbl>
    <w:p w14:paraId="121AF38E" w14:textId="77777777" w:rsidR="006F2910" w:rsidRPr="00D942EB" w:rsidRDefault="006F2910" w:rsidP="007C2D48">
      <w:pPr>
        <w:pStyle w:val="Heading3"/>
        <w:rPr>
          <w:noProof/>
        </w:rPr>
      </w:pPr>
      <w:bookmarkStart w:id="29" w:name="_Toc39143474"/>
      <w:bookmarkStart w:id="30" w:name="_Toc181617067"/>
      <w:r w:rsidRPr="00D942EB">
        <w:rPr>
          <w:noProof/>
        </w:rPr>
        <w:t>Sentinel event</w:t>
      </w:r>
      <w:bookmarkEnd w:id="29"/>
      <w:bookmarkEnd w:id="30"/>
    </w:p>
    <w:p w14:paraId="2EFE3780" w14:textId="4D7FCB56" w:rsidR="006F2910" w:rsidRPr="00D942EB" w:rsidRDefault="006F2910" w:rsidP="006F2910">
      <w:pPr>
        <w:spacing w:after="80"/>
        <w:rPr>
          <w:noProof/>
        </w:rPr>
      </w:pPr>
      <w:r w:rsidRPr="00D942EB">
        <w:rPr>
          <w:noProof/>
        </w:rPr>
        <w:t>Surgery or other invasive procedure performed on the wrong site resulting in serious harm or death</w:t>
      </w:r>
      <w:r w:rsidR="00E5486C" w:rsidRPr="00D942EB">
        <w:rPr>
          <w:noProof/>
        </w:rPr>
        <w:t>.</w:t>
      </w:r>
    </w:p>
    <w:p w14:paraId="4F63E8DA" w14:textId="23061AA4" w:rsidR="006F2910" w:rsidRPr="00D942EB" w:rsidRDefault="006F2910" w:rsidP="007C2D48">
      <w:pPr>
        <w:pStyle w:val="Heading3"/>
        <w:rPr>
          <w:noProof/>
        </w:rPr>
      </w:pPr>
      <w:bookmarkStart w:id="31" w:name="_Toc39143475"/>
      <w:bookmarkStart w:id="32" w:name="_Toc181617068"/>
      <w:r w:rsidRPr="00D942EB">
        <w:rPr>
          <w:noProof/>
        </w:rPr>
        <w:t>Inclusions/exclusions</w:t>
      </w:r>
      <w:bookmarkEnd w:id="31"/>
      <w:bookmarkEnd w:id="32"/>
    </w:p>
    <w:p w14:paraId="6DE60EBB" w14:textId="3C38CD36" w:rsidR="006F2910" w:rsidRPr="00D942EB" w:rsidRDefault="006F2910" w:rsidP="006F2910">
      <w:pPr>
        <w:spacing w:after="80"/>
        <w:rPr>
          <w:noProof/>
        </w:rPr>
      </w:pPr>
      <w:r w:rsidRPr="00D942EB">
        <w:rPr>
          <w:noProof/>
        </w:rPr>
        <w:t>Nil</w:t>
      </w:r>
      <w:r w:rsidR="00E5486C" w:rsidRPr="00D942EB">
        <w:rPr>
          <w:noProof/>
        </w:rPr>
        <w:t>.</w:t>
      </w:r>
    </w:p>
    <w:p w14:paraId="2036A61B" w14:textId="6A255CF8" w:rsidR="006F2910" w:rsidRPr="00D942EB" w:rsidRDefault="006F2910" w:rsidP="007C2D48">
      <w:pPr>
        <w:pStyle w:val="Heading3"/>
        <w:rPr>
          <w:noProof/>
        </w:rPr>
      </w:pPr>
      <w:bookmarkStart w:id="33" w:name="_Toc39143476"/>
      <w:bookmarkStart w:id="34" w:name="_Toc181617069"/>
      <w:r w:rsidRPr="00D942EB">
        <w:rPr>
          <w:noProof/>
        </w:rPr>
        <w:t>Setting</w:t>
      </w:r>
      <w:bookmarkEnd w:id="33"/>
      <w:bookmarkEnd w:id="34"/>
    </w:p>
    <w:p w14:paraId="6E5BA8E2" w14:textId="366C7375" w:rsidR="006F2910" w:rsidRPr="00D942EB" w:rsidRDefault="006F2910" w:rsidP="007C2D48">
      <w:pPr>
        <w:rPr>
          <w:noProof/>
        </w:rPr>
      </w:pPr>
      <w:r w:rsidRPr="00D942EB">
        <w:rPr>
          <w:noProof/>
        </w:rPr>
        <w:t>All hospitals</w:t>
      </w:r>
      <w:r w:rsidR="00E5486C" w:rsidRPr="00D942EB">
        <w:rPr>
          <w:noProof/>
        </w:rPr>
        <w:t>.</w:t>
      </w:r>
    </w:p>
    <w:p w14:paraId="147D44DA" w14:textId="79960F6A" w:rsidR="006F2910" w:rsidRPr="00D942EB" w:rsidRDefault="006F2910" w:rsidP="007C2D48">
      <w:pPr>
        <w:pStyle w:val="Heading3"/>
        <w:rPr>
          <w:noProof/>
        </w:rPr>
      </w:pPr>
      <w:bookmarkStart w:id="35" w:name="_Toc39143477"/>
      <w:bookmarkStart w:id="36" w:name="_Toc181617070"/>
      <w:r w:rsidRPr="00D942EB">
        <w:rPr>
          <w:noProof/>
        </w:rPr>
        <w:t>Definitions</w:t>
      </w:r>
      <w:bookmarkEnd w:id="35"/>
      <w:bookmarkEnd w:id="36"/>
    </w:p>
    <w:p w14:paraId="0421424A" w14:textId="0CDA5364" w:rsidR="006F2910" w:rsidRPr="00D942EB" w:rsidRDefault="006F2910" w:rsidP="006F2910">
      <w:pPr>
        <w:spacing w:after="80"/>
        <w:rPr>
          <w:noProof/>
        </w:rPr>
      </w:pPr>
      <w:r w:rsidRPr="00D942EB">
        <w:rPr>
          <w:rStyle w:val="Strong"/>
        </w:rPr>
        <w:t>Invasive procedure</w:t>
      </w:r>
      <w:r w:rsidR="00DD6386" w:rsidRPr="00D942EB">
        <w:rPr>
          <w:rStyle w:val="Strong"/>
        </w:rPr>
        <w:t>:</w:t>
      </w:r>
      <w:r w:rsidRPr="00D942EB">
        <w:rPr>
          <w:noProof/>
        </w:rPr>
        <w:tab/>
        <w:t>A medical procedure that enters the body, usually by cutting or puncturing the skin or by inserting a needle, tube, device or scope into the body.</w:t>
      </w:r>
    </w:p>
    <w:p w14:paraId="043CE9C1" w14:textId="702B61DE" w:rsidR="006F2910" w:rsidRPr="00D942EB" w:rsidRDefault="006F2910" w:rsidP="006F2910">
      <w:pPr>
        <w:spacing w:after="80"/>
        <w:rPr>
          <w:noProof/>
        </w:rPr>
      </w:pPr>
      <w:r w:rsidRPr="00D942EB">
        <w:rPr>
          <w:rStyle w:val="Strong"/>
        </w:rPr>
        <w:t>Serious harm</w:t>
      </w:r>
      <w:r w:rsidR="00DD6386" w:rsidRPr="00D942EB">
        <w:rPr>
          <w:rStyle w:val="Strong"/>
        </w:rPr>
        <w:t>:</w:t>
      </w:r>
      <w:r w:rsidRPr="00D942EB">
        <w:rPr>
          <w:noProof/>
        </w:rPr>
        <w:t xml:space="preserve"> </w:t>
      </w:r>
      <w:r w:rsidRPr="00D942EB">
        <w:t xml:space="preserve">As a result of the incident the patient requires life-saving surgical/medical intervention, or has shortened life expectancy, or has experienced permanent or </w:t>
      </w:r>
      <w:r w:rsidR="00DD6386" w:rsidRPr="00D942EB">
        <w:t>long-term</w:t>
      </w:r>
      <w:r w:rsidRPr="00D942EB">
        <w:t xml:space="preserve"> physical harm or loss of function.</w:t>
      </w:r>
    </w:p>
    <w:p w14:paraId="2FE04B55" w14:textId="48DCF9E3" w:rsidR="006F2910" w:rsidRPr="00D942EB" w:rsidRDefault="00674C73" w:rsidP="007C2D48">
      <w:pPr>
        <w:pStyle w:val="Heading3"/>
        <w:rPr>
          <w:noProof/>
        </w:rPr>
      </w:pPr>
      <w:bookmarkStart w:id="37" w:name="_Toc181617071"/>
      <w:r w:rsidRPr="00D942EB">
        <w:rPr>
          <w:noProof/>
        </w:rPr>
        <w:t>Examples of preventive barriers</w:t>
      </w:r>
      <w:bookmarkEnd w:id="37"/>
    </w:p>
    <w:p w14:paraId="4AB6DAE3" w14:textId="6261CF0A" w:rsidR="006F2910" w:rsidRPr="00D942EB" w:rsidRDefault="00E5486C" w:rsidP="007C2D48">
      <w:pPr>
        <w:rPr>
          <w:noProof/>
        </w:rPr>
      </w:pPr>
      <w:r w:rsidRPr="00D942EB">
        <w:rPr>
          <w:lang w:val="en-US"/>
        </w:rPr>
        <w:t>National Safety and Quality Health Service (</w:t>
      </w:r>
      <w:r w:rsidR="006F2910" w:rsidRPr="00D942EB">
        <w:rPr>
          <w:noProof/>
        </w:rPr>
        <w:t>NSQHS</w:t>
      </w:r>
      <w:r w:rsidRPr="00D942EB">
        <w:rPr>
          <w:noProof/>
        </w:rPr>
        <w:t>)</w:t>
      </w:r>
      <w:r w:rsidR="006F2910" w:rsidRPr="00D942EB">
        <w:rPr>
          <w:noProof/>
        </w:rPr>
        <w:t xml:space="preserve"> Standards (second edition)</w:t>
      </w:r>
      <w:r w:rsidR="005A6203">
        <w:rPr>
          <w:noProof/>
        </w:rPr>
        <w:fldChar w:fldCharType="begin"/>
      </w:r>
      <w:r w:rsidR="005A6203">
        <w:rPr>
          <w:noProof/>
        </w:rPr>
        <w:instrText xml:space="preserve"> ADDIN EN.CITE &lt;EndNote&gt;&lt;Cite&gt;&lt;Author&gt;Australian Commission on Safety and Quality in Health Care&lt;/Author&gt;&lt;Year&gt;2021&lt;/Year&gt;&lt;RecNum&gt;6&lt;/RecNum&gt;&lt;DisplayText&gt;&lt;style face="superscript"&gt;2&lt;/style&gt;&lt;/DisplayText&gt;&lt;record&gt;&lt;rec-number&gt;6&lt;/rec-number&gt;&lt;foreign-keys&gt;&lt;key app="EN" db-id="s0afewfss5vsr9e0tvixevam5sps2w9r2t09" timestamp="1724730561"&gt;6&lt;/key&gt;&lt;/foreign-keys&gt;&lt;ref-type name="Electronic Book"&gt;44&lt;/ref-type&gt;&lt;contributors&gt;&lt;authors&gt;&lt;author&gt;Australian Commission on Safety and Quality in Health Care,&lt;/author&gt;&lt;/authors&gt;&lt;/contributors&gt;&lt;titles&gt;&lt;title&gt;National Safety and Quality Health Service Standards (second edition)&lt;/title&gt;&lt;/titles&gt;&lt;edition&gt;Second edition&lt;/edition&gt;&lt;dates&gt;&lt;year&gt;2021&lt;/year&gt;&lt;pub-dates&gt;&lt;date&gt;25 August 2024&lt;/date&gt;&lt;/pub-dates&gt;&lt;/dates&gt;&lt;pub-location&gt;Sydney&lt;/pub-location&gt;&lt;publisher&gt;ACSQHC&lt;/publisher&gt;&lt;urls&gt;&lt;related-urls&gt;&lt;url&gt;https://www.safetyandquality.gov.au/publications-and-resources/resource-library/national-safety-and-quality-health-service-standards-second-edition&lt;/url&gt;&lt;/related-urls&gt;&lt;/urls&gt;&lt;/record&gt;&lt;/Cite&gt;&lt;/EndNote&gt;</w:instrText>
      </w:r>
      <w:r w:rsidR="005A6203">
        <w:rPr>
          <w:noProof/>
        </w:rPr>
        <w:fldChar w:fldCharType="separate"/>
      </w:r>
      <w:r w:rsidR="005A6203" w:rsidRPr="005A6203">
        <w:rPr>
          <w:noProof/>
          <w:vertAlign w:val="superscript"/>
        </w:rPr>
        <w:t>2</w:t>
      </w:r>
      <w:r w:rsidR="005A6203">
        <w:rPr>
          <w:noProof/>
        </w:rPr>
        <w:fldChar w:fldCharType="end"/>
      </w:r>
      <w:r w:rsidR="006F2910" w:rsidRPr="00D942EB">
        <w:rPr>
          <w:noProof/>
        </w:rPr>
        <w:t xml:space="preserve"> – Communicating for Safety Standard: Correct identification and procedure matching. Action 6.6 states that: </w:t>
      </w:r>
    </w:p>
    <w:p w14:paraId="63F81C97" w14:textId="4DC0DC66" w:rsidR="006F2910" w:rsidRPr="00D942EB" w:rsidRDefault="006F2910" w:rsidP="007C2D48">
      <w:pPr>
        <w:pStyle w:val="Quote"/>
        <w:rPr>
          <w:noProof/>
        </w:rPr>
      </w:pPr>
      <w:r w:rsidRPr="00D942EB">
        <w:rPr>
          <w:noProof/>
        </w:rPr>
        <w:t xml:space="preserve">The health service organisation: </w:t>
      </w:r>
    </w:p>
    <w:p w14:paraId="406DBCCC" w14:textId="28AB1B2A" w:rsidR="006F2910" w:rsidRPr="00D942EB" w:rsidRDefault="006F2910" w:rsidP="007C2D48">
      <w:pPr>
        <w:pStyle w:val="Quote"/>
        <w:numPr>
          <w:ilvl w:val="0"/>
          <w:numId w:val="41"/>
        </w:numPr>
        <w:rPr>
          <w:noProof/>
        </w:rPr>
      </w:pPr>
      <w:r w:rsidRPr="00D942EB">
        <w:rPr>
          <w:noProof/>
        </w:rPr>
        <w:t xml:space="preserve">specifies the processes to correctly match patients to their care </w:t>
      </w:r>
    </w:p>
    <w:p w14:paraId="4CF0C62F" w14:textId="69B4C78C" w:rsidR="006F2910" w:rsidRPr="00D942EB" w:rsidRDefault="006F2910" w:rsidP="007C2D48">
      <w:pPr>
        <w:pStyle w:val="Quote"/>
        <w:numPr>
          <w:ilvl w:val="0"/>
          <w:numId w:val="41"/>
        </w:numPr>
        <w:rPr>
          <w:noProof/>
        </w:rPr>
      </w:pPr>
      <w:r w:rsidRPr="00D942EB">
        <w:rPr>
          <w:noProof/>
        </w:rPr>
        <w:t xml:space="preserve">specifies what information should be documented about the process of correctly matching patients to their intended care. </w:t>
      </w:r>
    </w:p>
    <w:p w14:paraId="2F3C8EE1" w14:textId="445E1C96" w:rsidR="005D728D" w:rsidRPr="00D942EB" w:rsidRDefault="005D728D" w:rsidP="006F2910">
      <w:pPr>
        <w:spacing w:after="80"/>
      </w:pPr>
      <w:hyperlink r:id="rId14" w:history="1">
        <w:r w:rsidRPr="00D942EB">
          <w:rPr>
            <w:rStyle w:val="Hyperlink"/>
          </w:rPr>
          <w:t>www.safetyandquality.gov.au/standards/nsqhs-standards</w:t>
        </w:r>
      </w:hyperlink>
    </w:p>
    <w:p w14:paraId="6A8200BA" w14:textId="77777777" w:rsidR="005D728D" w:rsidRPr="00D942EB" w:rsidRDefault="005D728D" w:rsidP="006F2910">
      <w:pPr>
        <w:spacing w:after="80"/>
      </w:pPr>
    </w:p>
    <w:p w14:paraId="7DC2EAB9" w14:textId="77777777" w:rsidR="006F2910" w:rsidRPr="00D942EB" w:rsidRDefault="006F2910">
      <w:pPr>
        <w:spacing w:after="80"/>
        <w:rPr>
          <w:b/>
          <w:bCs/>
          <w:iCs/>
          <w:noProof/>
        </w:rPr>
      </w:pPr>
      <w:bookmarkStart w:id="38" w:name="_Toc37768202"/>
      <w:r w:rsidRPr="00D942EB">
        <w:rPr>
          <w:b/>
          <w:bCs/>
          <w:iCs/>
          <w:noProof/>
        </w:rPr>
        <w:br w:type="page"/>
      </w:r>
    </w:p>
    <w:p w14:paraId="761D1931" w14:textId="6C330F8B" w:rsidR="006F2910" w:rsidRPr="00D942EB" w:rsidRDefault="003B2784" w:rsidP="006F2910">
      <w:pPr>
        <w:pStyle w:val="Heading2"/>
        <w:rPr>
          <w:noProof/>
        </w:rPr>
      </w:pPr>
      <w:bookmarkStart w:id="39" w:name="_Toc39143479"/>
      <w:bookmarkStart w:id="40" w:name="_Toc181617072"/>
      <w:r w:rsidRPr="00D942EB">
        <w:rPr>
          <w:noProof/>
        </w:rPr>
        <w:lastRenderedPageBreak/>
        <w:t xml:space="preserve">2:  </w:t>
      </w:r>
      <w:r w:rsidR="006F2910" w:rsidRPr="00D942EB">
        <w:rPr>
          <w:noProof/>
        </w:rPr>
        <w:t>Surgery or other invasive procedure performed on the wrong patient resulting in serious harm or death</w:t>
      </w:r>
      <w:bookmarkEnd w:id="38"/>
      <w:bookmarkEnd w:id="39"/>
      <w:bookmarkEnd w:id="40"/>
    </w:p>
    <w:tbl>
      <w:tblPr>
        <w:tblStyle w:val="TableGrid"/>
        <w:tblW w:w="9217" w:type="dxa"/>
        <w:tblLook w:val="04A0" w:firstRow="1" w:lastRow="0" w:firstColumn="1" w:lastColumn="0" w:noHBand="0" w:noVBand="1"/>
      </w:tblPr>
      <w:tblGrid>
        <w:gridCol w:w="9217"/>
      </w:tblGrid>
      <w:tr w:rsidR="006F2910" w:rsidRPr="00D942EB" w14:paraId="53700C52" w14:textId="77777777" w:rsidTr="0065199F">
        <w:trPr>
          <w:cnfStyle w:val="100000000000" w:firstRow="1" w:lastRow="0" w:firstColumn="0" w:lastColumn="0" w:oddVBand="0" w:evenVBand="0" w:oddHBand="0" w:evenHBand="0" w:firstRowFirstColumn="0" w:firstRowLastColumn="0" w:lastRowFirstColumn="0" w:lastRowLastColumn="0"/>
          <w:trHeight w:hRule="exact" w:val="560"/>
        </w:trPr>
        <w:tc>
          <w:tcPr>
            <w:tcW w:w="9217" w:type="dxa"/>
            <w:tcBorders>
              <w:top w:val="nil"/>
              <w:left w:val="nil"/>
              <w:bottom w:val="nil"/>
              <w:right w:val="nil"/>
            </w:tcBorders>
            <w:shd w:val="clear" w:color="auto" w:fill="EEECE1" w:themeFill="background2"/>
          </w:tcPr>
          <w:p w14:paraId="555C5D31"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Category: surgical or other procedures</w:t>
            </w:r>
          </w:p>
        </w:tc>
      </w:tr>
    </w:tbl>
    <w:p w14:paraId="621109D6" w14:textId="77777777" w:rsidR="006F2910" w:rsidRPr="00D942EB" w:rsidRDefault="006F2910" w:rsidP="007C2D48">
      <w:pPr>
        <w:pStyle w:val="Heading3"/>
        <w:rPr>
          <w:noProof/>
        </w:rPr>
      </w:pPr>
      <w:bookmarkStart w:id="41" w:name="_Toc39143480"/>
      <w:bookmarkStart w:id="42" w:name="_Toc181617073"/>
      <w:r w:rsidRPr="00D942EB">
        <w:rPr>
          <w:noProof/>
        </w:rPr>
        <w:t>Sentinel event</w:t>
      </w:r>
      <w:bookmarkEnd w:id="41"/>
      <w:bookmarkEnd w:id="42"/>
      <w:r w:rsidRPr="00D942EB">
        <w:rPr>
          <w:noProof/>
        </w:rPr>
        <w:t xml:space="preserve"> </w:t>
      </w:r>
    </w:p>
    <w:p w14:paraId="42B330A8" w14:textId="6A759BBB" w:rsidR="006F2910" w:rsidRPr="00D942EB" w:rsidRDefault="006F2910" w:rsidP="007C2D48">
      <w:pPr>
        <w:rPr>
          <w:noProof/>
        </w:rPr>
      </w:pPr>
      <w:r w:rsidRPr="00D942EB">
        <w:rPr>
          <w:noProof/>
        </w:rPr>
        <w:t>Surgery or other invasive procedure performed on the wrong patient resulting in serious harm or death</w:t>
      </w:r>
      <w:r w:rsidR="00E5486C" w:rsidRPr="00D942EB">
        <w:rPr>
          <w:noProof/>
        </w:rPr>
        <w:t>.</w:t>
      </w:r>
    </w:p>
    <w:p w14:paraId="15D51CC1" w14:textId="4B0E1006" w:rsidR="006F2910" w:rsidRPr="00D942EB" w:rsidRDefault="006F2910" w:rsidP="007C2D48">
      <w:pPr>
        <w:pStyle w:val="Heading3"/>
        <w:rPr>
          <w:noProof/>
        </w:rPr>
      </w:pPr>
      <w:bookmarkStart w:id="43" w:name="_Toc39143481"/>
      <w:bookmarkStart w:id="44" w:name="_Toc181617074"/>
      <w:r w:rsidRPr="00D942EB">
        <w:rPr>
          <w:noProof/>
        </w:rPr>
        <w:t>Inclusions/exclusions</w:t>
      </w:r>
      <w:bookmarkEnd w:id="43"/>
      <w:bookmarkEnd w:id="44"/>
    </w:p>
    <w:p w14:paraId="08F18275" w14:textId="758989DF" w:rsidR="006F2910" w:rsidRPr="00D942EB" w:rsidRDefault="006F2910" w:rsidP="007C2D48">
      <w:pPr>
        <w:rPr>
          <w:noProof/>
        </w:rPr>
      </w:pPr>
      <w:r w:rsidRPr="00D942EB">
        <w:rPr>
          <w:noProof/>
        </w:rPr>
        <w:t>Nil</w:t>
      </w:r>
      <w:r w:rsidR="00E5486C" w:rsidRPr="00D942EB">
        <w:rPr>
          <w:noProof/>
        </w:rPr>
        <w:t>.</w:t>
      </w:r>
    </w:p>
    <w:p w14:paraId="41E2375B" w14:textId="387B2C18" w:rsidR="006F2910" w:rsidRPr="00D942EB" w:rsidRDefault="006F2910" w:rsidP="007C2D48">
      <w:pPr>
        <w:pStyle w:val="Heading3"/>
        <w:rPr>
          <w:noProof/>
        </w:rPr>
      </w:pPr>
      <w:bookmarkStart w:id="45" w:name="_Toc39143482"/>
      <w:bookmarkStart w:id="46" w:name="_Toc181617075"/>
      <w:r w:rsidRPr="00D942EB">
        <w:rPr>
          <w:noProof/>
        </w:rPr>
        <w:t>Setting</w:t>
      </w:r>
      <w:bookmarkEnd w:id="45"/>
      <w:bookmarkEnd w:id="46"/>
    </w:p>
    <w:p w14:paraId="29B075BE" w14:textId="685766C3" w:rsidR="006F2910" w:rsidRPr="00D942EB" w:rsidRDefault="006F2910" w:rsidP="006F2910">
      <w:pPr>
        <w:spacing w:after="80"/>
        <w:rPr>
          <w:noProof/>
        </w:rPr>
      </w:pPr>
      <w:r w:rsidRPr="00D942EB">
        <w:rPr>
          <w:noProof/>
        </w:rPr>
        <w:t>All hospitals</w:t>
      </w:r>
      <w:r w:rsidR="00E5486C" w:rsidRPr="00D942EB">
        <w:rPr>
          <w:noProof/>
        </w:rPr>
        <w:t>.</w:t>
      </w:r>
    </w:p>
    <w:p w14:paraId="680A59CD" w14:textId="7C0E4311" w:rsidR="006F2910" w:rsidRPr="00D942EB" w:rsidRDefault="006F2910" w:rsidP="007C2D48">
      <w:pPr>
        <w:pStyle w:val="Heading3"/>
        <w:rPr>
          <w:noProof/>
        </w:rPr>
      </w:pPr>
      <w:bookmarkStart w:id="47" w:name="_Toc39143483"/>
      <w:bookmarkStart w:id="48" w:name="_Toc181617076"/>
      <w:r w:rsidRPr="00D942EB">
        <w:rPr>
          <w:noProof/>
        </w:rPr>
        <w:t>Definitions</w:t>
      </w:r>
      <w:bookmarkEnd w:id="47"/>
      <w:bookmarkEnd w:id="48"/>
    </w:p>
    <w:p w14:paraId="7023F4CC" w14:textId="78977798" w:rsidR="006F2910" w:rsidRPr="00D942EB" w:rsidRDefault="006F2910" w:rsidP="006F2910">
      <w:pPr>
        <w:spacing w:after="80"/>
        <w:rPr>
          <w:noProof/>
        </w:rPr>
      </w:pPr>
      <w:r w:rsidRPr="00D942EB">
        <w:rPr>
          <w:rStyle w:val="Strong"/>
        </w:rPr>
        <w:t>Invasive procedure</w:t>
      </w:r>
      <w:r w:rsidR="00DD6386" w:rsidRPr="00D942EB">
        <w:rPr>
          <w:rStyle w:val="Strong"/>
        </w:rPr>
        <w:t>:</w:t>
      </w:r>
      <w:r w:rsidRPr="00D942EB">
        <w:rPr>
          <w:noProof/>
        </w:rPr>
        <w:tab/>
        <w:t>A medical procedure that enters the body, usually by cutting or puncturing the skin or by inserting a needle, tube, device or scope into the body.</w:t>
      </w:r>
    </w:p>
    <w:p w14:paraId="37599936" w14:textId="4D3C7BF0" w:rsidR="006F2910" w:rsidRPr="00D942EB" w:rsidRDefault="006F2910" w:rsidP="006F2910">
      <w:pPr>
        <w:spacing w:after="80"/>
        <w:rPr>
          <w:noProof/>
        </w:rPr>
      </w:pPr>
      <w:r w:rsidRPr="00D942EB">
        <w:rPr>
          <w:rStyle w:val="Strong"/>
        </w:rPr>
        <w:t>Serious harm</w:t>
      </w:r>
      <w:r w:rsidR="00DD6386" w:rsidRPr="00D942EB">
        <w:rPr>
          <w:rStyle w:val="Strong"/>
        </w:rPr>
        <w:t>:</w:t>
      </w:r>
      <w:r w:rsidRPr="00D942EB">
        <w:rPr>
          <w:noProof/>
        </w:rPr>
        <w:t xml:space="preserve"> As a result of the incident the patient requires life-saving surgical/medical intervention, or has shortened life expectancy, or has experienced permanent or long</w:t>
      </w:r>
      <w:r w:rsidR="00DD6386" w:rsidRPr="00D942EB">
        <w:rPr>
          <w:noProof/>
        </w:rPr>
        <w:t>-</w:t>
      </w:r>
      <w:r w:rsidRPr="00D942EB">
        <w:rPr>
          <w:noProof/>
        </w:rPr>
        <w:t>term physical harm or loss of function.</w:t>
      </w:r>
    </w:p>
    <w:p w14:paraId="035785A3" w14:textId="65987ACA" w:rsidR="006F2910" w:rsidRPr="00D942EB" w:rsidRDefault="00674C73" w:rsidP="007C2D48">
      <w:pPr>
        <w:pStyle w:val="Heading3"/>
        <w:rPr>
          <w:noProof/>
        </w:rPr>
      </w:pPr>
      <w:bookmarkStart w:id="49" w:name="_Toc181617077"/>
      <w:r w:rsidRPr="00D942EB">
        <w:rPr>
          <w:noProof/>
        </w:rPr>
        <w:t>Examples of preventive barriers</w:t>
      </w:r>
      <w:bookmarkEnd w:id="49"/>
    </w:p>
    <w:p w14:paraId="4FAE6999" w14:textId="0D0D85CE" w:rsidR="006F2910" w:rsidRPr="00D942EB" w:rsidRDefault="006F2910" w:rsidP="007C2D48">
      <w:pPr>
        <w:pStyle w:val="Bulletlist"/>
        <w:rPr>
          <w:noProof/>
        </w:rPr>
      </w:pPr>
      <w:r w:rsidRPr="00D942EB">
        <w:t>NSQHS Standards (2nd ed.)</w:t>
      </w:r>
      <w:r w:rsidR="005A6203">
        <w:fldChar w:fldCharType="begin"/>
      </w:r>
      <w:r w:rsidR="005A6203">
        <w:instrText xml:space="preserve"> ADDIN EN.CITE &lt;EndNote&gt;&lt;Cite&gt;&lt;Author&gt;Australian Commission on Safety and Quality in Health Care&lt;/Author&gt;&lt;Year&gt;2021&lt;/Year&gt;&lt;RecNum&gt;6&lt;/RecNum&gt;&lt;DisplayText&gt;&lt;style face="superscript"&gt;2&lt;/style&gt;&lt;/DisplayText&gt;&lt;record&gt;&lt;rec-number&gt;6&lt;/rec-number&gt;&lt;foreign-keys&gt;&lt;key app="EN" db-id="s0afewfss5vsr9e0tvixevam5sps2w9r2t09" timestamp="1724730561"&gt;6&lt;/key&gt;&lt;/foreign-keys&gt;&lt;ref-type name="Electronic Book"&gt;44&lt;/ref-type&gt;&lt;contributors&gt;&lt;authors&gt;&lt;author&gt;Australian Commission on Safety and Quality in Health Care,&lt;/author&gt;&lt;/authors&gt;&lt;/contributors&gt;&lt;titles&gt;&lt;title&gt;National Safety and Quality Health Service Standards (second edition)&lt;/title&gt;&lt;/titles&gt;&lt;edition&gt;Second edition&lt;/edition&gt;&lt;dates&gt;&lt;year&gt;2021&lt;/year&gt;&lt;pub-dates&gt;&lt;date&gt;25 August 2024&lt;/date&gt;&lt;/pub-dates&gt;&lt;/dates&gt;&lt;pub-location&gt;Sydney&lt;/pub-location&gt;&lt;publisher&gt;ACSQHC&lt;/publisher&gt;&lt;urls&gt;&lt;related-urls&gt;&lt;url&gt;https://www.safetyandquality.gov.au/publications-and-resources/resource-library/national-safety-and-quality-health-service-standards-second-edition&lt;/url&gt;&lt;/related-urls&gt;&lt;/urls&gt;&lt;/record&gt;&lt;/Cite&gt;&lt;/EndNote&gt;</w:instrText>
      </w:r>
      <w:r w:rsidR="005A6203">
        <w:fldChar w:fldCharType="separate"/>
      </w:r>
      <w:r w:rsidR="005A6203" w:rsidRPr="005A6203">
        <w:rPr>
          <w:noProof/>
          <w:vertAlign w:val="superscript"/>
        </w:rPr>
        <w:t>2</w:t>
      </w:r>
      <w:r w:rsidR="005A6203">
        <w:fldChar w:fldCharType="end"/>
      </w:r>
      <w:r w:rsidRPr="00D942EB">
        <w:t xml:space="preserve"> – Communicating for Safety Standard: Correct identification and procedure matching. Action 6.6 states that</w:t>
      </w:r>
      <w:r w:rsidR="00D94717" w:rsidRPr="00D942EB">
        <w:t>:</w:t>
      </w:r>
      <w:r w:rsidRPr="00D942EB">
        <w:rPr>
          <w:noProof/>
        </w:rPr>
        <w:t xml:space="preserve"> </w:t>
      </w:r>
    </w:p>
    <w:p w14:paraId="7115F2F0" w14:textId="4D5A4459" w:rsidR="006F2910" w:rsidRPr="00D942EB" w:rsidRDefault="006F2910" w:rsidP="007C2D48">
      <w:pPr>
        <w:pStyle w:val="Quote"/>
        <w:ind w:left="567"/>
        <w:rPr>
          <w:noProof/>
        </w:rPr>
      </w:pPr>
      <w:r w:rsidRPr="00D942EB">
        <w:rPr>
          <w:noProof/>
        </w:rPr>
        <w:t xml:space="preserve">The health service organisation: </w:t>
      </w:r>
    </w:p>
    <w:p w14:paraId="7215D1A7" w14:textId="490497D8" w:rsidR="006F2910" w:rsidRPr="00D942EB" w:rsidRDefault="006F2910" w:rsidP="007C2D48">
      <w:pPr>
        <w:pStyle w:val="Quote"/>
        <w:numPr>
          <w:ilvl w:val="0"/>
          <w:numId w:val="40"/>
        </w:numPr>
        <w:ind w:left="993"/>
        <w:rPr>
          <w:noProof/>
        </w:rPr>
      </w:pPr>
      <w:r w:rsidRPr="00D942EB">
        <w:rPr>
          <w:noProof/>
        </w:rPr>
        <w:t xml:space="preserve">specifies the processes to correctly match patients to their care </w:t>
      </w:r>
    </w:p>
    <w:p w14:paraId="38455B4C" w14:textId="1AFCF781" w:rsidR="006F2910" w:rsidRPr="00D942EB" w:rsidRDefault="006F2910" w:rsidP="007C2D48">
      <w:pPr>
        <w:pStyle w:val="Quote"/>
        <w:numPr>
          <w:ilvl w:val="0"/>
          <w:numId w:val="40"/>
        </w:numPr>
        <w:ind w:left="993"/>
        <w:rPr>
          <w:noProof/>
        </w:rPr>
      </w:pPr>
      <w:r w:rsidRPr="00D942EB">
        <w:rPr>
          <w:noProof/>
        </w:rPr>
        <w:t xml:space="preserve">specifies what information should be documented about the process of correctly matching patients to their intended care. </w:t>
      </w:r>
    </w:p>
    <w:p w14:paraId="778867F0" w14:textId="41619547" w:rsidR="00703571" w:rsidRPr="00D942EB" w:rsidRDefault="0094255C" w:rsidP="007C2D48">
      <w:pPr>
        <w:spacing w:after="0"/>
        <w:ind w:left="567"/>
      </w:pPr>
      <w:hyperlink r:id="rId15" w:history="1">
        <w:r w:rsidRPr="00D942EB">
          <w:rPr>
            <w:rStyle w:val="Hyperlink"/>
          </w:rPr>
          <w:t>www.safetyandquality.gov.au/standards/nsqhs-standards</w:t>
        </w:r>
      </w:hyperlink>
      <w:r w:rsidRPr="00D942EB">
        <w:t xml:space="preserve"> </w:t>
      </w:r>
    </w:p>
    <w:p w14:paraId="492553CD" w14:textId="77777777" w:rsidR="006F2910" w:rsidRPr="00D942EB" w:rsidRDefault="006F2910" w:rsidP="006F2910">
      <w:pPr>
        <w:spacing w:after="80"/>
        <w:rPr>
          <w:noProof/>
        </w:rPr>
      </w:pPr>
    </w:p>
    <w:p w14:paraId="380CC4DA" w14:textId="34BD112B" w:rsidR="006F2910" w:rsidRPr="00D942EB" w:rsidRDefault="006F2910" w:rsidP="007C2D48">
      <w:pPr>
        <w:pStyle w:val="Bulletlist"/>
        <w:spacing w:after="0"/>
        <w:rPr>
          <w:noProof/>
        </w:rPr>
      </w:pPr>
      <w:r w:rsidRPr="00D942EB">
        <w:rPr>
          <w:noProof/>
        </w:rPr>
        <w:t xml:space="preserve">Nationally agreed use of the </w:t>
      </w:r>
      <w:r w:rsidR="00845A09" w:rsidRPr="00D942EB">
        <w:rPr>
          <w:noProof/>
        </w:rPr>
        <w:t>World Health Organization (</w:t>
      </w:r>
      <w:r w:rsidRPr="00D942EB">
        <w:rPr>
          <w:noProof/>
        </w:rPr>
        <w:t>WHO Surgical Safety Checklist</w:t>
      </w:r>
      <w:r w:rsidR="005A6203">
        <w:rPr>
          <w:noProof/>
        </w:rPr>
        <w:t>)</w:t>
      </w:r>
      <w:r w:rsidR="005A6203">
        <w:rPr>
          <w:noProof/>
        </w:rPr>
        <w:fldChar w:fldCharType="begin"/>
      </w:r>
      <w:r w:rsidR="00912E7B">
        <w:rPr>
          <w:noProof/>
        </w:rPr>
        <w:instrText xml:space="preserve"> ADDIN EN.CITE &lt;EndNote&gt;&lt;Cite&gt;&lt;Author&gt;Australian Commission on Safety and Quality in Health Care&lt;/Author&gt;&lt;RecNum&gt;4&lt;/RecNum&gt;&lt;DisplayText&gt;&lt;style face="superscript"&gt;3&lt;/style&gt;&lt;/DisplayText&gt;&lt;record&gt;&lt;rec-number&gt;4&lt;/rec-number&gt;&lt;foreign-keys&gt;&lt;key app="EN" db-id="s0afewfss5vsr9e0tvixevam5sps2w9r2t09" timestamp="1724730561"&gt;4&lt;/key&gt;&lt;/foreign-keys&gt;&lt;ref-type name="Web Page"&gt;12&lt;/ref-type&gt;&lt;contributors&gt;&lt;authors&gt;&lt;author&gt;Australian Commission on Safety and Quality in Health Care,&lt;/author&gt;&lt;/authors&gt;&lt;/contributors&gt;&lt;titles&gt;&lt;title&gt;Surgical Safety Checklist&lt;/title&gt;&lt;/titles&gt;&lt;volume&gt;2017&lt;/volume&gt;&lt;number&gt;Sep&lt;/number&gt;&lt;dates&gt;&lt;/dates&gt;&lt;pub-location&gt;Sydney&lt;/pub-location&gt;&lt;publisher&gt;ACSQHC&lt;/publisher&gt;&lt;urls&gt;&lt;related-urls&gt;&lt;url&gt;https://www.safetyandquality.gov.au/our-work/patient-identification/patient-procedure-matching-protocols/surgical-safety-checklist/&lt;/url&gt;&lt;/related-urls&gt;&lt;/urls&gt;&lt;/record&gt;&lt;/Cite&gt;&lt;/EndNote&gt;</w:instrText>
      </w:r>
      <w:r w:rsidR="005A6203">
        <w:rPr>
          <w:noProof/>
        </w:rPr>
        <w:fldChar w:fldCharType="separate"/>
      </w:r>
      <w:r w:rsidR="005A6203" w:rsidRPr="005A6203">
        <w:rPr>
          <w:noProof/>
          <w:vertAlign w:val="superscript"/>
        </w:rPr>
        <w:t>3</w:t>
      </w:r>
      <w:r w:rsidR="005A6203">
        <w:rPr>
          <w:noProof/>
        </w:rPr>
        <w:fldChar w:fldCharType="end"/>
      </w:r>
      <w:r w:rsidR="00E5486C" w:rsidRPr="00D942EB">
        <w:rPr>
          <w:noProof/>
        </w:rPr>
        <w:t>.</w:t>
      </w:r>
      <w:r w:rsidR="005A6203" w:rsidRPr="00D942EB">
        <w:rPr>
          <w:noProof/>
        </w:rPr>
        <w:t xml:space="preserve"> </w:t>
      </w:r>
    </w:p>
    <w:p w14:paraId="5CE8AFD1" w14:textId="7867DAB7" w:rsidR="006F2910" w:rsidRPr="00D942EB" w:rsidRDefault="006F2910" w:rsidP="007C2D48">
      <w:pPr>
        <w:spacing w:after="80"/>
        <w:ind w:left="567"/>
        <w:rPr>
          <w:noProof/>
        </w:rPr>
      </w:pPr>
      <w:hyperlink r:id="rId16" w:history="1">
        <w:r w:rsidRPr="00D942EB">
          <w:rPr>
            <w:rStyle w:val="Hyperlink"/>
            <w:noProof/>
          </w:rPr>
          <w:t>www.safetyandquality.gov.au/our-work/patient-identification/patient-procedure-matching-protocols/surgical-safety-checklist/</w:t>
        </w:r>
      </w:hyperlink>
    </w:p>
    <w:p w14:paraId="65ADCFD9" w14:textId="77777777" w:rsidR="006F2910" w:rsidRPr="00D942EB" w:rsidRDefault="006F2910" w:rsidP="006F2910">
      <w:pPr>
        <w:spacing w:after="80"/>
        <w:rPr>
          <w:noProof/>
        </w:rPr>
      </w:pPr>
      <w:r w:rsidRPr="00D942EB">
        <w:rPr>
          <w:noProof/>
        </w:rPr>
        <w:br w:type="page"/>
      </w:r>
    </w:p>
    <w:p w14:paraId="580B9963" w14:textId="145F4538" w:rsidR="006F2910" w:rsidRPr="00D942EB" w:rsidRDefault="003B2784" w:rsidP="006F2910">
      <w:pPr>
        <w:pStyle w:val="Heading2"/>
        <w:rPr>
          <w:noProof/>
        </w:rPr>
      </w:pPr>
      <w:bookmarkStart w:id="50" w:name="_Toc37768203"/>
      <w:bookmarkStart w:id="51" w:name="_Toc39143485"/>
      <w:bookmarkStart w:id="52" w:name="_Toc181617078"/>
      <w:r w:rsidRPr="00D942EB">
        <w:rPr>
          <w:noProof/>
        </w:rPr>
        <w:lastRenderedPageBreak/>
        <w:t xml:space="preserve">3:  </w:t>
      </w:r>
      <w:r w:rsidR="006F2910" w:rsidRPr="00D942EB">
        <w:rPr>
          <w:noProof/>
        </w:rPr>
        <w:t>Wrong surgical or other invasive procedure performed on a patient resulting in serious harm or death</w:t>
      </w:r>
      <w:bookmarkEnd w:id="50"/>
      <w:bookmarkEnd w:id="51"/>
      <w:bookmarkEnd w:id="52"/>
    </w:p>
    <w:tbl>
      <w:tblPr>
        <w:tblStyle w:val="TableGrid"/>
        <w:tblW w:w="9243" w:type="dxa"/>
        <w:tblLook w:val="04A0" w:firstRow="1" w:lastRow="0" w:firstColumn="1" w:lastColumn="0" w:noHBand="0" w:noVBand="1"/>
      </w:tblPr>
      <w:tblGrid>
        <w:gridCol w:w="9243"/>
      </w:tblGrid>
      <w:tr w:rsidR="006F2910" w:rsidRPr="00D942EB" w14:paraId="6B1E83A8" w14:textId="77777777" w:rsidTr="0065199F">
        <w:trPr>
          <w:cnfStyle w:val="100000000000" w:firstRow="1" w:lastRow="0" w:firstColumn="0" w:lastColumn="0" w:oddVBand="0" w:evenVBand="0" w:oddHBand="0" w:evenHBand="0" w:firstRowFirstColumn="0" w:firstRowLastColumn="0" w:lastRowFirstColumn="0" w:lastRowLastColumn="0"/>
          <w:trHeight w:hRule="exact" w:val="522"/>
        </w:trPr>
        <w:tc>
          <w:tcPr>
            <w:tcW w:w="9243" w:type="dxa"/>
            <w:tcBorders>
              <w:top w:val="nil"/>
              <w:left w:val="nil"/>
              <w:bottom w:val="nil"/>
              <w:right w:val="nil"/>
            </w:tcBorders>
            <w:shd w:val="clear" w:color="auto" w:fill="EEECE1" w:themeFill="background2"/>
          </w:tcPr>
          <w:p w14:paraId="500857D6"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Category: surgical or other procedures</w:t>
            </w:r>
          </w:p>
        </w:tc>
      </w:tr>
    </w:tbl>
    <w:p w14:paraId="7F991733" w14:textId="77777777" w:rsidR="006F2910" w:rsidRPr="00D942EB" w:rsidRDefault="006F2910" w:rsidP="007C2D48">
      <w:pPr>
        <w:pStyle w:val="Heading3"/>
        <w:rPr>
          <w:noProof/>
        </w:rPr>
      </w:pPr>
      <w:bookmarkStart w:id="53" w:name="_Toc39143486"/>
      <w:bookmarkStart w:id="54" w:name="_Toc181617079"/>
      <w:r w:rsidRPr="00D942EB">
        <w:rPr>
          <w:noProof/>
        </w:rPr>
        <w:t>Sentinel event</w:t>
      </w:r>
      <w:bookmarkEnd w:id="53"/>
      <w:bookmarkEnd w:id="54"/>
    </w:p>
    <w:p w14:paraId="2F1BEC79" w14:textId="175ACE9D" w:rsidR="006F2910" w:rsidRPr="00D942EB" w:rsidRDefault="006F2910" w:rsidP="007C2D48">
      <w:pPr>
        <w:rPr>
          <w:noProof/>
        </w:rPr>
      </w:pPr>
      <w:r w:rsidRPr="00D942EB">
        <w:rPr>
          <w:noProof/>
        </w:rPr>
        <w:t>Wrong surgical or other invasive procedure performed on a patient resulting in serious harm or death</w:t>
      </w:r>
      <w:r w:rsidR="00E5486C" w:rsidRPr="00D942EB">
        <w:rPr>
          <w:noProof/>
        </w:rPr>
        <w:t>.</w:t>
      </w:r>
    </w:p>
    <w:p w14:paraId="3D77D78A" w14:textId="6CD1E6BF" w:rsidR="006F2910" w:rsidRPr="00D942EB" w:rsidRDefault="006F2910" w:rsidP="007C2D48">
      <w:pPr>
        <w:pStyle w:val="Heading3"/>
        <w:rPr>
          <w:noProof/>
        </w:rPr>
      </w:pPr>
      <w:bookmarkStart w:id="55" w:name="_Toc39143487"/>
      <w:bookmarkStart w:id="56" w:name="_Toc181617080"/>
      <w:r w:rsidRPr="00D942EB">
        <w:rPr>
          <w:noProof/>
        </w:rPr>
        <w:t>Inclusions/exclusions</w:t>
      </w:r>
      <w:bookmarkEnd w:id="55"/>
      <w:bookmarkEnd w:id="56"/>
    </w:p>
    <w:p w14:paraId="5F69EA5C" w14:textId="77777777" w:rsidR="00DD6386" w:rsidRPr="00D942EB" w:rsidRDefault="006F2910" w:rsidP="007C2D48">
      <w:pPr>
        <w:pStyle w:val="Normal-beforebullets"/>
        <w:rPr>
          <w:noProof/>
        </w:rPr>
      </w:pPr>
      <w:r w:rsidRPr="00D942EB">
        <w:rPr>
          <w:noProof/>
        </w:rPr>
        <w:t>Excluding surgeries or other invasive procedures</w:t>
      </w:r>
      <w:r w:rsidR="00DD6386" w:rsidRPr="00D942EB">
        <w:rPr>
          <w:noProof/>
        </w:rPr>
        <w:t>:</w:t>
      </w:r>
    </w:p>
    <w:p w14:paraId="1614BDF1" w14:textId="30F9A56B" w:rsidR="006F2910" w:rsidRPr="00D942EB" w:rsidRDefault="00E5486C" w:rsidP="007C2D48">
      <w:pPr>
        <w:pStyle w:val="Bulletlist"/>
        <w:rPr>
          <w:b/>
          <w:noProof/>
        </w:rPr>
      </w:pPr>
      <w:r w:rsidRPr="00D942EB">
        <w:rPr>
          <w:noProof/>
        </w:rPr>
        <w:t>R</w:t>
      </w:r>
      <w:r w:rsidR="006F2910" w:rsidRPr="00D942EB">
        <w:rPr>
          <w:noProof/>
        </w:rPr>
        <w:t>esulting from incorrect diagnoses</w:t>
      </w:r>
      <w:r w:rsidRPr="00D942EB">
        <w:rPr>
          <w:noProof/>
        </w:rPr>
        <w:t>, or</w:t>
      </w:r>
    </w:p>
    <w:p w14:paraId="66758F9F" w14:textId="19651D0E" w:rsidR="006F2910" w:rsidRPr="00D942EB" w:rsidRDefault="00681DBA" w:rsidP="007C2D48">
      <w:pPr>
        <w:pStyle w:val="Bulletlist"/>
        <w:rPr>
          <w:b/>
          <w:noProof/>
        </w:rPr>
      </w:pPr>
      <w:r w:rsidRPr="00D942EB">
        <w:rPr>
          <w:noProof/>
        </w:rPr>
        <w:t>A</w:t>
      </w:r>
      <w:r w:rsidR="006F2910" w:rsidRPr="00D942EB">
        <w:rPr>
          <w:noProof/>
        </w:rPr>
        <w:t>ltered to adjust for unexpected anatomical abnormalities</w:t>
      </w:r>
      <w:r w:rsidR="00E5486C" w:rsidRPr="00D942EB">
        <w:rPr>
          <w:noProof/>
        </w:rPr>
        <w:t>.</w:t>
      </w:r>
    </w:p>
    <w:p w14:paraId="5C4C08D5" w14:textId="57185A5B" w:rsidR="006F2910" w:rsidRPr="00D942EB" w:rsidRDefault="006F2910" w:rsidP="007C2D48">
      <w:pPr>
        <w:pStyle w:val="Heading3"/>
        <w:rPr>
          <w:noProof/>
        </w:rPr>
      </w:pPr>
      <w:bookmarkStart w:id="57" w:name="_Toc39143488"/>
      <w:bookmarkStart w:id="58" w:name="_Toc181617081"/>
      <w:r w:rsidRPr="00D942EB">
        <w:rPr>
          <w:noProof/>
        </w:rPr>
        <w:t>Setting</w:t>
      </w:r>
      <w:bookmarkEnd w:id="57"/>
      <w:bookmarkEnd w:id="58"/>
    </w:p>
    <w:p w14:paraId="3410EDE9" w14:textId="5C4F3EB5" w:rsidR="006F2910" w:rsidRPr="00D942EB" w:rsidRDefault="006F2910" w:rsidP="007C2D48">
      <w:pPr>
        <w:rPr>
          <w:b/>
          <w:noProof/>
        </w:rPr>
      </w:pPr>
      <w:r w:rsidRPr="00D942EB">
        <w:rPr>
          <w:noProof/>
        </w:rPr>
        <w:t>All hospitals</w:t>
      </w:r>
      <w:r w:rsidR="00E5486C" w:rsidRPr="00D942EB">
        <w:rPr>
          <w:noProof/>
        </w:rPr>
        <w:t>.</w:t>
      </w:r>
    </w:p>
    <w:p w14:paraId="42E95158" w14:textId="672583F0" w:rsidR="006F2910" w:rsidRPr="00D942EB" w:rsidRDefault="006F2910" w:rsidP="007C2D48">
      <w:pPr>
        <w:pStyle w:val="Heading3"/>
        <w:rPr>
          <w:rStyle w:val="Strong"/>
        </w:rPr>
      </w:pPr>
      <w:bookmarkStart w:id="59" w:name="_Toc39143489"/>
      <w:bookmarkStart w:id="60" w:name="_Toc181617082"/>
      <w:r w:rsidRPr="00D942EB">
        <w:rPr>
          <w:noProof/>
        </w:rPr>
        <w:t>Definitions</w:t>
      </w:r>
      <w:bookmarkEnd w:id="59"/>
      <w:bookmarkEnd w:id="60"/>
    </w:p>
    <w:p w14:paraId="0BE273AA" w14:textId="218C6B2D" w:rsidR="006F2910" w:rsidRPr="00D942EB" w:rsidRDefault="006F2910" w:rsidP="006F2910">
      <w:pPr>
        <w:spacing w:after="80"/>
      </w:pPr>
      <w:r w:rsidRPr="00D942EB">
        <w:rPr>
          <w:rStyle w:val="Strong"/>
        </w:rPr>
        <w:t>Invasive procedure</w:t>
      </w:r>
      <w:r w:rsidR="00DD6386" w:rsidRPr="00D942EB">
        <w:rPr>
          <w:rStyle w:val="Strong"/>
        </w:rPr>
        <w:t>:</w:t>
      </w:r>
      <w:r w:rsidRPr="00D942EB">
        <w:rPr>
          <w:noProof/>
        </w:rPr>
        <w:tab/>
      </w:r>
      <w:r w:rsidRPr="00D942EB">
        <w:t>A medical procedure that enters the body, usually by cutting or puncturing the skin or by inserting a needle, tube, device or scope into the body.</w:t>
      </w:r>
    </w:p>
    <w:p w14:paraId="0501415A" w14:textId="2F29A555" w:rsidR="006F2910" w:rsidRPr="00D942EB" w:rsidRDefault="006F2910" w:rsidP="006F2910">
      <w:pPr>
        <w:spacing w:after="80"/>
        <w:rPr>
          <w:noProof/>
        </w:rPr>
      </w:pPr>
      <w:r w:rsidRPr="00D942EB">
        <w:rPr>
          <w:rStyle w:val="Strong"/>
        </w:rPr>
        <w:t>Serious harm</w:t>
      </w:r>
      <w:r w:rsidR="00DD6386" w:rsidRPr="00D942EB">
        <w:rPr>
          <w:rStyle w:val="Strong"/>
        </w:rPr>
        <w:t>:</w:t>
      </w:r>
      <w:r w:rsidRPr="00D942EB">
        <w:rPr>
          <w:noProof/>
        </w:rPr>
        <w:t xml:space="preserve"> </w:t>
      </w:r>
      <w:r w:rsidRPr="00D942EB">
        <w:t xml:space="preserve">As a result of the incident the patient requires life-saving surgical/medical intervention, or has shortened life expectancy, or has experienced permanent or </w:t>
      </w:r>
      <w:r w:rsidR="00DD6386" w:rsidRPr="00D942EB">
        <w:t>long-term</w:t>
      </w:r>
      <w:r w:rsidRPr="00D942EB">
        <w:t xml:space="preserve"> physical harm or loss of function.</w:t>
      </w:r>
    </w:p>
    <w:p w14:paraId="1C34BC51" w14:textId="31F2D25F" w:rsidR="006F2910" w:rsidRPr="00D942EB" w:rsidRDefault="00674C73" w:rsidP="007C2D48">
      <w:pPr>
        <w:pStyle w:val="Heading3"/>
        <w:rPr>
          <w:noProof/>
        </w:rPr>
      </w:pPr>
      <w:bookmarkStart w:id="61" w:name="_Toc181617083"/>
      <w:r w:rsidRPr="00D942EB">
        <w:rPr>
          <w:noProof/>
        </w:rPr>
        <w:t>Examples of preventive barriers</w:t>
      </w:r>
      <w:bookmarkEnd w:id="61"/>
    </w:p>
    <w:p w14:paraId="2E291FC2" w14:textId="0BEAF8BE" w:rsidR="006F2910" w:rsidRPr="00D942EB" w:rsidRDefault="006F2910" w:rsidP="006F2910">
      <w:pPr>
        <w:numPr>
          <w:ilvl w:val="0"/>
          <w:numId w:val="26"/>
        </w:numPr>
        <w:spacing w:after="80"/>
        <w:rPr>
          <w:noProof/>
        </w:rPr>
      </w:pPr>
      <w:r w:rsidRPr="00D942EB">
        <w:rPr>
          <w:noProof/>
        </w:rPr>
        <w:t>NSQHS Standards (2</w:t>
      </w:r>
      <w:r w:rsidRPr="00D942EB">
        <w:rPr>
          <w:noProof/>
          <w:vertAlign w:val="superscript"/>
        </w:rPr>
        <w:t>nd</w:t>
      </w:r>
      <w:r w:rsidRPr="00D942EB">
        <w:rPr>
          <w:noProof/>
        </w:rPr>
        <w:t xml:space="preserve"> ed.)</w:t>
      </w:r>
      <w:r w:rsidR="005A6203">
        <w:rPr>
          <w:noProof/>
        </w:rPr>
        <w:fldChar w:fldCharType="begin"/>
      </w:r>
      <w:r w:rsidR="005A6203">
        <w:rPr>
          <w:noProof/>
        </w:rPr>
        <w:instrText xml:space="preserve"> ADDIN EN.CITE &lt;EndNote&gt;&lt;Cite&gt;&lt;Author&gt;Australian Commission on Safety and Quality in Health Care&lt;/Author&gt;&lt;Year&gt;2021&lt;/Year&gt;&lt;RecNum&gt;6&lt;/RecNum&gt;&lt;DisplayText&gt;&lt;style face="superscript"&gt;2&lt;/style&gt;&lt;/DisplayText&gt;&lt;record&gt;&lt;rec-number&gt;6&lt;/rec-number&gt;&lt;foreign-keys&gt;&lt;key app="EN" db-id="s0afewfss5vsr9e0tvixevam5sps2w9r2t09" timestamp="1724730561"&gt;6&lt;/key&gt;&lt;/foreign-keys&gt;&lt;ref-type name="Electronic Book"&gt;44&lt;/ref-type&gt;&lt;contributors&gt;&lt;authors&gt;&lt;author&gt;Australian Commission on Safety and Quality in Health Care,&lt;/author&gt;&lt;/authors&gt;&lt;/contributors&gt;&lt;titles&gt;&lt;title&gt;National Safety and Quality Health Service Standards (second edition)&lt;/title&gt;&lt;/titles&gt;&lt;edition&gt;Second edition&lt;/edition&gt;&lt;dates&gt;&lt;year&gt;2021&lt;/year&gt;&lt;pub-dates&gt;&lt;date&gt;25 August 2024&lt;/date&gt;&lt;/pub-dates&gt;&lt;/dates&gt;&lt;pub-location&gt;Sydney&lt;/pub-location&gt;&lt;publisher&gt;ACSQHC&lt;/publisher&gt;&lt;urls&gt;&lt;related-urls&gt;&lt;url&gt;https://www.safetyandquality.gov.au/publications-and-resources/resource-library/national-safety-and-quality-health-service-standards-second-edition&lt;/url&gt;&lt;/related-urls&gt;&lt;/urls&gt;&lt;/record&gt;&lt;/Cite&gt;&lt;/EndNote&gt;</w:instrText>
      </w:r>
      <w:r w:rsidR="005A6203">
        <w:rPr>
          <w:noProof/>
        </w:rPr>
        <w:fldChar w:fldCharType="separate"/>
      </w:r>
      <w:r w:rsidR="005A6203" w:rsidRPr="005A6203">
        <w:rPr>
          <w:noProof/>
          <w:vertAlign w:val="superscript"/>
        </w:rPr>
        <w:t>2</w:t>
      </w:r>
      <w:r w:rsidR="005A6203">
        <w:rPr>
          <w:noProof/>
        </w:rPr>
        <w:fldChar w:fldCharType="end"/>
      </w:r>
      <w:r w:rsidRPr="00D942EB">
        <w:rPr>
          <w:noProof/>
          <w:vertAlign w:val="superscript"/>
        </w:rPr>
        <w:t xml:space="preserve"> </w:t>
      </w:r>
      <w:r w:rsidRPr="00D942EB">
        <w:rPr>
          <w:noProof/>
        </w:rPr>
        <w:t xml:space="preserve">– Communicating for Safety Standard: Correct identification and procedure matching. Action 6.6 states that: </w:t>
      </w:r>
    </w:p>
    <w:p w14:paraId="7AB40F05" w14:textId="6BB86D31" w:rsidR="006F2910" w:rsidRPr="00D942EB" w:rsidRDefault="006F2910" w:rsidP="008A6F88">
      <w:pPr>
        <w:pStyle w:val="Quote"/>
        <w:ind w:left="709"/>
        <w:rPr>
          <w:noProof/>
        </w:rPr>
      </w:pPr>
      <w:r w:rsidRPr="00D942EB">
        <w:rPr>
          <w:noProof/>
        </w:rPr>
        <w:t xml:space="preserve"> The health service organisation: </w:t>
      </w:r>
    </w:p>
    <w:p w14:paraId="68B11FD6" w14:textId="6A09F240" w:rsidR="006F2910" w:rsidRPr="00D942EB" w:rsidRDefault="006F2910" w:rsidP="007C2D48">
      <w:pPr>
        <w:pStyle w:val="Quote"/>
        <w:numPr>
          <w:ilvl w:val="1"/>
          <w:numId w:val="26"/>
        </w:numPr>
        <w:ind w:left="1134"/>
        <w:rPr>
          <w:noProof/>
        </w:rPr>
      </w:pPr>
      <w:r w:rsidRPr="00D942EB">
        <w:rPr>
          <w:noProof/>
        </w:rPr>
        <w:t xml:space="preserve">specifies the processes to correctly match patients to their care </w:t>
      </w:r>
    </w:p>
    <w:p w14:paraId="6E1F39AB" w14:textId="691BB0A7" w:rsidR="006F2910" w:rsidRPr="00D942EB" w:rsidRDefault="006F2910" w:rsidP="007C2D48">
      <w:pPr>
        <w:pStyle w:val="Quote"/>
        <w:numPr>
          <w:ilvl w:val="1"/>
          <w:numId w:val="26"/>
        </w:numPr>
        <w:ind w:left="1134"/>
        <w:rPr>
          <w:noProof/>
        </w:rPr>
      </w:pPr>
      <w:r w:rsidRPr="00D942EB">
        <w:rPr>
          <w:noProof/>
        </w:rPr>
        <w:t xml:space="preserve">specifies what information should be documented about the process of correctly matching patients to their intended care. </w:t>
      </w:r>
    </w:p>
    <w:p w14:paraId="46ADF376" w14:textId="50F098A3" w:rsidR="002F2872" w:rsidRPr="00D942EB" w:rsidRDefault="001622AC" w:rsidP="007C2D48">
      <w:pPr>
        <w:spacing w:after="80"/>
        <w:ind w:left="709"/>
      </w:pPr>
      <w:hyperlink r:id="rId17" w:history="1">
        <w:r w:rsidRPr="00D92275">
          <w:rPr>
            <w:rStyle w:val="Hyperlink"/>
          </w:rPr>
          <w:t>www.safetyandquality.gov.au/standards/nsqhs-standards</w:t>
        </w:r>
      </w:hyperlink>
      <w:r w:rsidR="00B46523" w:rsidRPr="00D942EB">
        <w:t xml:space="preserve"> </w:t>
      </w:r>
    </w:p>
    <w:p w14:paraId="2220AA43" w14:textId="77777777" w:rsidR="006F2910" w:rsidRPr="00D942EB" w:rsidRDefault="006F2910" w:rsidP="006F2910">
      <w:pPr>
        <w:spacing w:after="80"/>
        <w:rPr>
          <w:noProof/>
        </w:rPr>
      </w:pPr>
    </w:p>
    <w:p w14:paraId="5A309FBC" w14:textId="7680F6C0" w:rsidR="006F2910" w:rsidRPr="00D942EB" w:rsidRDefault="006F2910" w:rsidP="007C2D48">
      <w:pPr>
        <w:pStyle w:val="Bulletlist"/>
        <w:spacing w:after="0"/>
        <w:rPr>
          <w:noProof/>
        </w:rPr>
      </w:pPr>
      <w:r w:rsidRPr="00D942EB">
        <w:rPr>
          <w:noProof/>
        </w:rPr>
        <w:t>Nationally agreed use of the WHO Surgical Safety Checklist</w:t>
      </w:r>
      <w:r w:rsidR="005A6203">
        <w:rPr>
          <w:noProof/>
        </w:rPr>
        <w:t>.</w:t>
      </w:r>
      <w:r w:rsidR="005A6203">
        <w:rPr>
          <w:noProof/>
        </w:rPr>
        <w:fldChar w:fldCharType="begin"/>
      </w:r>
      <w:r w:rsidR="00912E7B">
        <w:rPr>
          <w:noProof/>
        </w:rPr>
        <w:instrText xml:space="preserve"> ADDIN EN.CITE &lt;EndNote&gt;&lt;Cite&gt;&lt;Author&gt;Australian Commission on Safety and Quality in Health Care&lt;/Author&gt;&lt;RecNum&gt;4&lt;/RecNum&gt;&lt;DisplayText&gt;&lt;style face="superscript"&gt;3&lt;/style&gt;&lt;/DisplayText&gt;&lt;record&gt;&lt;rec-number&gt;4&lt;/rec-number&gt;&lt;foreign-keys&gt;&lt;key app="EN" db-id="s0afewfss5vsr9e0tvixevam5sps2w9r2t09" timestamp="1724730561"&gt;4&lt;/key&gt;&lt;/foreign-keys&gt;&lt;ref-type name="Web Page"&gt;12&lt;/ref-type&gt;&lt;contributors&gt;&lt;authors&gt;&lt;author&gt;Australian Commission on Safety and Quality in Health Care,&lt;/author&gt;&lt;/authors&gt;&lt;/contributors&gt;&lt;titles&gt;&lt;title&gt;Surgical Safety Checklist&lt;/title&gt;&lt;/titles&gt;&lt;volume&gt;2017&lt;/volume&gt;&lt;number&gt;Sep&lt;/number&gt;&lt;dates&gt;&lt;/dates&gt;&lt;pub-location&gt;Sydney&lt;/pub-location&gt;&lt;publisher&gt;ACSQHC&lt;/publisher&gt;&lt;urls&gt;&lt;related-urls&gt;&lt;url&gt;https://www.safetyandquality.gov.au/our-work/patient-identification/patient-procedure-matching-protocols/surgical-safety-checklist/&lt;/url&gt;&lt;/related-urls&gt;&lt;/urls&gt;&lt;/record&gt;&lt;/Cite&gt;&lt;/EndNote&gt;</w:instrText>
      </w:r>
      <w:r w:rsidR="005A6203">
        <w:rPr>
          <w:noProof/>
        </w:rPr>
        <w:fldChar w:fldCharType="separate"/>
      </w:r>
      <w:r w:rsidR="005A6203" w:rsidRPr="005A6203">
        <w:rPr>
          <w:noProof/>
          <w:vertAlign w:val="superscript"/>
        </w:rPr>
        <w:t>3</w:t>
      </w:r>
      <w:r w:rsidR="005A6203">
        <w:rPr>
          <w:noProof/>
        </w:rPr>
        <w:fldChar w:fldCharType="end"/>
      </w:r>
      <w:r w:rsidR="005A6203" w:rsidRPr="00D942EB">
        <w:rPr>
          <w:noProof/>
        </w:rPr>
        <w:t xml:space="preserve"> </w:t>
      </w:r>
    </w:p>
    <w:p w14:paraId="166CCF82" w14:textId="14433945" w:rsidR="006F2910" w:rsidRPr="00D942EB" w:rsidRDefault="001622AC" w:rsidP="00DD6386">
      <w:pPr>
        <w:spacing w:after="80"/>
        <w:ind w:left="567"/>
        <w:rPr>
          <w:noProof/>
          <w:u w:val="single"/>
        </w:rPr>
      </w:pPr>
      <w:hyperlink r:id="rId18" w:history="1">
        <w:r w:rsidRPr="00D92275">
          <w:rPr>
            <w:rStyle w:val="Hyperlink"/>
            <w:noProof/>
          </w:rPr>
          <w:t>www.safetyandquality.gov.au/our-work/patient-identification/patient-procedure-matching-protocols/surgical-safety-checklist/</w:t>
        </w:r>
      </w:hyperlink>
    </w:p>
    <w:p w14:paraId="67616A64" w14:textId="77777777" w:rsidR="006F2910" w:rsidRPr="00D942EB" w:rsidRDefault="006F2910" w:rsidP="006F2910">
      <w:pPr>
        <w:spacing w:after="80"/>
        <w:rPr>
          <w:noProof/>
          <w:u w:val="single"/>
        </w:rPr>
      </w:pPr>
      <w:r w:rsidRPr="00D942EB">
        <w:rPr>
          <w:noProof/>
          <w:u w:val="single"/>
        </w:rPr>
        <w:br w:type="page"/>
      </w:r>
    </w:p>
    <w:p w14:paraId="1F3B7910" w14:textId="77777777" w:rsidR="006F2910" w:rsidRPr="00D942EB" w:rsidRDefault="006F2910" w:rsidP="006F2910">
      <w:pPr>
        <w:spacing w:after="80"/>
        <w:rPr>
          <w:noProof/>
        </w:rPr>
      </w:pPr>
    </w:p>
    <w:p w14:paraId="47A02285" w14:textId="6FEC44EE" w:rsidR="006F2910" w:rsidRPr="00D942EB" w:rsidRDefault="003B2784" w:rsidP="006F2910">
      <w:pPr>
        <w:pStyle w:val="Heading2"/>
        <w:rPr>
          <w:noProof/>
        </w:rPr>
      </w:pPr>
      <w:bookmarkStart w:id="62" w:name="_Toc37768204"/>
      <w:bookmarkStart w:id="63" w:name="_Toc39143491"/>
      <w:bookmarkStart w:id="64" w:name="_Toc181617084"/>
      <w:r w:rsidRPr="00D942EB">
        <w:rPr>
          <w:noProof/>
        </w:rPr>
        <w:t xml:space="preserve">4:  </w:t>
      </w:r>
      <w:r w:rsidR="006F2910" w:rsidRPr="00D942EB">
        <w:rPr>
          <w:noProof/>
        </w:rPr>
        <w:t>Unintended retention of a foreign object in a patient after surgery or other invasive procedure resulting in serious harm or death</w:t>
      </w:r>
      <w:bookmarkEnd w:id="62"/>
      <w:bookmarkEnd w:id="63"/>
      <w:bookmarkEnd w:id="64"/>
    </w:p>
    <w:tbl>
      <w:tblPr>
        <w:tblStyle w:val="TableGrid"/>
        <w:tblW w:w="9287" w:type="dxa"/>
        <w:tblLook w:val="04A0" w:firstRow="1" w:lastRow="0" w:firstColumn="1" w:lastColumn="0" w:noHBand="0" w:noVBand="1"/>
      </w:tblPr>
      <w:tblGrid>
        <w:gridCol w:w="9287"/>
      </w:tblGrid>
      <w:tr w:rsidR="006F2910" w:rsidRPr="00D942EB" w14:paraId="26861575" w14:textId="77777777" w:rsidTr="0065199F">
        <w:trPr>
          <w:cnfStyle w:val="100000000000" w:firstRow="1" w:lastRow="0" w:firstColumn="0" w:lastColumn="0" w:oddVBand="0" w:evenVBand="0" w:oddHBand="0" w:evenHBand="0" w:firstRowFirstColumn="0" w:firstRowLastColumn="0" w:lastRowFirstColumn="0" w:lastRowLastColumn="0"/>
          <w:trHeight w:hRule="exact" w:val="530"/>
        </w:trPr>
        <w:tc>
          <w:tcPr>
            <w:tcW w:w="9287" w:type="dxa"/>
            <w:tcBorders>
              <w:top w:val="nil"/>
              <w:left w:val="nil"/>
              <w:bottom w:val="nil"/>
              <w:right w:val="nil"/>
            </w:tcBorders>
            <w:shd w:val="clear" w:color="auto" w:fill="EEECE1" w:themeFill="background2"/>
          </w:tcPr>
          <w:p w14:paraId="65591BA2"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Category: surgical or other procedures</w:t>
            </w:r>
          </w:p>
        </w:tc>
      </w:tr>
    </w:tbl>
    <w:p w14:paraId="5BA2E4BD" w14:textId="77777777" w:rsidR="006F2910" w:rsidRPr="00D942EB" w:rsidRDefault="006F2910" w:rsidP="007C2D48">
      <w:pPr>
        <w:pStyle w:val="Heading3"/>
        <w:rPr>
          <w:noProof/>
        </w:rPr>
      </w:pPr>
      <w:bookmarkStart w:id="65" w:name="_Toc39143492"/>
      <w:bookmarkStart w:id="66" w:name="_Toc181617085"/>
      <w:r w:rsidRPr="00D942EB">
        <w:rPr>
          <w:noProof/>
        </w:rPr>
        <w:t>Sentinel event</w:t>
      </w:r>
      <w:bookmarkEnd w:id="65"/>
      <w:bookmarkEnd w:id="66"/>
    </w:p>
    <w:p w14:paraId="132E1841" w14:textId="17BA408A" w:rsidR="006F2910" w:rsidRPr="00D942EB" w:rsidRDefault="006F2910" w:rsidP="007C2D48">
      <w:pPr>
        <w:rPr>
          <w:noProof/>
        </w:rPr>
      </w:pPr>
      <w:r w:rsidRPr="00D942EB">
        <w:rPr>
          <w:noProof/>
        </w:rPr>
        <w:t>Unintended retention of a foreign object in a patient after surgery or other invasive procedure resulting in serious harm or death</w:t>
      </w:r>
      <w:r w:rsidR="00E5486C" w:rsidRPr="00D942EB">
        <w:rPr>
          <w:noProof/>
        </w:rPr>
        <w:t>.</w:t>
      </w:r>
      <w:r w:rsidRPr="00D942EB">
        <w:rPr>
          <w:noProof/>
        </w:rPr>
        <w:t xml:space="preserve"> </w:t>
      </w:r>
    </w:p>
    <w:p w14:paraId="49BA5CED" w14:textId="12762ED3" w:rsidR="006F2910" w:rsidRPr="00D942EB" w:rsidRDefault="006F2910" w:rsidP="007C2D48">
      <w:pPr>
        <w:pStyle w:val="Heading3"/>
        <w:rPr>
          <w:noProof/>
        </w:rPr>
      </w:pPr>
      <w:bookmarkStart w:id="67" w:name="_Toc39143493"/>
      <w:bookmarkStart w:id="68" w:name="_Toc181617086"/>
      <w:r w:rsidRPr="00D942EB">
        <w:rPr>
          <w:noProof/>
        </w:rPr>
        <w:t>Inclusions/exclusions</w:t>
      </w:r>
      <w:bookmarkEnd w:id="67"/>
      <w:bookmarkEnd w:id="68"/>
    </w:p>
    <w:p w14:paraId="0D8BD7A7" w14:textId="77777777" w:rsidR="006F2910" w:rsidRPr="00D942EB" w:rsidRDefault="006F2910" w:rsidP="007C2D48">
      <w:pPr>
        <w:rPr>
          <w:noProof/>
        </w:rPr>
      </w:pPr>
      <w:r w:rsidRPr="00D942EB">
        <w:rPr>
          <w:noProof/>
        </w:rPr>
        <w:t>Excluding where any relevant objects are found to be missing prior to the completion of the surgical intervention and may be within the patient, but where further action to locate and/or retrieve would be more damaging than retention, or impossible. This must be documented in the patient’s chart and the patient informed.</w:t>
      </w:r>
    </w:p>
    <w:p w14:paraId="5B11FC4D" w14:textId="5AEF141E" w:rsidR="006F2910" w:rsidRPr="00D942EB" w:rsidRDefault="006F2910" w:rsidP="007C2D48">
      <w:pPr>
        <w:pStyle w:val="Heading3"/>
        <w:rPr>
          <w:noProof/>
        </w:rPr>
      </w:pPr>
      <w:bookmarkStart w:id="69" w:name="_Toc39143494"/>
      <w:bookmarkStart w:id="70" w:name="_Toc181617087"/>
      <w:r w:rsidRPr="00D942EB">
        <w:rPr>
          <w:noProof/>
        </w:rPr>
        <w:t>Setting</w:t>
      </w:r>
      <w:bookmarkEnd w:id="69"/>
      <w:bookmarkEnd w:id="70"/>
    </w:p>
    <w:p w14:paraId="60ADB029" w14:textId="20E396F8" w:rsidR="006F2910" w:rsidRPr="00D942EB" w:rsidRDefault="006F2910" w:rsidP="007C2D48">
      <w:pPr>
        <w:rPr>
          <w:noProof/>
        </w:rPr>
      </w:pPr>
      <w:r w:rsidRPr="00D942EB">
        <w:rPr>
          <w:noProof/>
        </w:rPr>
        <w:t>All hospitals</w:t>
      </w:r>
      <w:r w:rsidR="00E5486C" w:rsidRPr="00D942EB">
        <w:rPr>
          <w:noProof/>
        </w:rPr>
        <w:t>.</w:t>
      </w:r>
    </w:p>
    <w:p w14:paraId="38121CF3" w14:textId="56237A4A" w:rsidR="006F2910" w:rsidRPr="00D942EB" w:rsidRDefault="006F2910" w:rsidP="007C2D48">
      <w:pPr>
        <w:pStyle w:val="Heading3"/>
        <w:rPr>
          <w:noProof/>
        </w:rPr>
      </w:pPr>
      <w:bookmarkStart w:id="71" w:name="_Toc39143495"/>
      <w:bookmarkStart w:id="72" w:name="_Toc181617088"/>
      <w:r w:rsidRPr="00D942EB">
        <w:rPr>
          <w:noProof/>
        </w:rPr>
        <w:t>Definitions</w:t>
      </w:r>
      <w:bookmarkEnd w:id="71"/>
      <w:bookmarkEnd w:id="72"/>
    </w:p>
    <w:p w14:paraId="29ED6B06" w14:textId="2A174CB0" w:rsidR="006F2910" w:rsidRPr="00D942EB" w:rsidRDefault="006F2910" w:rsidP="006F2910">
      <w:pPr>
        <w:spacing w:after="80"/>
        <w:rPr>
          <w:noProof/>
        </w:rPr>
      </w:pPr>
      <w:r w:rsidRPr="00D942EB">
        <w:rPr>
          <w:rStyle w:val="Strong"/>
        </w:rPr>
        <w:t>Unintended</w:t>
      </w:r>
      <w:r w:rsidR="00DD6386" w:rsidRPr="00D942EB">
        <w:rPr>
          <w:rStyle w:val="Strong"/>
        </w:rPr>
        <w:t>:</w:t>
      </w:r>
      <w:r w:rsidR="00DD6386" w:rsidRPr="00D942EB">
        <w:rPr>
          <w:noProof/>
        </w:rPr>
        <w:t xml:space="preserve"> </w:t>
      </w:r>
      <w:r w:rsidRPr="00D942EB">
        <w:t>Incidents where any relevant objects retained in a patient after surgery or other invasive procedure were not intentionally retained. A foreign object may be intentionally left in the patient where further action to locate and/or retrieve the object would be more damaging than retention or impossible, for example where the patient is not yet clinically stable.</w:t>
      </w:r>
    </w:p>
    <w:p w14:paraId="564D8AD5" w14:textId="5AE5D3AD" w:rsidR="006F2910" w:rsidRPr="00D942EB" w:rsidRDefault="006F2910" w:rsidP="006F2910">
      <w:pPr>
        <w:spacing w:after="80"/>
        <w:rPr>
          <w:noProof/>
        </w:rPr>
      </w:pPr>
      <w:r w:rsidRPr="00D942EB">
        <w:rPr>
          <w:rStyle w:val="Strong"/>
        </w:rPr>
        <w:t>Invasive procedure</w:t>
      </w:r>
      <w:r w:rsidR="00DD6386" w:rsidRPr="00D942EB">
        <w:rPr>
          <w:rStyle w:val="Strong"/>
        </w:rPr>
        <w:t>:</w:t>
      </w:r>
      <w:r w:rsidRPr="00D942EB">
        <w:rPr>
          <w:noProof/>
        </w:rPr>
        <w:tab/>
      </w:r>
      <w:r w:rsidRPr="00D942EB">
        <w:t>A medical procedure that enters the body, usually by cutting or puncturing the skin or by inserting a needle, tube, device or scope into the body.</w:t>
      </w:r>
    </w:p>
    <w:p w14:paraId="169F606D" w14:textId="35E2BC2F" w:rsidR="006F2910" w:rsidRPr="00D942EB" w:rsidRDefault="006F2910" w:rsidP="006F2910">
      <w:pPr>
        <w:spacing w:after="80"/>
        <w:rPr>
          <w:noProof/>
        </w:rPr>
      </w:pPr>
      <w:r w:rsidRPr="00D942EB">
        <w:rPr>
          <w:rStyle w:val="Strong"/>
        </w:rPr>
        <w:t>Serious harm</w:t>
      </w:r>
      <w:r w:rsidR="00DD6386" w:rsidRPr="00D942EB">
        <w:rPr>
          <w:rStyle w:val="Strong"/>
        </w:rPr>
        <w:t>:</w:t>
      </w:r>
      <w:r w:rsidRPr="00D942EB">
        <w:rPr>
          <w:noProof/>
        </w:rPr>
        <w:t xml:space="preserve"> </w:t>
      </w:r>
      <w:r w:rsidRPr="00D942EB">
        <w:t xml:space="preserve">As a result of the incident the patient requires life-saving surgical/medical intervention, or has shortened life expectancy, or has experienced permanent or </w:t>
      </w:r>
      <w:r w:rsidR="00DD6386" w:rsidRPr="00D942EB">
        <w:t>long-term</w:t>
      </w:r>
      <w:r w:rsidRPr="00D942EB">
        <w:t xml:space="preserve"> physical harm or loss of function.</w:t>
      </w:r>
    </w:p>
    <w:p w14:paraId="552D1EF2" w14:textId="5E3F2FFF" w:rsidR="006F2910" w:rsidRPr="00D942EB" w:rsidRDefault="006F2910" w:rsidP="007C2D48">
      <w:pPr>
        <w:pStyle w:val="Heading3"/>
        <w:rPr>
          <w:noProof/>
        </w:rPr>
      </w:pPr>
      <w:bookmarkStart w:id="73" w:name="_Toc39143496"/>
      <w:bookmarkStart w:id="74" w:name="_Toc181617089"/>
      <w:r w:rsidRPr="00D942EB">
        <w:rPr>
          <w:noProof/>
        </w:rPr>
        <w:t>Example of national preventive barriers</w:t>
      </w:r>
      <w:bookmarkEnd w:id="73"/>
      <w:bookmarkEnd w:id="74"/>
    </w:p>
    <w:p w14:paraId="5B572CF4" w14:textId="2AAB8B40" w:rsidR="006F2910" w:rsidRPr="001622AC" w:rsidRDefault="006F2910" w:rsidP="001622AC">
      <w:pPr>
        <w:spacing w:after="0"/>
        <w:rPr>
          <w:noProof/>
        </w:rPr>
      </w:pPr>
      <w:r w:rsidRPr="00D942EB">
        <w:rPr>
          <w:noProof/>
        </w:rPr>
        <w:t xml:space="preserve">Nationally agreed use of the </w:t>
      </w:r>
      <w:r w:rsidR="00845A09" w:rsidRPr="00D942EB">
        <w:rPr>
          <w:noProof/>
        </w:rPr>
        <w:t xml:space="preserve">WHO </w:t>
      </w:r>
      <w:r w:rsidRPr="00D942EB">
        <w:rPr>
          <w:noProof/>
        </w:rPr>
        <w:t>Surgical Safety Checklist</w:t>
      </w:r>
      <w:r w:rsidR="00E5486C" w:rsidRPr="00D942EB">
        <w:rPr>
          <w:noProof/>
        </w:rPr>
        <w:t>.</w:t>
      </w:r>
      <w:r w:rsidR="002C458B">
        <w:rPr>
          <w:noProof/>
        </w:rPr>
        <w:fldChar w:fldCharType="begin"/>
      </w:r>
      <w:r w:rsidR="00912E7B">
        <w:rPr>
          <w:noProof/>
        </w:rPr>
        <w:instrText xml:space="preserve"> ADDIN EN.CITE &lt;EndNote&gt;&lt;Cite&gt;&lt;Author&gt;Australian Commission on Safety and Quality in Health Care&lt;/Author&gt;&lt;RecNum&gt;4&lt;/RecNum&gt;&lt;DisplayText&gt;&lt;style face="superscript"&gt;3&lt;/style&gt;&lt;/DisplayText&gt;&lt;record&gt;&lt;rec-number&gt;4&lt;/rec-number&gt;&lt;foreign-keys&gt;&lt;key app="EN" db-id="s0afewfss5vsr9e0tvixevam5sps2w9r2t09" timestamp="1724730561"&gt;4&lt;/key&gt;&lt;/foreign-keys&gt;&lt;ref-type name="Web Page"&gt;12&lt;/ref-type&gt;&lt;contributors&gt;&lt;authors&gt;&lt;author&gt;Australian Commission on Safety and Quality in Health Care,&lt;/author&gt;&lt;/authors&gt;&lt;/contributors&gt;&lt;titles&gt;&lt;title&gt;Surgical Safety Checklist&lt;/title&gt;&lt;/titles&gt;&lt;volume&gt;2017&lt;/volume&gt;&lt;number&gt;Sep&lt;/number&gt;&lt;dates&gt;&lt;/dates&gt;&lt;pub-location&gt;Sydney&lt;/pub-location&gt;&lt;publisher&gt;ACSQHC&lt;/publisher&gt;&lt;urls&gt;&lt;related-urls&gt;&lt;url&gt;https://www.safetyandquality.gov.au/our-work/patient-identification/patient-procedure-matching-protocols/surgical-safety-checklist/&lt;/url&gt;&lt;/related-urls&gt;&lt;/urls&gt;&lt;/record&gt;&lt;/Cite&gt;&lt;/EndNote&gt;</w:instrText>
      </w:r>
      <w:r w:rsidR="002C458B">
        <w:rPr>
          <w:noProof/>
        </w:rPr>
        <w:fldChar w:fldCharType="separate"/>
      </w:r>
      <w:r w:rsidR="002C458B" w:rsidRPr="002C458B">
        <w:rPr>
          <w:noProof/>
          <w:vertAlign w:val="superscript"/>
        </w:rPr>
        <w:t>3</w:t>
      </w:r>
      <w:r w:rsidR="002C458B">
        <w:rPr>
          <w:noProof/>
        </w:rPr>
        <w:fldChar w:fldCharType="end"/>
      </w:r>
      <w:r w:rsidR="00E53753">
        <w:rPr>
          <w:noProof/>
        </w:rPr>
        <w:br/>
      </w:r>
      <w:hyperlink r:id="rId19" w:history="1">
        <w:r w:rsidR="00E53753" w:rsidRPr="005260DB">
          <w:rPr>
            <w:rStyle w:val="Hyperlink"/>
            <w:noProof/>
          </w:rPr>
          <w:t>www.safetyandquality.gov.au/our-work/patient-identification/patient-procedure-matching-protocols/surgical-safety-checklist</w:t>
        </w:r>
        <w:r w:rsidR="00E53753" w:rsidRPr="005260DB">
          <w:rPr>
            <w:rStyle w:val="Hyperlink"/>
            <w:spacing w:val="5"/>
          </w:rPr>
          <w:t>/</w:t>
        </w:r>
      </w:hyperlink>
    </w:p>
    <w:p w14:paraId="7AFD65AA" w14:textId="5EDE22DF" w:rsidR="006F2910" w:rsidRPr="00D942EB" w:rsidRDefault="00D94717" w:rsidP="003B2784">
      <w:pPr>
        <w:pStyle w:val="Heading2"/>
        <w:rPr>
          <w:noProof/>
        </w:rPr>
      </w:pPr>
      <w:r w:rsidRPr="00D942EB">
        <w:rPr>
          <w:noProof/>
        </w:rPr>
        <w:br w:type="page"/>
      </w:r>
      <w:bookmarkStart w:id="75" w:name="_Toc37768205"/>
      <w:bookmarkStart w:id="76" w:name="_Toc39143497"/>
      <w:bookmarkStart w:id="77" w:name="_Toc181617090"/>
      <w:r w:rsidR="003B2784" w:rsidRPr="00D942EB">
        <w:rPr>
          <w:noProof/>
        </w:rPr>
        <w:lastRenderedPageBreak/>
        <w:t xml:space="preserve">5:  </w:t>
      </w:r>
      <w:r w:rsidR="006F2910" w:rsidRPr="00D942EB">
        <w:rPr>
          <w:noProof/>
        </w:rPr>
        <w:t>Haemolytic blood transfusion reaction resulting from ABO incompatibility resulting in serious harm or death</w:t>
      </w:r>
      <w:bookmarkEnd w:id="75"/>
      <w:bookmarkEnd w:id="76"/>
      <w:bookmarkEnd w:id="77"/>
    </w:p>
    <w:tbl>
      <w:tblPr>
        <w:tblStyle w:val="TableGrid"/>
        <w:tblW w:w="9112" w:type="dxa"/>
        <w:tblLook w:val="04A0" w:firstRow="1" w:lastRow="0" w:firstColumn="1" w:lastColumn="0" w:noHBand="0" w:noVBand="1"/>
      </w:tblPr>
      <w:tblGrid>
        <w:gridCol w:w="9112"/>
      </w:tblGrid>
      <w:tr w:rsidR="006F2910" w:rsidRPr="00D942EB" w14:paraId="2ABE7E13" w14:textId="77777777" w:rsidTr="0065199F">
        <w:trPr>
          <w:cnfStyle w:val="100000000000" w:firstRow="1" w:lastRow="0" w:firstColumn="0" w:lastColumn="0" w:oddVBand="0" w:evenVBand="0" w:oddHBand="0" w:evenHBand="0" w:firstRowFirstColumn="0" w:firstRowLastColumn="0" w:lastRowFirstColumn="0" w:lastRowLastColumn="0"/>
          <w:trHeight w:hRule="exact" w:val="560"/>
        </w:trPr>
        <w:tc>
          <w:tcPr>
            <w:tcW w:w="9112" w:type="dxa"/>
            <w:tcBorders>
              <w:top w:val="nil"/>
              <w:left w:val="nil"/>
              <w:bottom w:val="nil"/>
              <w:right w:val="nil"/>
            </w:tcBorders>
            <w:shd w:val="clear" w:color="auto" w:fill="EEECE1" w:themeFill="background2"/>
          </w:tcPr>
          <w:p w14:paraId="6632178E"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Category: surgical or other procedures</w:t>
            </w:r>
          </w:p>
        </w:tc>
      </w:tr>
    </w:tbl>
    <w:p w14:paraId="77A0D10C" w14:textId="77777777" w:rsidR="006F2910" w:rsidRPr="00D942EB" w:rsidRDefault="006F2910" w:rsidP="007C2D48">
      <w:pPr>
        <w:pStyle w:val="Heading3"/>
        <w:rPr>
          <w:noProof/>
        </w:rPr>
      </w:pPr>
      <w:bookmarkStart w:id="78" w:name="_Toc39143498"/>
      <w:bookmarkStart w:id="79" w:name="_Toc181617091"/>
      <w:r w:rsidRPr="00D942EB">
        <w:rPr>
          <w:noProof/>
        </w:rPr>
        <w:t>Sentinel event</w:t>
      </w:r>
      <w:bookmarkEnd w:id="78"/>
      <w:bookmarkEnd w:id="79"/>
    </w:p>
    <w:p w14:paraId="6F80B630" w14:textId="5F4AA3EE" w:rsidR="006F2910" w:rsidRPr="00D942EB" w:rsidRDefault="006F2910" w:rsidP="007C2D48">
      <w:pPr>
        <w:rPr>
          <w:noProof/>
        </w:rPr>
      </w:pPr>
      <w:r w:rsidRPr="00D942EB">
        <w:rPr>
          <w:noProof/>
        </w:rPr>
        <w:t>Haemolytic blood transfusion reaction resulting from ABO incompatibility resulting in serious harm or death</w:t>
      </w:r>
      <w:r w:rsidR="00E5486C" w:rsidRPr="00D942EB">
        <w:rPr>
          <w:noProof/>
        </w:rPr>
        <w:t>.</w:t>
      </w:r>
    </w:p>
    <w:p w14:paraId="37DA40F4" w14:textId="77777777" w:rsidR="006F2910" w:rsidRPr="00D942EB" w:rsidRDefault="006F2910" w:rsidP="007C2D48">
      <w:pPr>
        <w:pStyle w:val="Heading3"/>
        <w:rPr>
          <w:noProof/>
        </w:rPr>
      </w:pPr>
      <w:bookmarkStart w:id="80" w:name="_Toc39143499"/>
      <w:bookmarkStart w:id="81" w:name="_Toc181617092"/>
      <w:r w:rsidRPr="00D942EB">
        <w:rPr>
          <w:noProof/>
        </w:rPr>
        <w:t>Inclusions/exclusions</w:t>
      </w:r>
      <w:bookmarkEnd w:id="80"/>
      <w:bookmarkEnd w:id="81"/>
    </w:p>
    <w:p w14:paraId="0E7EF5F2" w14:textId="77777777" w:rsidR="006F2910" w:rsidRPr="00D942EB" w:rsidRDefault="006F2910" w:rsidP="007C2D48">
      <w:pPr>
        <w:rPr>
          <w:noProof/>
        </w:rPr>
      </w:pPr>
      <w:r w:rsidRPr="00D942EB">
        <w:rPr>
          <w:noProof/>
        </w:rPr>
        <w:t xml:space="preserve">Excluding where ABO incompatible blood components are deliberately transfused in line with local protocols. </w:t>
      </w:r>
    </w:p>
    <w:p w14:paraId="42C1BD8A" w14:textId="16F143E9" w:rsidR="006F2910" w:rsidRPr="00D942EB" w:rsidRDefault="006F2910" w:rsidP="007C2D48">
      <w:pPr>
        <w:pStyle w:val="Heading3"/>
        <w:rPr>
          <w:noProof/>
        </w:rPr>
      </w:pPr>
      <w:bookmarkStart w:id="82" w:name="_Toc39143500"/>
      <w:bookmarkStart w:id="83" w:name="_Toc181617093"/>
      <w:r w:rsidRPr="00D942EB">
        <w:rPr>
          <w:noProof/>
        </w:rPr>
        <w:t>Setting</w:t>
      </w:r>
      <w:bookmarkEnd w:id="82"/>
      <w:bookmarkEnd w:id="83"/>
    </w:p>
    <w:p w14:paraId="6680AD15" w14:textId="40C6FE1D" w:rsidR="006F2910" w:rsidRPr="00D942EB" w:rsidRDefault="006F2910" w:rsidP="007C2D48">
      <w:pPr>
        <w:rPr>
          <w:noProof/>
        </w:rPr>
      </w:pPr>
      <w:r w:rsidRPr="00D942EB">
        <w:rPr>
          <w:noProof/>
        </w:rPr>
        <w:t>All hospitals</w:t>
      </w:r>
      <w:r w:rsidR="00E5486C" w:rsidRPr="00D942EB">
        <w:rPr>
          <w:noProof/>
        </w:rPr>
        <w:t>.</w:t>
      </w:r>
    </w:p>
    <w:p w14:paraId="6220F05F" w14:textId="43258818" w:rsidR="006F2910" w:rsidRPr="00D942EB" w:rsidRDefault="006F2910" w:rsidP="007C2D48">
      <w:pPr>
        <w:pStyle w:val="Heading3"/>
        <w:rPr>
          <w:noProof/>
        </w:rPr>
      </w:pPr>
      <w:bookmarkStart w:id="84" w:name="_Toc39143501"/>
      <w:bookmarkStart w:id="85" w:name="_Toc181617094"/>
      <w:r w:rsidRPr="00D942EB">
        <w:rPr>
          <w:noProof/>
        </w:rPr>
        <w:t>Definition</w:t>
      </w:r>
      <w:bookmarkEnd w:id="84"/>
      <w:bookmarkEnd w:id="85"/>
    </w:p>
    <w:p w14:paraId="669238BE" w14:textId="5B91037A" w:rsidR="006F2910" w:rsidRPr="00D942EB" w:rsidRDefault="006F2910" w:rsidP="006F2910">
      <w:pPr>
        <w:spacing w:after="80"/>
        <w:rPr>
          <w:noProof/>
        </w:rPr>
      </w:pPr>
      <w:r w:rsidRPr="00D942EB">
        <w:rPr>
          <w:rStyle w:val="Strong"/>
        </w:rPr>
        <w:t>Serious harm</w:t>
      </w:r>
      <w:r w:rsidR="00DD6386" w:rsidRPr="00D942EB">
        <w:rPr>
          <w:rStyle w:val="Strong"/>
        </w:rPr>
        <w:t>:</w:t>
      </w:r>
      <w:r w:rsidRPr="00D942EB">
        <w:rPr>
          <w:noProof/>
        </w:rPr>
        <w:t xml:space="preserve"> </w:t>
      </w:r>
      <w:r w:rsidRPr="00D942EB">
        <w:t xml:space="preserve">As a result of the incident the patient requires life-saving surgical/medical intervention, or has shortened life expectancy, or has experienced permanent or </w:t>
      </w:r>
      <w:r w:rsidR="00DD6386" w:rsidRPr="00D942EB">
        <w:t>long-term</w:t>
      </w:r>
      <w:r w:rsidRPr="00D942EB">
        <w:t xml:space="preserve"> physical harm or loss of function.</w:t>
      </w:r>
    </w:p>
    <w:p w14:paraId="1297D07B" w14:textId="02E479F9" w:rsidR="006F2910" w:rsidRPr="00D942EB" w:rsidRDefault="00674C73" w:rsidP="007C2D48">
      <w:pPr>
        <w:pStyle w:val="Heading3"/>
        <w:rPr>
          <w:noProof/>
        </w:rPr>
      </w:pPr>
      <w:bookmarkStart w:id="86" w:name="_Toc181617095"/>
      <w:r w:rsidRPr="00D942EB">
        <w:rPr>
          <w:noProof/>
        </w:rPr>
        <w:t>Examples of preventive barriers</w:t>
      </w:r>
      <w:bookmarkEnd w:id="86"/>
    </w:p>
    <w:p w14:paraId="72058281" w14:textId="2A50A261" w:rsidR="006F2910" w:rsidRPr="00D942EB" w:rsidRDefault="006F2910" w:rsidP="007C2D48">
      <w:pPr>
        <w:pStyle w:val="Bulletlist"/>
        <w:spacing w:after="0"/>
        <w:rPr>
          <w:noProof/>
          <w:u w:val="single"/>
        </w:rPr>
      </w:pPr>
      <w:r w:rsidRPr="00D942EB">
        <w:rPr>
          <w:noProof/>
        </w:rPr>
        <w:t>NSQHS Standards (2nd ed.)</w:t>
      </w:r>
      <w:r w:rsidR="002C458B">
        <w:rPr>
          <w:noProof/>
        </w:rPr>
        <w:fldChar w:fldCharType="begin"/>
      </w:r>
      <w:r w:rsidR="002C458B">
        <w:rPr>
          <w:noProof/>
        </w:rPr>
        <w:instrText xml:space="preserve"> ADDIN EN.CITE &lt;EndNote&gt;&lt;Cite&gt;&lt;Author&gt;Australian Commission on Safety and Quality in Health Care&lt;/Author&gt;&lt;Year&gt;2021&lt;/Year&gt;&lt;RecNum&gt;6&lt;/RecNum&gt;&lt;DisplayText&gt;&lt;style face="superscript"&gt;2&lt;/style&gt;&lt;/DisplayText&gt;&lt;record&gt;&lt;rec-number&gt;6&lt;/rec-number&gt;&lt;foreign-keys&gt;&lt;key app="EN" db-id="s0afewfss5vsr9e0tvixevam5sps2w9r2t09" timestamp="1724730561"&gt;6&lt;/key&gt;&lt;/foreign-keys&gt;&lt;ref-type name="Electronic Book"&gt;44&lt;/ref-type&gt;&lt;contributors&gt;&lt;authors&gt;&lt;author&gt;Australian Commission on Safety and Quality in Health Care,&lt;/author&gt;&lt;/authors&gt;&lt;/contributors&gt;&lt;titles&gt;&lt;title&gt;National Safety and Quality Health Service Standards (second edition)&lt;/title&gt;&lt;/titles&gt;&lt;edition&gt;Second edition&lt;/edition&gt;&lt;dates&gt;&lt;year&gt;2021&lt;/year&gt;&lt;pub-dates&gt;&lt;date&gt;25 August 2024&lt;/date&gt;&lt;/pub-dates&gt;&lt;/dates&gt;&lt;pub-location&gt;Sydney&lt;/pub-location&gt;&lt;publisher&gt;ACSQHC&lt;/publisher&gt;&lt;urls&gt;&lt;related-urls&gt;&lt;url&gt;https://www.safetyandquality.gov.au/publications-and-resources/resource-library/national-safety-and-quality-health-service-standards-second-edition&lt;/url&gt;&lt;/related-urls&gt;&lt;/urls&gt;&lt;/record&gt;&lt;/Cite&gt;&lt;/EndNote&gt;</w:instrText>
      </w:r>
      <w:r w:rsidR="002C458B">
        <w:rPr>
          <w:noProof/>
        </w:rPr>
        <w:fldChar w:fldCharType="separate"/>
      </w:r>
      <w:r w:rsidR="002C458B" w:rsidRPr="002C458B">
        <w:rPr>
          <w:noProof/>
          <w:vertAlign w:val="superscript"/>
        </w:rPr>
        <w:t>2</w:t>
      </w:r>
      <w:r w:rsidR="002C458B">
        <w:rPr>
          <w:noProof/>
        </w:rPr>
        <w:fldChar w:fldCharType="end"/>
      </w:r>
      <w:r w:rsidRPr="00D942EB">
        <w:rPr>
          <w:noProof/>
          <w:vertAlign w:val="superscript"/>
        </w:rPr>
        <w:t xml:space="preserve"> </w:t>
      </w:r>
      <w:r w:rsidRPr="00D942EB">
        <w:rPr>
          <w:noProof/>
        </w:rPr>
        <w:t xml:space="preserve">– Blood Management Standard </w:t>
      </w:r>
    </w:p>
    <w:p w14:paraId="7EADE58C" w14:textId="68057A3C" w:rsidR="0079416F" w:rsidRPr="00D942EB" w:rsidRDefault="001622AC" w:rsidP="0079416F">
      <w:pPr>
        <w:pStyle w:val="Bulletlist"/>
        <w:numPr>
          <w:ilvl w:val="0"/>
          <w:numId w:val="0"/>
        </w:numPr>
        <w:spacing w:after="0"/>
        <w:ind w:left="567"/>
        <w:rPr>
          <w:noProof/>
          <w:u w:val="single"/>
        </w:rPr>
      </w:pPr>
      <w:hyperlink r:id="rId20" w:history="1">
        <w:r w:rsidRPr="00D92275">
          <w:rPr>
            <w:rStyle w:val="Hyperlink"/>
            <w:noProof/>
          </w:rPr>
          <w:t>www.safetyandquality.gov.au/standards/nsqhs-standards/blood-management-standard</w:t>
        </w:r>
      </w:hyperlink>
      <w:r w:rsidR="00C47544">
        <w:rPr>
          <w:noProof/>
          <w:u w:val="single"/>
        </w:rPr>
        <w:t xml:space="preserve"> </w:t>
      </w:r>
    </w:p>
    <w:p w14:paraId="556C0B82" w14:textId="4BF863E4" w:rsidR="006F2910" w:rsidRPr="00D942EB" w:rsidRDefault="006F2910" w:rsidP="007C2D48">
      <w:pPr>
        <w:pStyle w:val="Bulletlist"/>
        <w:spacing w:after="0"/>
      </w:pPr>
      <w:r w:rsidRPr="00D942EB">
        <w:t>National Blood Authority – Patient Blood Management Guidelines</w:t>
      </w:r>
      <w:r w:rsidR="002C458B">
        <w:fldChar w:fldCharType="begin"/>
      </w:r>
      <w:r w:rsidR="00912E7B">
        <w:instrText xml:space="preserve"> ADDIN EN.CITE &lt;EndNote&gt;&lt;Cite&gt;&lt;Author&gt;National Blood Authority Australia&lt;/Author&gt;&lt;RecNum&gt;11&lt;/RecNum&gt;&lt;DisplayText&gt;&lt;style face="superscript"&gt;4&lt;/style&gt;&lt;/DisplayText&gt;&lt;record&gt;&lt;rec-number&gt;11&lt;/rec-number&gt;&lt;foreign-keys&gt;&lt;key app="EN" db-id="s0afewfss5vsr9e0tvixevam5sps2w9r2t09" timestamp="1724730561"&gt;11&lt;/key&gt;&lt;/foreign-keys&gt;&lt;ref-type name="Web Page"&gt;12&lt;/ref-type&gt;&lt;contributors&gt;&lt;authors&gt;&lt;author&gt;National Blood Authority Australia,&lt;/author&gt;&lt;/authors&gt;&lt;/contributors&gt;&lt;titles&gt;&lt;title&gt;Patient Blood Management Guidelines&lt;/title&gt;&lt;/titles&gt;&lt;volume&gt;2024&lt;/volume&gt;&lt;number&gt;25 August 2024&lt;/number&gt;&lt;dates&gt;&lt;/dates&gt;&lt;pub-location&gt;Canberra&lt;/pub-location&gt;&lt;publisher&gt;NBA&lt;/publisher&gt;&lt;urls&gt;&lt;related-urls&gt;&lt;url&gt;https://www.blood.gov.au/clinical-guidance/patient-blood-management#pbm-guidelines&lt;/url&gt;&lt;/related-urls&gt;&lt;/urls&gt;&lt;/record&gt;&lt;/Cite&gt;&lt;/EndNote&gt;</w:instrText>
      </w:r>
      <w:r w:rsidR="002C458B">
        <w:fldChar w:fldCharType="separate"/>
      </w:r>
      <w:r w:rsidR="002C458B" w:rsidRPr="002C458B">
        <w:rPr>
          <w:noProof/>
          <w:vertAlign w:val="superscript"/>
        </w:rPr>
        <w:t>4</w:t>
      </w:r>
      <w:r w:rsidR="002C458B">
        <w:fldChar w:fldCharType="end"/>
      </w:r>
    </w:p>
    <w:p w14:paraId="2D026261" w14:textId="729B877D" w:rsidR="006F2910" w:rsidRPr="00D942EB" w:rsidRDefault="00C47544" w:rsidP="00DD6386">
      <w:pPr>
        <w:spacing w:after="80"/>
        <w:ind w:left="567"/>
        <w:rPr>
          <w:noProof/>
        </w:rPr>
      </w:pPr>
      <w:hyperlink r:id="rId21" w:anchor="pbm-guidelines" w:history="1">
        <w:r w:rsidRPr="00D92275">
          <w:rPr>
            <w:rStyle w:val="Hyperlink"/>
            <w:rFonts w:ascii="Segoe UI" w:hAnsi="Segoe UI" w:cs="Segoe UI"/>
          </w:rPr>
          <w:t>www.blood.gov.au/clinical-guidance/patient-blood-management#pbm-guidelines</w:t>
        </w:r>
      </w:hyperlink>
      <w:r w:rsidR="00173C37" w:rsidRPr="00D942EB">
        <w:rPr>
          <w:noProof/>
        </w:rPr>
        <w:t xml:space="preserve"> </w:t>
      </w:r>
    </w:p>
    <w:p w14:paraId="38F11C57" w14:textId="7F0A9220" w:rsidR="006F2910" w:rsidRPr="00D942EB" w:rsidRDefault="006F2910" w:rsidP="007C2D48">
      <w:pPr>
        <w:pStyle w:val="Bulletlist"/>
        <w:spacing w:after="0"/>
      </w:pPr>
      <w:proofErr w:type="spellStart"/>
      <w:r w:rsidRPr="00D942EB">
        <w:t>BloodSafe</w:t>
      </w:r>
      <w:proofErr w:type="spellEnd"/>
      <w:r w:rsidRPr="00D942EB">
        <w:t xml:space="preserve"> – National e-learning program</w:t>
      </w:r>
      <w:r w:rsidR="002C458B">
        <w:fldChar w:fldCharType="begin"/>
      </w:r>
      <w:r w:rsidR="002C458B">
        <w:instrText xml:space="preserve"> ADDIN EN.CITE &lt;EndNote&gt;&lt;Cite&gt;&lt;Author&gt;BloodSafe&lt;/Author&gt;&lt;RecNum&gt;10&lt;/RecNum&gt;&lt;DisplayText&gt;&lt;style face="superscript"&gt;5&lt;/style&gt;&lt;/DisplayText&gt;&lt;record&gt;&lt;rec-number&gt;10&lt;/rec-number&gt;&lt;foreign-keys&gt;&lt;key app="EN" db-id="s0afewfss5vsr9e0tvixevam5sps2w9r2t09" timestamp="1724730561"&gt;10&lt;/key&gt;&lt;/foreign-keys&gt;&lt;ref-type name="Web Page"&gt;12&lt;/ref-type&gt;&lt;contributors&gt;&lt;authors&gt;&lt;author&gt;BloodSafe,&lt;/author&gt;&lt;/authors&gt;&lt;/contributors&gt;&lt;titles&gt;&lt;title&gt;BloodSafe elearning Australia&lt;/title&gt;&lt;/titles&gt;&lt;volume&gt;2024&lt;/volume&gt;&lt;number&gt;25 August 2024&lt;/number&gt;&lt;dates&gt;&lt;/dates&gt;&lt;urls&gt;&lt;related-urls&gt;&lt;url&gt;https://bloodsafelearning.org.au/&lt;/url&gt;&lt;/related-urls&gt;&lt;/urls&gt;&lt;/record&gt;&lt;/Cite&gt;&lt;/EndNote&gt;</w:instrText>
      </w:r>
      <w:r w:rsidR="002C458B">
        <w:fldChar w:fldCharType="separate"/>
      </w:r>
      <w:r w:rsidR="002C458B" w:rsidRPr="002C458B">
        <w:rPr>
          <w:noProof/>
          <w:vertAlign w:val="superscript"/>
        </w:rPr>
        <w:t>5</w:t>
      </w:r>
      <w:r w:rsidR="002C458B">
        <w:fldChar w:fldCharType="end"/>
      </w:r>
      <w:r w:rsidRPr="00D942EB">
        <w:t xml:space="preserve"> </w:t>
      </w:r>
    </w:p>
    <w:p w14:paraId="14D8FEAA" w14:textId="322FB27A" w:rsidR="006F2910" w:rsidRPr="00D942EB" w:rsidRDefault="006F2910" w:rsidP="007C2D48">
      <w:pPr>
        <w:spacing w:after="120"/>
        <w:ind w:left="567"/>
        <w:rPr>
          <w:noProof/>
        </w:rPr>
      </w:pPr>
      <w:hyperlink r:id="rId22" w:history="1">
        <w:r w:rsidRPr="00D942EB">
          <w:rPr>
            <w:rStyle w:val="Hyperlink"/>
            <w:noProof/>
          </w:rPr>
          <w:t>bloodsafelearning.org.au/resource-centre/links-and-resources/state-and-territory-contacts/</w:t>
        </w:r>
      </w:hyperlink>
      <w:r w:rsidRPr="00D942EB">
        <w:rPr>
          <w:noProof/>
        </w:rPr>
        <w:t xml:space="preserve"> </w:t>
      </w:r>
    </w:p>
    <w:p w14:paraId="29A86E81" w14:textId="7EEF4236" w:rsidR="006F2910" w:rsidRPr="00D942EB" w:rsidRDefault="006F2910" w:rsidP="008A6F88">
      <w:pPr>
        <w:pStyle w:val="Bulletlist"/>
        <w:spacing w:after="120"/>
        <w:rPr>
          <w:noProof/>
        </w:rPr>
      </w:pPr>
      <w:r w:rsidRPr="00D942EB">
        <w:rPr>
          <w:noProof/>
        </w:rPr>
        <w:t>Australian Red Cross</w:t>
      </w:r>
      <w:r w:rsidR="00F87AFC" w:rsidRPr="00D942EB">
        <w:rPr>
          <w:noProof/>
        </w:rPr>
        <w:t xml:space="preserve"> Lifeblood</w:t>
      </w:r>
      <w:r w:rsidRPr="00D942EB">
        <w:rPr>
          <w:noProof/>
        </w:rPr>
        <w:t xml:space="preserve">, </w:t>
      </w:r>
      <w:r w:rsidR="008C08CC" w:rsidRPr="00D942EB">
        <w:rPr>
          <w:noProof/>
        </w:rPr>
        <w:t>Blood Book</w:t>
      </w:r>
      <w:r w:rsidR="00E80AA5" w:rsidRPr="00D942EB">
        <w:rPr>
          <w:noProof/>
        </w:rPr>
        <w:t xml:space="preserve"> </w:t>
      </w:r>
      <w:r w:rsidRPr="00D942EB">
        <w:rPr>
          <w:noProof/>
        </w:rPr>
        <w:t>(20</w:t>
      </w:r>
      <w:r w:rsidR="00C82158" w:rsidRPr="00D942EB">
        <w:rPr>
          <w:noProof/>
        </w:rPr>
        <w:t>23</w:t>
      </w:r>
      <w:r w:rsidRPr="00D942EB">
        <w:rPr>
          <w:noProof/>
        </w:rPr>
        <w:t xml:space="preserve">) </w:t>
      </w:r>
      <w:r w:rsidR="00C82158" w:rsidRPr="00D942EB">
        <w:rPr>
          <w:noProof/>
        </w:rPr>
        <w:t>Australian Blood Administration Handbook</w:t>
      </w:r>
      <w:r w:rsidR="00E5486C" w:rsidRPr="00D942EB">
        <w:rPr>
          <w:noProof/>
        </w:rPr>
        <w:t>.</w:t>
      </w:r>
      <w:r w:rsidR="002C458B">
        <w:rPr>
          <w:noProof/>
        </w:rPr>
        <w:fldChar w:fldCharType="begin"/>
      </w:r>
      <w:r w:rsidR="00C52050">
        <w:rPr>
          <w:noProof/>
        </w:rPr>
        <w:instrText xml:space="preserve"> ADDIN EN.CITE &lt;EndNote&gt;&lt;Cite&gt;&lt;Author&gt;Australian Red Cross Lifeblood&lt;/Author&gt;&lt;Year&gt;2020&lt;/Year&gt;&lt;RecNum&gt;9&lt;/RecNum&gt;&lt;DisplayText&gt;&lt;style face="superscript"&gt;6&lt;/style&gt;&lt;/DisplayText&gt;&lt;record&gt;&lt;rec-number&gt;9&lt;/rec-number&gt;&lt;foreign-keys&gt;&lt;key app="EN" db-id="s0afewfss5vsr9e0tvixevam5sps2w9r2t09" timestamp="1724730561"&gt;9&lt;/key&gt;&lt;/foreign-keys&gt;&lt;ref-type name="Electronic Book"&gt;44&lt;/ref-type&gt;&lt;contributors&gt;&lt;authors&gt;&lt;author&gt;Australian Red Cross Lifeblood, &lt;/author&gt;&lt;/authors&gt;&lt;/contributors&gt;&lt;titles&gt;&lt;title&gt;Blood Book Australian Blood Administration Handbook&lt;/title&gt;&lt;/titles&gt;&lt;dates&gt;&lt;year&gt;2020&lt;/year&gt;&lt;pub-dates&gt;&lt;date&gt;August 2024&lt;/date&gt;&lt;/pub-dates&gt;&lt;/dates&gt;&lt;pub-location&gt;Adelaide&lt;/pub-location&gt;&lt;publisher&gt;Australian Red Cross Lifeblood&lt;/publisher&gt;&lt;urls&gt;&lt;related-urls&gt;&lt;url&gt;https://www.lifeblood.com.au/sites/default/files/resource-library/2023-08/Blood-Book-ABAH_FINAL-v1.2-AUGUST-2023-SCREEN-WITH-LETTER.pdf &lt;/url&gt;&lt;/related-urls&gt;&lt;/urls&gt;&lt;/record&gt;&lt;/Cite&gt;&lt;/EndNote&gt;</w:instrText>
      </w:r>
      <w:r w:rsidR="002C458B">
        <w:rPr>
          <w:noProof/>
        </w:rPr>
        <w:fldChar w:fldCharType="separate"/>
      </w:r>
      <w:r w:rsidR="002C458B" w:rsidRPr="002C458B">
        <w:rPr>
          <w:noProof/>
          <w:vertAlign w:val="superscript"/>
        </w:rPr>
        <w:t>6</w:t>
      </w:r>
      <w:r w:rsidR="002C458B">
        <w:rPr>
          <w:noProof/>
        </w:rPr>
        <w:fldChar w:fldCharType="end"/>
      </w:r>
      <w:r w:rsidRPr="00D942EB">
        <w:rPr>
          <w:noProof/>
        </w:rPr>
        <w:t xml:space="preserve"> </w:t>
      </w:r>
      <w:hyperlink r:id="rId23" w:history="1">
        <w:r w:rsidR="00C47544" w:rsidRPr="00D92275">
          <w:rPr>
            <w:rStyle w:val="Hyperlink"/>
            <w:noProof/>
          </w:rPr>
          <w:t>www.lifeblood.com.au/sites/default/files/resource-library/2023-08/Blood-Book-ABAH_FINAL-v1.2-AUGUST-2023-SCREEN-WITH-LETTER.pdf</w:t>
        </w:r>
      </w:hyperlink>
      <w:r w:rsidR="00F87AFC" w:rsidRPr="00D942EB">
        <w:rPr>
          <w:noProof/>
        </w:rPr>
        <w:t xml:space="preserve"> </w:t>
      </w:r>
      <w:r w:rsidRPr="00D942EB">
        <w:rPr>
          <w:noProof/>
        </w:rPr>
        <w:br w:type="page"/>
      </w:r>
    </w:p>
    <w:p w14:paraId="5C3D6D4E" w14:textId="14FEBE67" w:rsidR="006F2910" w:rsidRPr="00D942EB" w:rsidRDefault="003B2784" w:rsidP="006F2910">
      <w:pPr>
        <w:pStyle w:val="Heading2"/>
        <w:rPr>
          <w:noProof/>
        </w:rPr>
      </w:pPr>
      <w:bookmarkStart w:id="87" w:name="_Toc37768206"/>
      <w:bookmarkStart w:id="88" w:name="_Toc39143503"/>
      <w:bookmarkStart w:id="89" w:name="_Toc181617096"/>
      <w:r w:rsidRPr="00D942EB">
        <w:rPr>
          <w:noProof/>
        </w:rPr>
        <w:lastRenderedPageBreak/>
        <w:t xml:space="preserve">6:  </w:t>
      </w:r>
      <w:r w:rsidR="006F2910" w:rsidRPr="00D942EB">
        <w:rPr>
          <w:noProof/>
        </w:rPr>
        <w:t>Suspected suicide of a patient within an acute psychiatric unit or acute psychiatric ward</w:t>
      </w:r>
      <w:bookmarkEnd w:id="87"/>
      <w:bookmarkEnd w:id="88"/>
      <w:bookmarkEnd w:id="89"/>
      <w:r w:rsidR="006F2910" w:rsidRPr="00D942EB">
        <w:rPr>
          <w:noProof/>
        </w:rPr>
        <w:t xml:space="preserve"> </w:t>
      </w:r>
    </w:p>
    <w:tbl>
      <w:tblPr>
        <w:tblStyle w:val="TableGrid"/>
        <w:tblW w:w="0" w:type="dxa"/>
        <w:tblLook w:val="04A0" w:firstRow="1" w:lastRow="0" w:firstColumn="1" w:lastColumn="0" w:noHBand="0" w:noVBand="1"/>
      </w:tblPr>
      <w:tblGrid>
        <w:gridCol w:w="9072"/>
      </w:tblGrid>
      <w:tr w:rsidR="006F2910" w:rsidRPr="00D942EB" w14:paraId="303BA660" w14:textId="77777777" w:rsidTr="0065199F">
        <w:trPr>
          <w:cnfStyle w:val="100000000000" w:firstRow="1" w:lastRow="0" w:firstColumn="0" w:lastColumn="0" w:oddVBand="0" w:evenVBand="0" w:oddHBand="0" w:evenHBand="0" w:firstRowFirstColumn="0" w:firstRowLastColumn="0" w:lastRowFirstColumn="0" w:lastRowLastColumn="0"/>
          <w:trHeight w:hRule="exact" w:val="284"/>
        </w:trPr>
        <w:tc>
          <w:tcPr>
            <w:tcW w:w="9086" w:type="dxa"/>
            <w:tcBorders>
              <w:top w:val="nil"/>
              <w:left w:val="nil"/>
              <w:bottom w:val="nil"/>
              <w:right w:val="nil"/>
            </w:tcBorders>
            <w:shd w:val="clear" w:color="auto" w:fill="EEECE1" w:themeFill="background2"/>
          </w:tcPr>
          <w:p w14:paraId="3B97238D"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Category: mental health</w:t>
            </w:r>
          </w:p>
        </w:tc>
      </w:tr>
    </w:tbl>
    <w:p w14:paraId="3E30A47E" w14:textId="77777777" w:rsidR="006F2910" w:rsidRPr="00D942EB" w:rsidRDefault="006F2910" w:rsidP="007C2D48">
      <w:pPr>
        <w:pStyle w:val="Heading3"/>
        <w:rPr>
          <w:noProof/>
        </w:rPr>
      </w:pPr>
      <w:bookmarkStart w:id="90" w:name="_Toc39143504"/>
      <w:bookmarkStart w:id="91" w:name="_Toc181617097"/>
      <w:r w:rsidRPr="00D942EB">
        <w:rPr>
          <w:noProof/>
        </w:rPr>
        <w:t>Sentinel event</w:t>
      </w:r>
      <w:bookmarkEnd w:id="90"/>
      <w:bookmarkEnd w:id="91"/>
    </w:p>
    <w:p w14:paraId="6B23565B" w14:textId="497C67FE" w:rsidR="006F2910" w:rsidRPr="00D942EB" w:rsidRDefault="006F2910" w:rsidP="007C2D48">
      <w:pPr>
        <w:rPr>
          <w:b/>
          <w:noProof/>
        </w:rPr>
      </w:pPr>
      <w:r w:rsidRPr="00D942EB">
        <w:rPr>
          <w:noProof/>
        </w:rPr>
        <w:t>Suspected suicide of a patient within an acute psychiatric unit or acute psychiatric ward</w:t>
      </w:r>
      <w:r w:rsidR="00E5486C" w:rsidRPr="00D942EB">
        <w:rPr>
          <w:noProof/>
        </w:rPr>
        <w:t>.</w:t>
      </w:r>
    </w:p>
    <w:p w14:paraId="45B4C011" w14:textId="77777777" w:rsidR="006F2910" w:rsidRPr="00D942EB" w:rsidRDefault="006F2910" w:rsidP="007C2D48">
      <w:pPr>
        <w:pStyle w:val="Heading3"/>
        <w:rPr>
          <w:noProof/>
        </w:rPr>
      </w:pPr>
      <w:bookmarkStart w:id="92" w:name="_Toc39143505"/>
      <w:bookmarkStart w:id="93" w:name="_Toc181617098"/>
      <w:r w:rsidRPr="00D942EB">
        <w:rPr>
          <w:noProof/>
        </w:rPr>
        <w:t>Inclusions/exclusions</w:t>
      </w:r>
      <w:bookmarkEnd w:id="92"/>
      <w:bookmarkEnd w:id="93"/>
    </w:p>
    <w:p w14:paraId="274BA3EB" w14:textId="7377774C" w:rsidR="006F2910" w:rsidRPr="00D942EB" w:rsidRDefault="006F2910" w:rsidP="007C2D48">
      <w:pPr>
        <w:rPr>
          <w:noProof/>
        </w:rPr>
      </w:pPr>
      <w:r w:rsidRPr="00D942EB">
        <w:rPr>
          <w:noProof/>
        </w:rPr>
        <w:t>Excludes sub-acute care and rehabilitation</w:t>
      </w:r>
      <w:r w:rsidR="00E5486C" w:rsidRPr="00D942EB">
        <w:rPr>
          <w:noProof/>
        </w:rPr>
        <w:t>.</w:t>
      </w:r>
    </w:p>
    <w:p w14:paraId="692D7AEE" w14:textId="77777777" w:rsidR="006F2910" w:rsidRPr="00D942EB" w:rsidRDefault="006F2910" w:rsidP="007C2D48">
      <w:pPr>
        <w:pStyle w:val="Heading3"/>
        <w:rPr>
          <w:noProof/>
        </w:rPr>
      </w:pPr>
      <w:bookmarkStart w:id="94" w:name="_Toc39143506"/>
      <w:bookmarkStart w:id="95" w:name="_Toc181617099"/>
      <w:r w:rsidRPr="00D942EB">
        <w:rPr>
          <w:noProof/>
        </w:rPr>
        <w:t>Setting</w:t>
      </w:r>
      <w:bookmarkEnd w:id="94"/>
      <w:bookmarkEnd w:id="95"/>
    </w:p>
    <w:p w14:paraId="6069F35D" w14:textId="49288CFB" w:rsidR="006F2910" w:rsidRPr="00D942EB" w:rsidRDefault="006F2910" w:rsidP="007C2D48">
      <w:pPr>
        <w:rPr>
          <w:noProof/>
        </w:rPr>
      </w:pPr>
      <w:r w:rsidRPr="00D942EB">
        <w:rPr>
          <w:noProof/>
        </w:rPr>
        <w:t>All hospitals</w:t>
      </w:r>
      <w:r w:rsidR="00E5486C" w:rsidRPr="00D942EB">
        <w:rPr>
          <w:noProof/>
        </w:rPr>
        <w:t>.</w:t>
      </w:r>
    </w:p>
    <w:p w14:paraId="1AF643C9" w14:textId="211C86C9" w:rsidR="006F2910" w:rsidRPr="00D942EB" w:rsidRDefault="006F2910" w:rsidP="007C2D48">
      <w:pPr>
        <w:pStyle w:val="Heading3"/>
        <w:rPr>
          <w:noProof/>
        </w:rPr>
      </w:pPr>
      <w:bookmarkStart w:id="96" w:name="_Toc39143507"/>
      <w:bookmarkStart w:id="97" w:name="_Toc181617100"/>
      <w:r w:rsidRPr="00D942EB">
        <w:rPr>
          <w:noProof/>
        </w:rPr>
        <w:t>Definitions</w:t>
      </w:r>
      <w:bookmarkEnd w:id="96"/>
      <w:bookmarkEnd w:id="97"/>
    </w:p>
    <w:p w14:paraId="0E0516E2" w14:textId="2EEAB884" w:rsidR="006F2910" w:rsidRPr="00D942EB" w:rsidRDefault="006F2910" w:rsidP="007C2D48">
      <w:pPr>
        <w:rPr>
          <w:noProof/>
        </w:rPr>
      </w:pPr>
      <w:r w:rsidRPr="00D942EB">
        <w:rPr>
          <w:rStyle w:val="Strong"/>
        </w:rPr>
        <w:t>Acute psychiatric unit</w:t>
      </w:r>
      <w:r w:rsidRPr="00D942EB">
        <w:rPr>
          <w:noProof/>
        </w:rPr>
        <w:t xml:space="preserve"> or </w:t>
      </w:r>
      <w:r w:rsidRPr="00D942EB">
        <w:rPr>
          <w:rStyle w:val="Strong"/>
        </w:rPr>
        <w:t>acute psychiatric ward</w:t>
      </w:r>
      <w:r w:rsidR="00DD6386" w:rsidRPr="00D942EB">
        <w:rPr>
          <w:rStyle w:val="Strong"/>
        </w:rPr>
        <w:t xml:space="preserve">: </w:t>
      </w:r>
      <w:r w:rsidRPr="00D942EB">
        <w:rPr>
          <w:noProof/>
        </w:rPr>
        <w:t xml:space="preserve">A specialised unit or ward that is dedicated to the treatment and care of admitted patients with mental illness or mental disorder. This includes specialist psychiatric units or psychiatric wards within emergency departments. </w:t>
      </w:r>
    </w:p>
    <w:p w14:paraId="744B86E2" w14:textId="40364434" w:rsidR="006F2910" w:rsidRPr="00D942EB" w:rsidRDefault="006F2910" w:rsidP="007C2D48">
      <w:pPr>
        <w:pStyle w:val="Normal-beforebullets"/>
      </w:pPr>
      <w:r w:rsidRPr="00D942EB">
        <w:t>For the purposes of this sentinel event</w:t>
      </w:r>
      <w:r w:rsidR="00E5486C" w:rsidRPr="00D942EB">
        <w:t>,</w:t>
      </w:r>
      <w:r w:rsidRPr="00D942EB">
        <w:t xml:space="preserve"> ‘acute psychiatric unit’ and ‘acute psychiatric ward’ refer to psychiatric units and wards where all three of the following criteria apply:</w:t>
      </w:r>
    </w:p>
    <w:p w14:paraId="10828171" w14:textId="77777777" w:rsidR="006F2910" w:rsidRPr="00D942EB" w:rsidRDefault="006F2910" w:rsidP="007C2D48">
      <w:pPr>
        <w:pStyle w:val="Numberedlists"/>
        <w:rPr>
          <w:noProof/>
        </w:rPr>
      </w:pPr>
      <w:r w:rsidRPr="00D942EB">
        <w:rPr>
          <w:noProof/>
        </w:rPr>
        <w:t>The psychiatric unit or psychiatric ward is specifically designed with fixtures and fittings that minimise the opportunity for patient suicide</w:t>
      </w:r>
    </w:p>
    <w:p w14:paraId="79AC90E8" w14:textId="77777777" w:rsidR="006F2910" w:rsidRPr="00D942EB" w:rsidRDefault="006F2910" w:rsidP="007C2D48">
      <w:pPr>
        <w:pStyle w:val="Numberedlists"/>
        <w:rPr>
          <w:noProof/>
        </w:rPr>
      </w:pPr>
      <w:r w:rsidRPr="00D942EB">
        <w:rPr>
          <w:noProof/>
        </w:rPr>
        <w:t>The psychiatric unit or psychiatric ward is specifically designed to prevent any unauthorised ingress or egress</w:t>
      </w:r>
    </w:p>
    <w:p w14:paraId="67A0A018" w14:textId="7DB567CE" w:rsidR="006F2910" w:rsidRPr="00D942EB" w:rsidRDefault="006F2910" w:rsidP="007C2D48">
      <w:pPr>
        <w:pStyle w:val="Numberedlists"/>
        <w:rPr>
          <w:noProof/>
        </w:rPr>
      </w:pPr>
      <w:r w:rsidRPr="00D942EB">
        <w:rPr>
          <w:noProof/>
        </w:rPr>
        <w:t xml:space="preserve">Observation protocols are applied within the psychiatric unit or psychiatric ward. </w:t>
      </w:r>
    </w:p>
    <w:p w14:paraId="182A9E40" w14:textId="1A677582" w:rsidR="006F2910" w:rsidRPr="00D942EB" w:rsidRDefault="00674C73" w:rsidP="007C2D48">
      <w:pPr>
        <w:pStyle w:val="Heading3"/>
        <w:rPr>
          <w:noProof/>
        </w:rPr>
      </w:pPr>
      <w:bookmarkStart w:id="98" w:name="_Toc181617101"/>
      <w:r w:rsidRPr="00D942EB">
        <w:rPr>
          <w:noProof/>
        </w:rPr>
        <w:t>Examples of preventive barriers</w:t>
      </w:r>
      <w:bookmarkEnd w:id="98"/>
    </w:p>
    <w:p w14:paraId="3605B572" w14:textId="0AD53060" w:rsidR="006F2910" w:rsidRPr="00D942EB" w:rsidRDefault="006F2910" w:rsidP="007C2D48">
      <w:pPr>
        <w:numPr>
          <w:ilvl w:val="0"/>
          <w:numId w:val="28"/>
        </w:numPr>
        <w:spacing w:after="0"/>
        <w:ind w:left="714" w:hanging="357"/>
        <w:rPr>
          <w:noProof/>
        </w:rPr>
      </w:pPr>
      <w:r w:rsidRPr="00D942EB">
        <w:rPr>
          <w:noProof/>
        </w:rPr>
        <w:t>NSQHS Standards (2nd ed.)</w:t>
      </w:r>
      <w:r w:rsidR="002C458B">
        <w:rPr>
          <w:noProof/>
        </w:rPr>
        <w:fldChar w:fldCharType="begin"/>
      </w:r>
      <w:r w:rsidR="002C458B">
        <w:rPr>
          <w:noProof/>
        </w:rPr>
        <w:instrText xml:space="preserve"> ADDIN EN.CITE &lt;EndNote&gt;&lt;Cite&gt;&lt;Author&gt;Australian Commission on Safety and Quality in Health Care&lt;/Author&gt;&lt;Year&gt;2021&lt;/Year&gt;&lt;RecNum&gt;6&lt;/RecNum&gt;&lt;DisplayText&gt;&lt;style face="superscript"&gt;2&lt;/style&gt;&lt;/DisplayText&gt;&lt;record&gt;&lt;rec-number&gt;6&lt;/rec-number&gt;&lt;foreign-keys&gt;&lt;key app="EN" db-id="s0afewfss5vsr9e0tvixevam5sps2w9r2t09" timestamp="1724730561"&gt;6&lt;/key&gt;&lt;/foreign-keys&gt;&lt;ref-type name="Electronic Book"&gt;44&lt;/ref-type&gt;&lt;contributors&gt;&lt;authors&gt;&lt;author&gt;Australian Commission on Safety and Quality in Health Care,&lt;/author&gt;&lt;/authors&gt;&lt;/contributors&gt;&lt;titles&gt;&lt;title&gt;National Safety and Quality Health Service Standards (second edition)&lt;/title&gt;&lt;/titles&gt;&lt;edition&gt;Second edition&lt;/edition&gt;&lt;dates&gt;&lt;year&gt;2021&lt;/year&gt;&lt;pub-dates&gt;&lt;date&gt;25 August 2024&lt;/date&gt;&lt;/pub-dates&gt;&lt;/dates&gt;&lt;pub-location&gt;Sydney&lt;/pub-location&gt;&lt;publisher&gt;ACSQHC&lt;/publisher&gt;&lt;urls&gt;&lt;related-urls&gt;&lt;url&gt;https://www.safetyandquality.gov.au/publications-and-resources/resource-library/national-safety-and-quality-health-service-standards-second-edition&lt;/url&gt;&lt;/related-urls&gt;&lt;/urls&gt;&lt;/record&gt;&lt;/Cite&gt;&lt;/EndNote&gt;</w:instrText>
      </w:r>
      <w:r w:rsidR="002C458B">
        <w:rPr>
          <w:noProof/>
        </w:rPr>
        <w:fldChar w:fldCharType="separate"/>
      </w:r>
      <w:r w:rsidR="002C458B" w:rsidRPr="002C458B">
        <w:rPr>
          <w:noProof/>
          <w:vertAlign w:val="superscript"/>
        </w:rPr>
        <w:t>2</w:t>
      </w:r>
      <w:r w:rsidR="002C458B">
        <w:rPr>
          <w:noProof/>
        </w:rPr>
        <w:fldChar w:fldCharType="end"/>
      </w:r>
      <w:r w:rsidRPr="00D942EB">
        <w:rPr>
          <w:noProof/>
          <w:vertAlign w:val="superscript"/>
        </w:rPr>
        <w:t xml:space="preserve"> </w:t>
      </w:r>
      <w:r w:rsidRPr="00D942EB">
        <w:rPr>
          <w:noProof/>
        </w:rPr>
        <w:t xml:space="preserve">– Comprehensive Care Standard, </w:t>
      </w:r>
      <w:r w:rsidR="00E5486C" w:rsidRPr="00D942EB">
        <w:rPr>
          <w:noProof/>
        </w:rPr>
        <w:t>A</w:t>
      </w:r>
      <w:r w:rsidRPr="00D942EB">
        <w:rPr>
          <w:noProof/>
        </w:rPr>
        <w:t xml:space="preserve">ction 5.31 Predicting, preventing and managing self-harm and suicide </w:t>
      </w:r>
    </w:p>
    <w:p w14:paraId="33D79381" w14:textId="1EC337D0" w:rsidR="00817000" w:rsidRPr="00D942EB" w:rsidRDefault="00C47544" w:rsidP="00DD6386">
      <w:pPr>
        <w:spacing w:after="80"/>
        <w:ind w:left="709"/>
      </w:pPr>
      <w:hyperlink r:id="rId24" w:history="1">
        <w:r w:rsidRPr="00D92275">
          <w:rPr>
            <w:rStyle w:val="Hyperlink"/>
          </w:rPr>
          <w:t>www.safetyandquality.gov.au/standards/nsqhs-standards</w:t>
        </w:r>
      </w:hyperlink>
      <w:r w:rsidR="00517B19" w:rsidRPr="00D942EB">
        <w:t xml:space="preserve"> </w:t>
      </w:r>
    </w:p>
    <w:p w14:paraId="13DFB007" w14:textId="51A82D60" w:rsidR="006F2910" w:rsidRPr="008E336C" w:rsidRDefault="006F2910" w:rsidP="007C2D48">
      <w:pPr>
        <w:numPr>
          <w:ilvl w:val="0"/>
          <w:numId w:val="28"/>
        </w:numPr>
        <w:spacing w:after="0"/>
        <w:ind w:left="714" w:hanging="357"/>
        <w:rPr>
          <w:rStyle w:val="Hyperlink"/>
          <w:noProof/>
          <w:color w:val="auto"/>
          <w:u w:val="none"/>
        </w:rPr>
      </w:pPr>
      <w:r w:rsidRPr="00D942EB">
        <w:rPr>
          <w:noProof/>
        </w:rPr>
        <w:t xml:space="preserve">Australasian Health Facility Guidelines: Part B – Health Facility Briefing and Planning, 0134 – Adult Acute Mental Health Inpatient Unit (revision </w:t>
      </w:r>
      <w:r w:rsidR="007B048D" w:rsidRPr="00D942EB">
        <w:rPr>
          <w:noProof/>
        </w:rPr>
        <w:t>7</w:t>
      </w:r>
      <w:r w:rsidRPr="00D942EB">
        <w:rPr>
          <w:noProof/>
        </w:rPr>
        <w:t>.0)</w:t>
      </w:r>
      <w:r w:rsidR="002C458B">
        <w:rPr>
          <w:noProof/>
        </w:rPr>
        <w:fldChar w:fldCharType="begin"/>
      </w:r>
      <w:r w:rsidR="002C458B">
        <w:rPr>
          <w:noProof/>
        </w:rPr>
        <w:instrText xml:space="preserve"> ADDIN EN.CITE &lt;EndNote&gt;&lt;Cite&gt;&lt;Author&gt;Australasian Health Infrastructure Alliance&lt;/Author&gt;&lt;Year&gt;2019&lt;/Year&gt;&lt;RecNum&gt;2&lt;/RecNum&gt;&lt;DisplayText&gt;&lt;style face="superscript"&gt;7&lt;/style&gt;&lt;/DisplayText&gt;&lt;record&gt;&lt;rec-number&gt;2&lt;/rec-number&gt;&lt;foreign-keys&gt;&lt;key app="EN" db-id="s0afewfss5vsr9e0tvixevam5sps2w9r2t09" timestamp="1724730561"&gt;2&lt;/key&gt;&lt;/foreign-keys&gt;&lt;ref-type name="Electronic Book"&gt;44&lt;/ref-type&gt;&lt;contributors&gt;&lt;authors&gt;&lt;author&gt;Australasian Health Infrastructure Alliance,&lt;/author&gt;&lt;/authors&gt;&lt;/contributors&gt;&lt;titles&gt;&lt;title&gt;Australasian Health Facility Guidelines: Part B – Health Facility Briefing and Planning, 0134 – Adult Acute Mental Health Inpatient Unit (revision 7.0)&lt;/title&gt;&lt;/titles&gt;&lt;dates&gt;&lt;year&gt;2019&lt;/year&gt;&lt;/dates&gt;&lt;pub-location&gt;Sydney&lt;/pub-location&gt;&lt;publisher&gt;Australasian Health Infrastructure Alliance&lt;/publisher&gt;&lt;urls&gt;&lt;related-urls&gt;&lt;url&gt;https://healthfacilityguidelines.com.au/hpu/adult-acute-mental-health-inpatient-unit-1.&lt;/url&gt;&lt;/related-urls&gt;&lt;/urls&gt;&lt;/record&gt;&lt;/Cite&gt;&lt;/EndNote&gt;</w:instrText>
      </w:r>
      <w:r w:rsidR="002C458B">
        <w:rPr>
          <w:noProof/>
        </w:rPr>
        <w:fldChar w:fldCharType="separate"/>
      </w:r>
      <w:r w:rsidR="002C458B" w:rsidRPr="002C458B">
        <w:rPr>
          <w:noProof/>
          <w:vertAlign w:val="superscript"/>
        </w:rPr>
        <w:t>7</w:t>
      </w:r>
      <w:r w:rsidR="002C458B">
        <w:rPr>
          <w:noProof/>
        </w:rPr>
        <w:fldChar w:fldCharType="end"/>
      </w:r>
      <w:r w:rsidR="002C458B" w:rsidRPr="00D942EB">
        <w:t xml:space="preserve"> </w:t>
      </w:r>
      <w:hyperlink r:id="rId25" w:history="1">
        <w:r w:rsidR="002C458B" w:rsidRPr="00D50B2A">
          <w:rPr>
            <w:rStyle w:val="Hyperlink"/>
            <w:rFonts w:ascii="Segoe UI" w:hAnsi="Segoe UI" w:cs="Segoe UI"/>
          </w:rPr>
          <w:t>healthfacilityguidelines.com.au/hpu/adult-acute-mental-health-inpatient-unit-1</w:t>
        </w:r>
      </w:hyperlink>
    </w:p>
    <w:p w14:paraId="532B628D" w14:textId="5955F259" w:rsidR="008E336C" w:rsidRDefault="008E336C" w:rsidP="007C2D48">
      <w:pPr>
        <w:numPr>
          <w:ilvl w:val="0"/>
          <w:numId w:val="28"/>
        </w:numPr>
        <w:spacing w:after="0"/>
        <w:ind w:left="714" w:hanging="357"/>
        <w:rPr>
          <w:noProof/>
        </w:rPr>
      </w:pPr>
      <w:r>
        <w:t>National Safety and Quality Health Service Standards User Guide for Health Services Providing Care for People with Mental Health Issues</w:t>
      </w:r>
      <w:r w:rsidR="00F362DC">
        <w:fldChar w:fldCharType="begin"/>
      </w:r>
      <w:r w:rsidR="0061532B">
        <w:instrText xml:space="preserve"> ADDIN EN.CITE &lt;EndNote&gt;&lt;Cite&gt;&lt;Author&gt;Australian Commission on Safety and Quality in Health Care&lt;/Author&gt;&lt;Year&gt;2018&lt;/Year&gt;&lt;RecNum&gt;14&lt;/RecNum&gt;&lt;DisplayText&gt;&lt;style face="superscript"&gt;8&lt;/style&gt;&lt;/DisplayText&gt;&lt;record&gt;&lt;rec-number&gt;14&lt;/rec-number&gt;&lt;foreign-keys&gt;&lt;key app="EN" db-id="s0afewfss5vsr9e0tvixevam5sps2w9r2t09" timestamp="1724733488"&gt;14&lt;/key&gt;&lt;/foreign-keys&gt;&lt;ref-type name="Electronic Book"&gt;44&lt;/ref-type&gt;&lt;contributors&gt;&lt;authors&gt;&lt;author&gt;Australian Commission on Safety and Quality in Health Care,&lt;/author&gt;&lt;/authors&gt;&lt;/contributors&gt;&lt;titles&gt;&lt;title&gt;National Safety and Quality Health Service Standards User Guide for Health Services Providing Care for People with Mental Health Issues&lt;/title&gt;&lt;/titles&gt;&lt;dates&gt;&lt;year&gt;2018&lt;/year&gt;&lt;/dates&gt;&lt;pub-location&gt;Sydney&lt;/pub-location&gt;&lt;publisher&gt;ACSQHC&lt;/publisher&gt;&lt;urls&gt;&lt;related-urls&gt;&lt;url&gt;https://www.safetyandquality.gov.au/sites/default/files/2019-05/nsqhs-standards-user-guide-for-health-services-providing-care-for-people-with-mental-health-issues_0.pdf&lt;/url&gt;&lt;/related-urls&gt;&lt;/urls&gt;&lt;/record&gt;&lt;/Cite&gt;&lt;/EndNote&gt;</w:instrText>
      </w:r>
      <w:r w:rsidR="00F362DC">
        <w:fldChar w:fldCharType="separate"/>
      </w:r>
      <w:r w:rsidR="00F362DC" w:rsidRPr="00F362DC">
        <w:rPr>
          <w:noProof/>
          <w:vertAlign w:val="superscript"/>
        </w:rPr>
        <w:t>8</w:t>
      </w:r>
      <w:r w:rsidR="00F362DC">
        <w:fldChar w:fldCharType="end"/>
      </w:r>
      <w:r>
        <w:t xml:space="preserve"> </w:t>
      </w:r>
      <w:hyperlink r:id="rId26" w:history="1">
        <w:r w:rsidR="00C47544" w:rsidRPr="00D92275">
          <w:rPr>
            <w:rStyle w:val="Hyperlink"/>
          </w:rPr>
          <w:t>www.safetyandquality.gov.au/sites/default/files/2019-05/nsqhs-standards-user-guide-for-health-services-providing-care-for-people-with-mental-health-issues_0.pdf</w:t>
        </w:r>
      </w:hyperlink>
      <w:r>
        <w:t xml:space="preserve"> </w:t>
      </w:r>
    </w:p>
    <w:p w14:paraId="76C4C360" w14:textId="77777777" w:rsidR="003D379F" w:rsidRPr="00D942EB" w:rsidRDefault="003D379F" w:rsidP="003D379F">
      <w:pPr>
        <w:spacing w:after="0"/>
        <w:ind w:left="357"/>
        <w:rPr>
          <w:noProof/>
        </w:rPr>
      </w:pPr>
    </w:p>
    <w:p w14:paraId="0AE96CCD" w14:textId="4A5CA9CE" w:rsidR="006F2910" w:rsidRPr="00D942EB" w:rsidRDefault="006F2910" w:rsidP="007C2D48">
      <w:pPr>
        <w:numPr>
          <w:ilvl w:val="0"/>
          <w:numId w:val="28"/>
        </w:numPr>
        <w:spacing w:after="0"/>
        <w:ind w:left="714" w:hanging="357"/>
        <w:rPr>
          <w:noProof/>
        </w:rPr>
      </w:pPr>
      <w:r w:rsidRPr="00D942EB">
        <w:rPr>
          <w:noProof/>
        </w:rPr>
        <w:t>Living is for Everyone (LIFE) Framework</w:t>
      </w:r>
      <w:r w:rsidR="00980B5C">
        <w:rPr>
          <w:noProof/>
        </w:rPr>
        <w:fldChar w:fldCharType="begin"/>
      </w:r>
      <w:r w:rsidR="00941467">
        <w:rPr>
          <w:noProof/>
        </w:rPr>
        <w:instrText xml:space="preserve"> ADDIN EN.CITE &lt;EndNote&gt;&lt;Cite&gt;&lt;Author&gt;Australian Government Department of Health and Ageing&lt;/Author&gt;&lt;Year&gt;2008&lt;/Year&gt;&lt;RecNum&gt;7&lt;/RecNum&gt;&lt;DisplayText&gt;&lt;style face="superscript"&gt;9&lt;/style&gt;&lt;/DisplayText&gt;&lt;record&gt;&lt;rec-number&gt;7&lt;/rec-number&gt;&lt;foreign-keys&gt;&lt;key app="EN" db-id="s0afewfss5vsr9e0tvixevam5sps2w9r2t09" timestamp="1724730561"&gt;7&lt;/key&gt;&lt;/foreign-keys&gt;&lt;ref-type name="Electronic Book"&gt;44&lt;/ref-type&gt;&lt;contributors&gt;&lt;authors&gt;&lt;author&gt;Australian Government Department of Health and Ageing,&lt;/author&gt;&lt;/authors&gt;&lt;/contributors&gt;&lt;titles&gt;&lt;title&gt;A framework for prevention of suicide in Australia&lt;/title&gt;&lt;/titles&gt;&lt;dates&gt;&lt;year&gt;2008&lt;/year&gt;&lt;/dates&gt;&lt;pub-location&gt;Canberra&lt;/pub-location&gt;&lt;publisher&gt;DoHA&lt;/publisher&gt;&lt;urls&gt;&lt;related-urls&gt;&lt;url&gt;https://lifeinmind.org.au/splash-page/docs/LIFE-framework-web.pdf&lt;/url&gt;&lt;/related-urls&gt;&lt;/urls&gt;&lt;/record&gt;&lt;/Cite&gt;&lt;/EndNote&gt;</w:instrText>
      </w:r>
      <w:r w:rsidR="00980B5C">
        <w:rPr>
          <w:noProof/>
        </w:rPr>
        <w:fldChar w:fldCharType="separate"/>
      </w:r>
      <w:r w:rsidR="00F362DC" w:rsidRPr="00F362DC">
        <w:rPr>
          <w:noProof/>
          <w:vertAlign w:val="superscript"/>
        </w:rPr>
        <w:t>9</w:t>
      </w:r>
      <w:r w:rsidR="00980B5C">
        <w:rPr>
          <w:noProof/>
        </w:rPr>
        <w:fldChar w:fldCharType="end"/>
      </w:r>
      <w:r w:rsidRPr="00D942EB">
        <w:rPr>
          <w:noProof/>
        </w:rPr>
        <w:t xml:space="preserve"> sets an overarching strategic policy framework for suicide prevention in Australia including a focus on managing risk within health services and shortly after discharge (Outcome 5.4) </w:t>
      </w:r>
    </w:p>
    <w:p w14:paraId="37FFA04E" w14:textId="7EE4243F" w:rsidR="006F2910" w:rsidRPr="00D942EB" w:rsidRDefault="00C47544" w:rsidP="00DD6386">
      <w:pPr>
        <w:spacing w:after="80"/>
        <w:ind w:left="709"/>
        <w:rPr>
          <w:noProof/>
        </w:rPr>
      </w:pPr>
      <w:hyperlink r:id="rId27" w:history="1">
        <w:r w:rsidRPr="00D92275">
          <w:rPr>
            <w:rStyle w:val="Hyperlink"/>
            <w:noProof/>
          </w:rPr>
          <w:t>www.lifeinmindaustralia.com.au/</w:t>
        </w:r>
      </w:hyperlink>
    </w:p>
    <w:p w14:paraId="559B147C" w14:textId="30350991" w:rsidR="00980B5C" w:rsidRDefault="006F2910" w:rsidP="007C2D48">
      <w:pPr>
        <w:numPr>
          <w:ilvl w:val="0"/>
          <w:numId w:val="28"/>
        </w:numPr>
        <w:spacing w:after="0"/>
        <w:ind w:left="714" w:hanging="357"/>
        <w:rPr>
          <w:noProof/>
        </w:rPr>
      </w:pPr>
      <w:r w:rsidRPr="00D942EB">
        <w:rPr>
          <w:noProof/>
        </w:rPr>
        <w:t>National Standards for Mental Health Services (2010)</w:t>
      </w:r>
      <w:r w:rsidR="00D522E8">
        <w:rPr>
          <w:noProof/>
        </w:rPr>
        <w:fldChar w:fldCharType="begin"/>
      </w:r>
      <w:r w:rsidR="00F362DC">
        <w:rPr>
          <w:noProof/>
        </w:rPr>
        <w:instrText xml:space="preserve"> ADDIN EN.CITE &lt;EndNote&gt;&lt;Cite&gt;&lt;Author&gt;Australian Government Department of Health and Ageing&lt;/Author&gt;&lt;Year&gt;2010&lt;/Year&gt;&lt;RecNum&gt;8&lt;/RecNum&gt;&lt;DisplayText&gt;&lt;style face="superscript"&gt;10&lt;/style&gt;&lt;/DisplayText&gt;&lt;record&gt;&lt;rec-number&gt;8&lt;/rec-number&gt;&lt;foreign-keys&gt;&lt;key app="EN" db-id="s0afewfss5vsr9e0tvixevam5sps2w9r2t09" timestamp="1724730561"&gt;8&lt;/key&gt;&lt;/foreign-keys&gt;&lt;ref-type name="Electronic Book"&gt;44&lt;/ref-type&gt;&lt;contributors&gt;&lt;authors&gt;&lt;author&gt;Australian Government Department of Health and Ageing,&lt;/author&gt;&lt;/authors&gt;&lt;/contributors&gt;&lt;titles&gt;&lt;title&gt;National Standards for Mental Health Services, Standard 2: Safety. Implementation guidelines for public mental health services and private hospitals&lt;/title&gt;&lt;/titles&gt;&lt;dates&gt;&lt;year&gt;2010&lt;/year&gt;&lt;/dates&gt;&lt;pub-location&gt;Canberra&lt;/pub-location&gt;&lt;publisher&gt;Commonwealth of Australia&lt;/publisher&gt;&lt;urls&gt;&lt;related-urls&gt;&lt;url&gt;https://www.health.gov.au/resources/publications/national-standards-for-mental-health-services-2010-and-implementation-guidelines&lt;/url&gt;&lt;/related-urls&gt;&lt;/urls&gt;&lt;/record&gt;&lt;/Cite&gt;&lt;/EndNote&gt;</w:instrText>
      </w:r>
      <w:r w:rsidR="00D522E8">
        <w:rPr>
          <w:noProof/>
        </w:rPr>
        <w:fldChar w:fldCharType="separate"/>
      </w:r>
      <w:r w:rsidR="00F362DC" w:rsidRPr="00F362DC">
        <w:rPr>
          <w:noProof/>
          <w:vertAlign w:val="superscript"/>
        </w:rPr>
        <w:t>10</w:t>
      </w:r>
      <w:r w:rsidR="00D522E8">
        <w:rPr>
          <w:noProof/>
        </w:rPr>
        <w:fldChar w:fldCharType="end"/>
      </w:r>
      <w:r w:rsidRPr="00D942EB">
        <w:rPr>
          <w:noProof/>
        </w:rPr>
        <w:t xml:space="preserve"> Standard 2: Safety. This</w:t>
      </w:r>
      <w:r w:rsidR="00681DBA" w:rsidRPr="00D942EB">
        <w:rPr>
          <w:noProof/>
        </w:rPr>
        <w:t xml:space="preserve"> </w:t>
      </w:r>
      <w:r w:rsidRPr="00D942EB">
        <w:rPr>
          <w:noProof/>
        </w:rPr>
        <w:t>incorporates requirements and guidance for assessing and managing risk of self-</w:t>
      </w:r>
      <w:r w:rsidRPr="00D942EB">
        <w:rPr>
          <w:noProof/>
        </w:rPr>
        <w:lastRenderedPageBreak/>
        <w:t xml:space="preserve">harm and suicide, including follow-up, assessment, environmental reviews and staff training </w:t>
      </w:r>
    </w:p>
    <w:p w14:paraId="64B5B423" w14:textId="3013D350" w:rsidR="006F2910" w:rsidRPr="00D942EB" w:rsidRDefault="009F411F" w:rsidP="00980B5C">
      <w:pPr>
        <w:spacing w:after="0"/>
        <w:ind w:left="714"/>
        <w:rPr>
          <w:noProof/>
        </w:rPr>
      </w:pPr>
      <w:hyperlink r:id="rId28" w:history="1">
        <w:r w:rsidRPr="00D50B2A">
          <w:rPr>
            <w:rStyle w:val="Hyperlink"/>
          </w:rPr>
          <w:t>www.health.gov.au/resources/publications/national-standards-for-mental-health-services-2010-and-implementation-guidelines</w:t>
        </w:r>
      </w:hyperlink>
    </w:p>
    <w:p w14:paraId="29CCA0D2" w14:textId="09061A17" w:rsidR="006F2910" w:rsidRPr="00D942EB" w:rsidRDefault="006F2910" w:rsidP="00DD6386">
      <w:pPr>
        <w:spacing w:after="80"/>
        <w:ind w:left="709"/>
        <w:rPr>
          <w:noProof/>
        </w:rPr>
      </w:pPr>
    </w:p>
    <w:p w14:paraId="2A4266AA" w14:textId="373C2EC3" w:rsidR="006F2910" w:rsidRPr="00D942EB" w:rsidRDefault="006F2910" w:rsidP="007C2D48">
      <w:pPr>
        <w:numPr>
          <w:ilvl w:val="0"/>
          <w:numId w:val="28"/>
        </w:numPr>
        <w:spacing w:after="0"/>
        <w:ind w:left="714" w:hanging="357"/>
        <w:rPr>
          <w:noProof/>
        </w:rPr>
      </w:pPr>
      <w:r w:rsidRPr="00D942EB">
        <w:rPr>
          <w:noProof/>
        </w:rPr>
        <w:t>National Practice Standards for the Mental Health Workforce (2013)</w:t>
      </w:r>
      <w:r w:rsidR="00D522E8">
        <w:rPr>
          <w:noProof/>
        </w:rPr>
        <w:fldChar w:fldCharType="begin"/>
      </w:r>
      <w:r w:rsidR="00C52050">
        <w:rPr>
          <w:noProof/>
        </w:rPr>
        <w:instrText xml:space="preserve"> ADDIN EN.CITE &lt;EndNote&gt;&lt;Cite&gt;&lt;Author&gt;Safety and Quality Partnership Standing Committee&lt;/Author&gt;&lt;Year&gt;2013&lt;/Year&gt;&lt;RecNum&gt;13&lt;/RecNum&gt;&lt;DisplayText&gt;&lt;style face="superscript"&gt;11&lt;/style&gt;&lt;/DisplayText&gt;&lt;record&gt;&lt;rec-number&gt;13&lt;/rec-number&gt;&lt;foreign-keys&gt;&lt;key app="EN" db-id="s0afewfss5vsr9e0tvixevam5sps2w9r2t09" timestamp="1724730561"&gt;13&lt;/key&gt;&lt;/foreign-keys&gt;&lt;ref-type name="Electronic Book"&gt;44&lt;/ref-type&gt;&lt;contributors&gt;&lt;authors&gt;&lt;author&gt;Safety and Quality Partnership Standing Committee,&lt;/author&gt;&lt;/authors&gt;&lt;/contributors&gt;&lt;titles&gt;&lt;title&gt;National Practice Standards for the Mental Health Workforce&lt;/title&gt;&lt;/titles&gt;&lt;dates&gt;&lt;year&gt;2013&lt;/year&gt;&lt;/dates&gt;&lt;pub-location&gt;Melbourne&lt;/pub-location&gt;&lt;publisher&gt;Victorian Government Department of Health&lt;/publisher&gt;&lt;urls&gt;&lt;related-urls&gt;&lt;url&gt;https://www.health.gov.au/resources/publications/national-practice-standards-for-the-mental-health-workforce-2013&lt;/url&gt;&lt;/related-urls&gt;&lt;/urls&gt;&lt;/record&gt;&lt;/Cite&gt;&lt;/EndNote&gt;</w:instrText>
      </w:r>
      <w:r w:rsidR="00D522E8">
        <w:rPr>
          <w:noProof/>
        </w:rPr>
        <w:fldChar w:fldCharType="separate"/>
      </w:r>
      <w:r w:rsidR="00F362DC" w:rsidRPr="00F362DC">
        <w:rPr>
          <w:noProof/>
          <w:vertAlign w:val="superscript"/>
        </w:rPr>
        <w:t>11</w:t>
      </w:r>
      <w:r w:rsidR="00D522E8">
        <w:rPr>
          <w:noProof/>
        </w:rPr>
        <w:fldChar w:fldCharType="end"/>
      </w:r>
      <w:r w:rsidR="00D522E8" w:rsidRPr="00D942EB">
        <w:rPr>
          <w:noProof/>
        </w:rPr>
        <w:t xml:space="preserve"> </w:t>
      </w:r>
      <w:r w:rsidRPr="00D942EB">
        <w:rPr>
          <w:noProof/>
        </w:rPr>
        <w:t>reflects the above standards with reference to appropriate assessment of mental state and risks</w:t>
      </w:r>
    </w:p>
    <w:p w14:paraId="50696172" w14:textId="6EC1A195" w:rsidR="006F2910" w:rsidRPr="00D942EB" w:rsidRDefault="00DB4D2B" w:rsidP="00DD6386">
      <w:pPr>
        <w:spacing w:after="80"/>
        <w:ind w:left="709"/>
        <w:rPr>
          <w:noProof/>
        </w:rPr>
      </w:pPr>
      <w:hyperlink r:id="rId29" w:history="1">
        <w:r w:rsidRPr="00D942EB">
          <w:rPr>
            <w:rStyle w:val="Hyperlink"/>
            <w:rFonts w:ascii="Segoe UI" w:hAnsi="Segoe UI" w:cs="Segoe UI"/>
          </w:rPr>
          <w:t>www.health.gov.au/resources/publications/national-practice-standards-for-the-mental-health-workforce-2013</w:t>
        </w:r>
      </w:hyperlink>
      <w:r w:rsidRPr="00D942EB">
        <w:rPr>
          <w:rFonts w:ascii="Segoe UI" w:hAnsi="Segoe UI" w:cs="Segoe UI"/>
        </w:rPr>
        <w:t xml:space="preserve"> </w:t>
      </w:r>
      <w:r w:rsidR="006F2910" w:rsidRPr="00D942EB">
        <w:rPr>
          <w:noProof/>
        </w:rPr>
        <w:t xml:space="preserve"> </w:t>
      </w:r>
    </w:p>
    <w:p w14:paraId="52FE0B42" w14:textId="77777777" w:rsidR="006F2910" w:rsidRPr="00D942EB" w:rsidRDefault="006F2910" w:rsidP="006F2910">
      <w:pPr>
        <w:spacing w:after="80"/>
        <w:rPr>
          <w:noProof/>
        </w:rPr>
      </w:pPr>
    </w:p>
    <w:p w14:paraId="7702BCBD" w14:textId="77777777" w:rsidR="006F2910" w:rsidRPr="00D942EB" w:rsidRDefault="006F2910" w:rsidP="006F2910">
      <w:pPr>
        <w:spacing w:after="80"/>
        <w:rPr>
          <w:b/>
          <w:noProof/>
        </w:rPr>
      </w:pPr>
      <w:r w:rsidRPr="00D942EB">
        <w:rPr>
          <w:b/>
          <w:noProof/>
        </w:rPr>
        <w:br w:type="page"/>
      </w:r>
    </w:p>
    <w:p w14:paraId="3F0F8FBA" w14:textId="13A74978" w:rsidR="006F2910" w:rsidRPr="00D942EB" w:rsidRDefault="003B2784" w:rsidP="006F2910">
      <w:pPr>
        <w:pStyle w:val="Heading2"/>
        <w:rPr>
          <w:noProof/>
        </w:rPr>
      </w:pPr>
      <w:bookmarkStart w:id="99" w:name="_Toc37768207"/>
      <w:bookmarkStart w:id="100" w:name="_Toc39143509"/>
      <w:bookmarkStart w:id="101" w:name="_Toc181617102"/>
      <w:r w:rsidRPr="00D942EB">
        <w:rPr>
          <w:noProof/>
        </w:rPr>
        <w:lastRenderedPageBreak/>
        <w:t xml:space="preserve">7:  </w:t>
      </w:r>
      <w:r w:rsidR="006F2910" w:rsidRPr="00D942EB">
        <w:rPr>
          <w:noProof/>
        </w:rPr>
        <w:t>Medication error resulting in serious harm or death</w:t>
      </w:r>
      <w:bookmarkEnd w:id="99"/>
      <w:bookmarkEnd w:id="100"/>
      <w:bookmarkEnd w:id="101"/>
    </w:p>
    <w:tbl>
      <w:tblPr>
        <w:tblStyle w:val="TableGrid"/>
        <w:tblW w:w="9199" w:type="dxa"/>
        <w:tblLook w:val="04A0" w:firstRow="1" w:lastRow="0" w:firstColumn="1" w:lastColumn="0" w:noHBand="0" w:noVBand="1"/>
      </w:tblPr>
      <w:tblGrid>
        <w:gridCol w:w="9199"/>
      </w:tblGrid>
      <w:tr w:rsidR="006F2910" w:rsidRPr="00D942EB" w14:paraId="35B7C35A" w14:textId="77777777" w:rsidTr="0065199F">
        <w:trPr>
          <w:cnfStyle w:val="100000000000" w:firstRow="1" w:lastRow="0" w:firstColumn="0" w:lastColumn="0" w:oddVBand="0" w:evenVBand="0" w:oddHBand="0" w:evenHBand="0" w:firstRowFirstColumn="0" w:firstRowLastColumn="0" w:lastRowFirstColumn="0" w:lastRowLastColumn="0"/>
          <w:trHeight w:hRule="exact" w:val="566"/>
        </w:trPr>
        <w:tc>
          <w:tcPr>
            <w:tcW w:w="9199" w:type="dxa"/>
            <w:tcBorders>
              <w:top w:val="nil"/>
              <w:left w:val="nil"/>
              <w:bottom w:val="nil"/>
              <w:right w:val="nil"/>
            </w:tcBorders>
            <w:shd w:val="clear" w:color="auto" w:fill="EEECE1" w:themeFill="background2"/>
          </w:tcPr>
          <w:p w14:paraId="5309B028"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Category: medication</w:t>
            </w:r>
          </w:p>
        </w:tc>
      </w:tr>
    </w:tbl>
    <w:p w14:paraId="2F824BCA" w14:textId="34D9449B" w:rsidR="006F2910" w:rsidRPr="00D942EB" w:rsidRDefault="006F2910" w:rsidP="007C2D48">
      <w:pPr>
        <w:pStyle w:val="Heading3"/>
        <w:rPr>
          <w:noProof/>
        </w:rPr>
      </w:pPr>
      <w:bookmarkStart w:id="102" w:name="_Toc39143510"/>
      <w:bookmarkStart w:id="103" w:name="_Toc181617103"/>
      <w:r w:rsidRPr="00D942EB">
        <w:rPr>
          <w:noProof/>
        </w:rPr>
        <w:t>Sentinel event</w:t>
      </w:r>
      <w:bookmarkEnd w:id="102"/>
      <w:bookmarkEnd w:id="103"/>
    </w:p>
    <w:p w14:paraId="34A25FDF" w14:textId="4E7EFE3B" w:rsidR="006F2910" w:rsidRPr="00D942EB" w:rsidRDefault="006F2910" w:rsidP="006F2910">
      <w:pPr>
        <w:spacing w:after="80"/>
        <w:rPr>
          <w:noProof/>
        </w:rPr>
      </w:pPr>
      <w:r w:rsidRPr="00D942EB">
        <w:rPr>
          <w:noProof/>
        </w:rPr>
        <w:t>Medication error resulting in serious harm or death</w:t>
      </w:r>
      <w:r w:rsidR="00E5486C" w:rsidRPr="00D942EB">
        <w:rPr>
          <w:noProof/>
        </w:rPr>
        <w:t>.</w:t>
      </w:r>
    </w:p>
    <w:p w14:paraId="5444BF88" w14:textId="77777777" w:rsidR="006F2910" w:rsidRPr="00D942EB" w:rsidRDefault="006F2910" w:rsidP="007C2D48">
      <w:pPr>
        <w:pStyle w:val="Heading3"/>
        <w:rPr>
          <w:noProof/>
        </w:rPr>
      </w:pPr>
      <w:bookmarkStart w:id="104" w:name="_Toc39143511"/>
      <w:bookmarkStart w:id="105" w:name="_Toc181617104"/>
      <w:r w:rsidRPr="00D942EB">
        <w:rPr>
          <w:noProof/>
        </w:rPr>
        <w:t>Inclusions/exclusions</w:t>
      </w:r>
      <w:bookmarkEnd w:id="104"/>
      <w:bookmarkEnd w:id="105"/>
    </w:p>
    <w:p w14:paraId="547F7F2C" w14:textId="78EC0A14" w:rsidR="006F2910" w:rsidRPr="00D942EB" w:rsidRDefault="006F2910" w:rsidP="006F2910">
      <w:pPr>
        <w:spacing w:after="80"/>
        <w:rPr>
          <w:noProof/>
        </w:rPr>
      </w:pPr>
      <w:r w:rsidRPr="00D942EB">
        <w:rPr>
          <w:noProof/>
        </w:rPr>
        <w:t>Nil</w:t>
      </w:r>
      <w:r w:rsidR="00E5486C" w:rsidRPr="00D942EB">
        <w:rPr>
          <w:noProof/>
        </w:rPr>
        <w:t>.</w:t>
      </w:r>
    </w:p>
    <w:p w14:paraId="116C8B76" w14:textId="77777777" w:rsidR="006F2910" w:rsidRPr="00D942EB" w:rsidRDefault="006F2910" w:rsidP="007C2D48">
      <w:pPr>
        <w:pStyle w:val="Heading3"/>
        <w:rPr>
          <w:noProof/>
        </w:rPr>
      </w:pPr>
      <w:bookmarkStart w:id="106" w:name="_Toc39143512"/>
      <w:bookmarkStart w:id="107" w:name="_Toc181617105"/>
      <w:r w:rsidRPr="00D942EB">
        <w:rPr>
          <w:noProof/>
        </w:rPr>
        <w:t>Setting</w:t>
      </w:r>
      <w:bookmarkEnd w:id="106"/>
      <w:bookmarkEnd w:id="107"/>
    </w:p>
    <w:p w14:paraId="55B68C90" w14:textId="3292D602" w:rsidR="006F2910" w:rsidRPr="00D942EB" w:rsidRDefault="006F2910" w:rsidP="006F2910">
      <w:pPr>
        <w:spacing w:after="80"/>
        <w:rPr>
          <w:noProof/>
        </w:rPr>
      </w:pPr>
      <w:r w:rsidRPr="00D942EB">
        <w:rPr>
          <w:noProof/>
        </w:rPr>
        <w:t>All hospitals</w:t>
      </w:r>
      <w:r w:rsidR="00E5486C" w:rsidRPr="00D942EB">
        <w:rPr>
          <w:noProof/>
        </w:rPr>
        <w:t>.</w:t>
      </w:r>
    </w:p>
    <w:p w14:paraId="573B46DB" w14:textId="4628DC8C" w:rsidR="006F2910" w:rsidRPr="00D942EB" w:rsidRDefault="006F2910" w:rsidP="007C2D48">
      <w:pPr>
        <w:pStyle w:val="Heading3"/>
        <w:rPr>
          <w:noProof/>
        </w:rPr>
      </w:pPr>
      <w:bookmarkStart w:id="108" w:name="_Toc39143513"/>
      <w:bookmarkStart w:id="109" w:name="_Toc181617106"/>
      <w:r w:rsidRPr="00D942EB">
        <w:rPr>
          <w:noProof/>
        </w:rPr>
        <w:t>Definition</w:t>
      </w:r>
      <w:bookmarkEnd w:id="108"/>
      <w:bookmarkEnd w:id="109"/>
    </w:p>
    <w:p w14:paraId="0F4C854E" w14:textId="762874BC" w:rsidR="006F2910" w:rsidRPr="00D942EB" w:rsidRDefault="006F2910" w:rsidP="00E5486C">
      <w:pPr>
        <w:spacing w:after="80"/>
        <w:rPr>
          <w:noProof/>
        </w:rPr>
      </w:pPr>
      <w:r w:rsidRPr="00D942EB">
        <w:rPr>
          <w:rStyle w:val="Strong"/>
        </w:rPr>
        <w:t>Serious harm</w:t>
      </w:r>
      <w:r w:rsidR="00DD6386" w:rsidRPr="00D942EB">
        <w:rPr>
          <w:rStyle w:val="Strong"/>
        </w:rPr>
        <w:t>:</w:t>
      </w:r>
      <w:r w:rsidRPr="00D942EB">
        <w:rPr>
          <w:noProof/>
        </w:rPr>
        <w:t xml:space="preserve"> As a result of the incident the patient requires life-saving surgical/medical intervention, or has shortened life expectancy, or has experienced permanent or </w:t>
      </w:r>
      <w:r w:rsidR="00DD6386" w:rsidRPr="00D942EB">
        <w:rPr>
          <w:noProof/>
        </w:rPr>
        <w:t>long-term</w:t>
      </w:r>
      <w:r w:rsidRPr="00D942EB">
        <w:rPr>
          <w:noProof/>
        </w:rPr>
        <w:t xml:space="preserve"> physical harm or loss of function.</w:t>
      </w:r>
    </w:p>
    <w:p w14:paraId="4F8EEF42" w14:textId="59D0529A" w:rsidR="006F2910" w:rsidRPr="00D942EB" w:rsidRDefault="00674C73" w:rsidP="007C2D48">
      <w:pPr>
        <w:pStyle w:val="Heading3"/>
        <w:rPr>
          <w:noProof/>
        </w:rPr>
      </w:pPr>
      <w:bookmarkStart w:id="110" w:name="_Toc181617107"/>
      <w:r w:rsidRPr="00D942EB">
        <w:rPr>
          <w:noProof/>
        </w:rPr>
        <w:t>Examples of preventive barriers</w:t>
      </w:r>
      <w:bookmarkEnd w:id="110"/>
    </w:p>
    <w:p w14:paraId="217CCFD9" w14:textId="55D2FD95" w:rsidR="006F2910" w:rsidRPr="00D942EB" w:rsidRDefault="006F2910" w:rsidP="007C2D48">
      <w:pPr>
        <w:pStyle w:val="Bulletlist"/>
        <w:rPr>
          <w:noProof/>
        </w:rPr>
      </w:pPr>
      <w:r w:rsidRPr="00D942EB">
        <w:rPr>
          <w:noProof/>
        </w:rPr>
        <w:t>NSQHS Standards (2nd ed.)</w:t>
      </w:r>
      <w:r w:rsidR="0056676D">
        <w:rPr>
          <w:noProof/>
        </w:rPr>
        <w:fldChar w:fldCharType="begin"/>
      </w:r>
      <w:r w:rsidR="0056676D">
        <w:rPr>
          <w:noProof/>
        </w:rPr>
        <w:instrText xml:space="preserve"> ADDIN EN.CITE &lt;EndNote&gt;&lt;Cite&gt;&lt;Author&gt;Australian Commission on Safety and Quality in Health Care&lt;/Author&gt;&lt;Year&gt;2021&lt;/Year&gt;&lt;RecNum&gt;6&lt;/RecNum&gt;&lt;DisplayText&gt;&lt;style face="superscript"&gt;2&lt;/style&gt;&lt;/DisplayText&gt;&lt;record&gt;&lt;rec-number&gt;6&lt;/rec-number&gt;&lt;foreign-keys&gt;&lt;key app="EN" db-id="s0afewfss5vsr9e0tvixevam5sps2w9r2t09" timestamp="1724730561"&gt;6&lt;/key&gt;&lt;/foreign-keys&gt;&lt;ref-type name="Electronic Book"&gt;44&lt;/ref-type&gt;&lt;contributors&gt;&lt;authors&gt;&lt;author&gt;Australian Commission on Safety and Quality in Health Care,&lt;/author&gt;&lt;/authors&gt;&lt;/contributors&gt;&lt;titles&gt;&lt;title&gt;National Safety and Quality Health Service Standards (second edition)&lt;/title&gt;&lt;/titles&gt;&lt;edition&gt;Second edition&lt;/edition&gt;&lt;dates&gt;&lt;year&gt;2021&lt;/year&gt;&lt;pub-dates&gt;&lt;date&gt;25 August 2024&lt;/date&gt;&lt;/pub-dates&gt;&lt;/dates&gt;&lt;pub-location&gt;Sydney&lt;/pub-location&gt;&lt;publisher&gt;ACSQHC&lt;/publisher&gt;&lt;urls&gt;&lt;related-urls&gt;&lt;url&gt;https://www.safetyandquality.gov.au/publications-and-resources/resource-library/national-safety-and-quality-health-service-standards-second-edition&lt;/url&gt;&lt;/related-urls&gt;&lt;/urls&gt;&lt;/record&gt;&lt;/Cite&gt;&lt;/EndNote&gt;</w:instrText>
      </w:r>
      <w:r w:rsidR="0056676D">
        <w:rPr>
          <w:noProof/>
        </w:rPr>
        <w:fldChar w:fldCharType="separate"/>
      </w:r>
      <w:r w:rsidR="0056676D" w:rsidRPr="0056676D">
        <w:rPr>
          <w:noProof/>
          <w:vertAlign w:val="superscript"/>
        </w:rPr>
        <w:t>2</w:t>
      </w:r>
      <w:r w:rsidR="0056676D">
        <w:rPr>
          <w:noProof/>
        </w:rPr>
        <w:fldChar w:fldCharType="end"/>
      </w:r>
      <w:r w:rsidRPr="00D942EB">
        <w:rPr>
          <w:noProof/>
          <w:vertAlign w:val="superscript"/>
        </w:rPr>
        <w:t xml:space="preserve"> </w:t>
      </w:r>
      <w:r w:rsidRPr="00D942EB">
        <w:rPr>
          <w:noProof/>
        </w:rPr>
        <w:t xml:space="preserve">– Medication Safety Standard </w:t>
      </w:r>
    </w:p>
    <w:p w14:paraId="23C6542D" w14:textId="3E87D8D6" w:rsidR="00BF6D0D" w:rsidRPr="00D942EB" w:rsidRDefault="00BF6D0D" w:rsidP="00BF6D0D">
      <w:pPr>
        <w:pStyle w:val="Bulletlist"/>
        <w:numPr>
          <w:ilvl w:val="0"/>
          <w:numId w:val="0"/>
        </w:numPr>
        <w:ind w:left="568"/>
        <w:rPr>
          <w:noProof/>
        </w:rPr>
      </w:pPr>
      <w:hyperlink r:id="rId30" w:history="1">
        <w:r w:rsidRPr="00D942EB">
          <w:rPr>
            <w:rStyle w:val="Hyperlink"/>
            <w:noProof/>
          </w:rPr>
          <w:t>www.safetyandquality.gov.au/standards/nsqhs-standards</w:t>
        </w:r>
      </w:hyperlink>
      <w:r w:rsidRPr="00D942EB">
        <w:rPr>
          <w:noProof/>
        </w:rPr>
        <w:t xml:space="preserve"> </w:t>
      </w:r>
    </w:p>
    <w:p w14:paraId="16AC6D91" w14:textId="18C77BE2" w:rsidR="006F2910" w:rsidRPr="00D942EB" w:rsidRDefault="006F2910" w:rsidP="00BF6D0D">
      <w:pPr>
        <w:pStyle w:val="Bulletlist"/>
        <w:numPr>
          <w:ilvl w:val="0"/>
          <w:numId w:val="0"/>
        </w:numPr>
        <w:ind w:left="568"/>
        <w:rPr>
          <w:noProof/>
        </w:rPr>
      </w:pPr>
    </w:p>
    <w:p w14:paraId="70F2FFC4" w14:textId="77777777" w:rsidR="00DD6386" w:rsidRPr="00D942EB" w:rsidRDefault="00DD6386" w:rsidP="007C2D48">
      <w:pPr>
        <w:pStyle w:val="Bulletlist"/>
        <w:numPr>
          <w:ilvl w:val="0"/>
          <w:numId w:val="0"/>
        </w:numPr>
        <w:ind w:left="851" w:hanging="284"/>
      </w:pPr>
    </w:p>
    <w:p w14:paraId="6FF40606" w14:textId="176513BD" w:rsidR="006F2910" w:rsidRPr="00D942EB" w:rsidRDefault="006F2910" w:rsidP="007C2D48">
      <w:pPr>
        <w:pStyle w:val="Bulletlist"/>
        <w:rPr>
          <w:noProof/>
        </w:rPr>
      </w:pPr>
      <w:r w:rsidRPr="00D942EB">
        <w:rPr>
          <w:noProof/>
        </w:rPr>
        <w:t xml:space="preserve">Various </w:t>
      </w:r>
      <w:r w:rsidR="00681DBA" w:rsidRPr="00D942EB">
        <w:rPr>
          <w:noProof/>
        </w:rPr>
        <w:t xml:space="preserve">medication safety </w:t>
      </w:r>
      <w:r w:rsidRPr="00D942EB">
        <w:rPr>
          <w:noProof/>
        </w:rPr>
        <w:t>initiatives led by the Commission:</w:t>
      </w:r>
    </w:p>
    <w:p w14:paraId="08AEC137" w14:textId="0047D25D" w:rsidR="006F2910" w:rsidRPr="00D942EB" w:rsidRDefault="00E5486C" w:rsidP="007C2D48">
      <w:pPr>
        <w:pStyle w:val="Bulletlist"/>
        <w:numPr>
          <w:ilvl w:val="0"/>
          <w:numId w:val="43"/>
        </w:numPr>
        <w:ind w:left="993"/>
        <w:rPr>
          <w:noProof/>
        </w:rPr>
      </w:pPr>
      <w:r w:rsidRPr="00D942EB">
        <w:rPr>
          <w:noProof/>
        </w:rPr>
        <w:t>m</w:t>
      </w:r>
      <w:r w:rsidR="006F2910" w:rsidRPr="00D942EB">
        <w:rPr>
          <w:noProof/>
        </w:rPr>
        <w:t>edication charts</w:t>
      </w:r>
    </w:p>
    <w:p w14:paraId="33370444" w14:textId="5E5DF367" w:rsidR="006F2910" w:rsidRPr="00D942EB" w:rsidRDefault="00E5486C" w:rsidP="007C2D48">
      <w:pPr>
        <w:pStyle w:val="Bulletlist"/>
        <w:numPr>
          <w:ilvl w:val="0"/>
          <w:numId w:val="43"/>
        </w:numPr>
        <w:ind w:left="993"/>
        <w:rPr>
          <w:noProof/>
        </w:rPr>
      </w:pPr>
      <w:r w:rsidRPr="00D942EB">
        <w:rPr>
          <w:noProof/>
        </w:rPr>
        <w:t>m</w:t>
      </w:r>
      <w:r w:rsidR="006F2910" w:rsidRPr="00D942EB">
        <w:rPr>
          <w:noProof/>
        </w:rPr>
        <w:t>edication reconciliation</w:t>
      </w:r>
    </w:p>
    <w:p w14:paraId="60AB81C3" w14:textId="554FAA68" w:rsidR="006F2910" w:rsidRPr="00D942EB" w:rsidRDefault="00E5486C" w:rsidP="007C2D48">
      <w:pPr>
        <w:pStyle w:val="Bulletlist"/>
        <w:numPr>
          <w:ilvl w:val="0"/>
          <w:numId w:val="43"/>
        </w:numPr>
        <w:ind w:left="993"/>
        <w:rPr>
          <w:noProof/>
        </w:rPr>
      </w:pPr>
      <w:r w:rsidRPr="00D942EB">
        <w:rPr>
          <w:noProof/>
        </w:rPr>
        <w:t>m</w:t>
      </w:r>
      <w:r w:rsidR="006F2910" w:rsidRPr="00D942EB">
        <w:rPr>
          <w:noProof/>
        </w:rPr>
        <w:t>edication administration</w:t>
      </w:r>
    </w:p>
    <w:p w14:paraId="2E9E069C" w14:textId="6C4946E6" w:rsidR="006F2910" w:rsidRPr="00D942EB" w:rsidRDefault="00E5486C" w:rsidP="007C2D48">
      <w:pPr>
        <w:pStyle w:val="Bulletlist"/>
        <w:numPr>
          <w:ilvl w:val="0"/>
          <w:numId w:val="43"/>
        </w:numPr>
        <w:ind w:left="993"/>
        <w:rPr>
          <w:noProof/>
        </w:rPr>
      </w:pPr>
      <w:r w:rsidRPr="00D942EB">
        <w:rPr>
          <w:noProof/>
        </w:rPr>
        <w:t>m</w:t>
      </w:r>
      <w:r w:rsidR="006F2910" w:rsidRPr="00D942EB">
        <w:rPr>
          <w:noProof/>
        </w:rPr>
        <w:t>edication safety and quality education and training</w:t>
      </w:r>
    </w:p>
    <w:p w14:paraId="7F70504E" w14:textId="5231CDB4" w:rsidR="006F2910" w:rsidRPr="00D942EB" w:rsidRDefault="00E5486C" w:rsidP="007C2D48">
      <w:pPr>
        <w:pStyle w:val="Bulletlist"/>
        <w:numPr>
          <w:ilvl w:val="0"/>
          <w:numId w:val="43"/>
        </w:numPr>
        <w:ind w:left="993"/>
        <w:rPr>
          <w:noProof/>
        </w:rPr>
      </w:pPr>
      <w:r w:rsidRPr="00D942EB">
        <w:rPr>
          <w:noProof/>
        </w:rPr>
        <w:t>s</w:t>
      </w:r>
      <w:r w:rsidR="006F2910" w:rsidRPr="00D942EB">
        <w:rPr>
          <w:noProof/>
        </w:rPr>
        <w:t>afer naming, labelling and packaging of medicines</w:t>
      </w:r>
    </w:p>
    <w:p w14:paraId="12C5C509" w14:textId="5BAD5ECF" w:rsidR="006F2910" w:rsidRPr="00D942EB" w:rsidRDefault="00E5486C" w:rsidP="007C2D48">
      <w:pPr>
        <w:pStyle w:val="Bulletlist"/>
        <w:numPr>
          <w:ilvl w:val="0"/>
          <w:numId w:val="43"/>
        </w:numPr>
        <w:ind w:left="993"/>
        <w:rPr>
          <w:noProof/>
        </w:rPr>
      </w:pPr>
      <w:r w:rsidRPr="00D942EB">
        <w:rPr>
          <w:noProof/>
        </w:rPr>
        <w:t>e</w:t>
      </w:r>
      <w:r w:rsidR="006F2910" w:rsidRPr="00D942EB">
        <w:rPr>
          <w:noProof/>
        </w:rPr>
        <w:t>lectronic medication management</w:t>
      </w:r>
      <w:r w:rsidRPr="00D942EB">
        <w:rPr>
          <w:noProof/>
        </w:rPr>
        <w:t>.</w:t>
      </w:r>
    </w:p>
    <w:p w14:paraId="53A5686C" w14:textId="2EED4E85" w:rsidR="00DD6386" w:rsidRPr="00D942EB" w:rsidRDefault="00DD6386" w:rsidP="007C2D48">
      <w:pPr>
        <w:pStyle w:val="Bulletlist"/>
        <w:numPr>
          <w:ilvl w:val="0"/>
          <w:numId w:val="0"/>
        </w:numPr>
        <w:ind w:left="567"/>
        <w:rPr>
          <w:noProof/>
          <w:u w:val="single"/>
        </w:rPr>
      </w:pPr>
      <w:hyperlink r:id="rId31" w:history="1">
        <w:r w:rsidRPr="00D942EB">
          <w:rPr>
            <w:rStyle w:val="Hyperlink"/>
            <w:noProof/>
          </w:rPr>
          <w:t>www.safetyandquality.gov.au/our-work/medication-safety/</w:t>
        </w:r>
      </w:hyperlink>
      <w:r w:rsidRPr="00D942EB">
        <w:rPr>
          <w:noProof/>
          <w:u w:val="single"/>
        </w:rPr>
        <w:t xml:space="preserve"> </w:t>
      </w:r>
    </w:p>
    <w:p w14:paraId="4824B81F" w14:textId="77777777" w:rsidR="006F2910" w:rsidRPr="00D942EB" w:rsidRDefault="006F2910" w:rsidP="006F2910">
      <w:pPr>
        <w:spacing w:after="80"/>
        <w:rPr>
          <w:noProof/>
        </w:rPr>
      </w:pPr>
      <w:r w:rsidRPr="00D942EB">
        <w:rPr>
          <w:noProof/>
        </w:rPr>
        <w:br w:type="page"/>
      </w:r>
    </w:p>
    <w:p w14:paraId="43B84C89" w14:textId="313CA85C" w:rsidR="006F2910" w:rsidRPr="00D942EB" w:rsidRDefault="003B2784" w:rsidP="006F2910">
      <w:pPr>
        <w:pStyle w:val="Heading2"/>
        <w:rPr>
          <w:noProof/>
        </w:rPr>
      </w:pPr>
      <w:bookmarkStart w:id="111" w:name="_Toc37768208"/>
      <w:bookmarkStart w:id="112" w:name="_Toc39143515"/>
      <w:bookmarkStart w:id="113" w:name="_Toc181617108"/>
      <w:r w:rsidRPr="00D942EB">
        <w:rPr>
          <w:noProof/>
        </w:rPr>
        <w:lastRenderedPageBreak/>
        <w:t xml:space="preserve">8:  </w:t>
      </w:r>
      <w:r w:rsidR="006F2910" w:rsidRPr="00D942EB">
        <w:rPr>
          <w:noProof/>
        </w:rPr>
        <w:t>Use of physical or mechanical restraint resulting in serious harm or death</w:t>
      </w:r>
      <w:bookmarkEnd w:id="111"/>
      <w:bookmarkEnd w:id="112"/>
      <w:bookmarkEnd w:id="113"/>
    </w:p>
    <w:tbl>
      <w:tblPr>
        <w:tblStyle w:val="TableGrid"/>
        <w:tblW w:w="9252" w:type="dxa"/>
        <w:tblLook w:val="04A0" w:firstRow="1" w:lastRow="0" w:firstColumn="1" w:lastColumn="0" w:noHBand="0" w:noVBand="1"/>
      </w:tblPr>
      <w:tblGrid>
        <w:gridCol w:w="9252"/>
      </w:tblGrid>
      <w:tr w:rsidR="006F2910" w:rsidRPr="00D942EB" w14:paraId="5B7CCFB4" w14:textId="77777777" w:rsidTr="0065199F">
        <w:trPr>
          <w:cnfStyle w:val="100000000000" w:firstRow="1" w:lastRow="0" w:firstColumn="0" w:lastColumn="0" w:oddVBand="0" w:evenVBand="0" w:oddHBand="0" w:evenHBand="0" w:firstRowFirstColumn="0" w:firstRowLastColumn="0" w:lastRowFirstColumn="0" w:lastRowLastColumn="0"/>
          <w:trHeight w:hRule="exact" w:val="448"/>
        </w:trPr>
        <w:tc>
          <w:tcPr>
            <w:tcW w:w="9252" w:type="dxa"/>
            <w:tcBorders>
              <w:top w:val="nil"/>
              <w:left w:val="nil"/>
              <w:bottom w:val="nil"/>
              <w:right w:val="nil"/>
            </w:tcBorders>
            <w:shd w:val="clear" w:color="auto" w:fill="EEECE1" w:themeFill="background2"/>
          </w:tcPr>
          <w:p w14:paraId="105D045B"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 xml:space="preserve">Category: care management </w:t>
            </w:r>
          </w:p>
        </w:tc>
      </w:tr>
    </w:tbl>
    <w:p w14:paraId="4E8841E5" w14:textId="77777777" w:rsidR="006F2910" w:rsidRPr="00D942EB" w:rsidRDefault="006F2910" w:rsidP="007C2D48">
      <w:pPr>
        <w:pStyle w:val="Heading3"/>
        <w:rPr>
          <w:noProof/>
        </w:rPr>
      </w:pPr>
      <w:bookmarkStart w:id="114" w:name="_Toc39143516"/>
      <w:bookmarkStart w:id="115" w:name="_Toc181617109"/>
      <w:r w:rsidRPr="00D942EB">
        <w:rPr>
          <w:noProof/>
        </w:rPr>
        <w:t>Sentinel event</w:t>
      </w:r>
      <w:bookmarkEnd w:id="114"/>
      <w:bookmarkEnd w:id="115"/>
    </w:p>
    <w:p w14:paraId="5C54D644" w14:textId="18FD411E" w:rsidR="006F2910" w:rsidRPr="00D942EB" w:rsidRDefault="006F2910" w:rsidP="007C2D48">
      <w:pPr>
        <w:rPr>
          <w:noProof/>
        </w:rPr>
      </w:pPr>
      <w:r w:rsidRPr="00D942EB">
        <w:rPr>
          <w:noProof/>
        </w:rPr>
        <w:t>Use of physical or mechanical restraint resulting in serious harm or death</w:t>
      </w:r>
      <w:r w:rsidR="00E5486C" w:rsidRPr="00D942EB">
        <w:rPr>
          <w:noProof/>
        </w:rPr>
        <w:t>.</w:t>
      </w:r>
    </w:p>
    <w:p w14:paraId="2A4E1A62" w14:textId="632619C3" w:rsidR="006F2910" w:rsidRPr="00D942EB" w:rsidRDefault="006F2910" w:rsidP="007C2D48">
      <w:pPr>
        <w:pStyle w:val="Heading3"/>
        <w:rPr>
          <w:noProof/>
        </w:rPr>
      </w:pPr>
      <w:bookmarkStart w:id="116" w:name="_Toc39143517"/>
      <w:bookmarkStart w:id="117" w:name="_Toc181617110"/>
      <w:r w:rsidRPr="00D942EB">
        <w:rPr>
          <w:noProof/>
        </w:rPr>
        <w:t>Inclusions/exclusions</w:t>
      </w:r>
      <w:bookmarkEnd w:id="116"/>
      <w:bookmarkEnd w:id="117"/>
    </w:p>
    <w:p w14:paraId="4E66AD56" w14:textId="47B726EE" w:rsidR="006F2910" w:rsidRPr="00D942EB" w:rsidRDefault="006F2910" w:rsidP="007C2D48">
      <w:pPr>
        <w:rPr>
          <w:noProof/>
        </w:rPr>
      </w:pPr>
      <w:r w:rsidRPr="00D942EB">
        <w:rPr>
          <w:noProof/>
        </w:rPr>
        <w:t>Nil</w:t>
      </w:r>
      <w:r w:rsidR="00E5486C" w:rsidRPr="00D942EB">
        <w:rPr>
          <w:noProof/>
        </w:rPr>
        <w:t>.</w:t>
      </w:r>
    </w:p>
    <w:p w14:paraId="382FAE60" w14:textId="585D512D" w:rsidR="006F2910" w:rsidRPr="00D942EB" w:rsidRDefault="006F2910" w:rsidP="007C2D48">
      <w:pPr>
        <w:pStyle w:val="Heading3"/>
        <w:rPr>
          <w:noProof/>
        </w:rPr>
      </w:pPr>
      <w:bookmarkStart w:id="118" w:name="_Toc39143518"/>
      <w:bookmarkStart w:id="119" w:name="_Toc181617111"/>
      <w:r w:rsidRPr="00D942EB">
        <w:rPr>
          <w:noProof/>
        </w:rPr>
        <w:t>Setting</w:t>
      </w:r>
      <w:bookmarkEnd w:id="118"/>
      <w:bookmarkEnd w:id="119"/>
    </w:p>
    <w:p w14:paraId="1FDDDF0C" w14:textId="0F000796" w:rsidR="006F2910" w:rsidRPr="00D942EB" w:rsidRDefault="006F2910" w:rsidP="007C2D48">
      <w:pPr>
        <w:rPr>
          <w:b/>
          <w:noProof/>
        </w:rPr>
      </w:pPr>
      <w:r w:rsidRPr="00D942EB">
        <w:rPr>
          <w:noProof/>
        </w:rPr>
        <w:t>All hospitals</w:t>
      </w:r>
      <w:r w:rsidR="00E5486C" w:rsidRPr="00D942EB">
        <w:rPr>
          <w:noProof/>
        </w:rPr>
        <w:t>.</w:t>
      </w:r>
    </w:p>
    <w:p w14:paraId="4A24FD49" w14:textId="0F2FCFF9" w:rsidR="006F2910" w:rsidRPr="00D942EB" w:rsidRDefault="006F2910" w:rsidP="007C2D48">
      <w:pPr>
        <w:pStyle w:val="Heading3"/>
        <w:rPr>
          <w:noProof/>
        </w:rPr>
      </w:pPr>
      <w:bookmarkStart w:id="120" w:name="_Toc39143519"/>
      <w:bookmarkStart w:id="121" w:name="_Toc181617112"/>
      <w:r w:rsidRPr="00D942EB">
        <w:rPr>
          <w:noProof/>
        </w:rPr>
        <w:t>Definitions</w:t>
      </w:r>
      <w:bookmarkEnd w:id="120"/>
      <w:bookmarkEnd w:id="121"/>
    </w:p>
    <w:p w14:paraId="42DF49FC" w14:textId="1358B9FD" w:rsidR="006F2910" w:rsidRPr="00D942EB" w:rsidRDefault="006F2910" w:rsidP="006F2910">
      <w:pPr>
        <w:spacing w:after="80"/>
        <w:rPr>
          <w:noProof/>
        </w:rPr>
      </w:pPr>
      <w:r w:rsidRPr="00D942EB">
        <w:rPr>
          <w:rStyle w:val="Strong"/>
        </w:rPr>
        <w:t>Restraint</w:t>
      </w:r>
      <w:r w:rsidR="00E5486C" w:rsidRPr="00D942EB">
        <w:rPr>
          <w:rStyle w:val="Strong"/>
        </w:rPr>
        <w:t>:</w:t>
      </w:r>
      <w:r w:rsidR="00E5486C" w:rsidRPr="00D942EB" w:rsidDel="00E5486C">
        <w:rPr>
          <w:noProof/>
        </w:rPr>
        <w:t xml:space="preserve"> </w:t>
      </w:r>
      <w:r w:rsidR="00DD6386" w:rsidRPr="00D942EB">
        <w:rPr>
          <w:noProof/>
        </w:rPr>
        <w:t>T</w:t>
      </w:r>
      <w:r w:rsidRPr="00D942EB">
        <w:t>he restriction of an individual’s freedom of movement by physical or mechanical means</w:t>
      </w:r>
      <w:r w:rsidR="0056676D">
        <w:t>.</w:t>
      </w:r>
      <w:r w:rsidR="0056676D">
        <w:fldChar w:fldCharType="begin"/>
      </w:r>
      <w:r w:rsidR="00F362DC">
        <w:instrText xml:space="preserve"> ADDIN EN.CITE &lt;EndNote&gt;&lt;Cite&gt;&lt;Author&gt;Royal Australian and New Zealand College of Psychiatrists&lt;/Author&gt;&lt;Year&gt;2016&lt;/Year&gt;&lt;RecNum&gt;12&lt;/RecNum&gt;&lt;DisplayText&gt;&lt;style face="superscript"&gt;12&lt;/style&gt;&lt;/DisplayText&gt;&lt;record&gt;&lt;rec-number&gt;12&lt;/rec-number&gt;&lt;foreign-keys&gt;&lt;key app="EN" db-id="s0afewfss5vsr9e0tvixevam5sps2w9r2t09" timestamp="1724730561"&gt;12&lt;/key&gt;&lt;/foreign-keys&gt;&lt;ref-type name="Electronic Article"&gt;43&lt;/ref-type&gt;&lt;contributors&gt;&lt;authors&gt;&lt;author&gt;Royal Australian and New Zealand College of Psychiatrists,&lt;/author&gt;&lt;/authors&gt;&lt;/contributors&gt;&lt;titles&gt;&lt;title&gt;Position Statement 61: minimising the use of seclusion and restraint in people with mental illness &lt;/title&gt;&lt;/titles&gt;&lt;volume&gt;2021&lt;/volume&gt;&lt;dates&gt;&lt;year&gt;2016&lt;/year&gt;&lt;/dates&gt;&lt;pub-location&gt;2016&lt;/pub-location&gt;&lt;publisher&gt;RANZCP&lt;/publisher&gt;&lt;urls&gt;&lt;related-urls&gt;&lt;url&gt;https://www.ranzcp.org/Files/Resources/College_Statements/Position_Statements/PS-61-Minimising-the-use-of-seclusion-and-restrain.aspx &lt;/url&gt;&lt;/related-urls&gt;&lt;/urls&gt;&lt;/record&gt;&lt;/Cite&gt;&lt;/EndNote&gt;</w:instrText>
      </w:r>
      <w:r w:rsidR="0056676D">
        <w:fldChar w:fldCharType="separate"/>
      </w:r>
      <w:r w:rsidR="00F362DC" w:rsidRPr="00F362DC">
        <w:rPr>
          <w:noProof/>
          <w:vertAlign w:val="superscript"/>
        </w:rPr>
        <w:t>12</w:t>
      </w:r>
      <w:r w:rsidR="0056676D">
        <w:fldChar w:fldCharType="end"/>
      </w:r>
      <w:r w:rsidRPr="00D942EB">
        <w:rPr>
          <w:noProof/>
        </w:rPr>
        <w:t xml:space="preserve"> </w:t>
      </w:r>
    </w:p>
    <w:p w14:paraId="4E5E8007" w14:textId="36FBD770" w:rsidR="006F2910" w:rsidRPr="00D942EB" w:rsidRDefault="006F2910" w:rsidP="006F2910">
      <w:pPr>
        <w:spacing w:after="80"/>
        <w:rPr>
          <w:noProof/>
        </w:rPr>
      </w:pPr>
      <w:r w:rsidRPr="00D942EB">
        <w:rPr>
          <w:rStyle w:val="Strong"/>
        </w:rPr>
        <w:t>Physical</w:t>
      </w:r>
      <w:r w:rsidR="00DD6386" w:rsidRPr="00D942EB">
        <w:rPr>
          <w:rStyle w:val="Strong"/>
        </w:rPr>
        <w:t xml:space="preserve"> restraint</w:t>
      </w:r>
      <w:r w:rsidR="00E5486C" w:rsidRPr="00D942EB">
        <w:rPr>
          <w:rStyle w:val="Strong"/>
        </w:rPr>
        <w:t>:</w:t>
      </w:r>
      <w:r w:rsidR="00E5486C" w:rsidRPr="00D942EB" w:rsidDel="00E5486C">
        <w:rPr>
          <w:noProof/>
        </w:rPr>
        <w:t xml:space="preserve"> </w:t>
      </w:r>
      <w:r w:rsidR="00DD6386" w:rsidRPr="00D942EB">
        <w:rPr>
          <w:noProof/>
        </w:rPr>
        <w:t>T</w:t>
      </w:r>
      <w:r w:rsidRPr="00D942EB">
        <w:t>he bodily force that controls a person’s freedom of movement</w:t>
      </w:r>
      <w:r w:rsidR="00E5486C" w:rsidRPr="00D942EB">
        <w:t>.</w:t>
      </w:r>
      <w:r w:rsidR="0056676D">
        <w:fldChar w:fldCharType="begin"/>
      </w:r>
      <w:r w:rsidR="00F362DC">
        <w:instrText xml:space="preserve"> ADDIN EN.CITE &lt;EndNote&gt;&lt;Cite&gt;&lt;Author&gt;Royal Australian and New Zealand College of Psychiatrists&lt;/Author&gt;&lt;Year&gt;2016&lt;/Year&gt;&lt;RecNum&gt;12&lt;/RecNum&gt;&lt;DisplayText&gt;&lt;style face="superscript"&gt;12&lt;/style&gt;&lt;/DisplayText&gt;&lt;record&gt;&lt;rec-number&gt;12&lt;/rec-number&gt;&lt;foreign-keys&gt;&lt;key app="EN" db-id="s0afewfss5vsr9e0tvixevam5sps2w9r2t09" timestamp="1724730561"&gt;12&lt;/key&gt;&lt;/foreign-keys&gt;&lt;ref-type name="Electronic Article"&gt;43&lt;/ref-type&gt;&lt;contributors&gt;&lt;authors&gt;&lt;author&gt;Royal Australian and New Zealand College of Psychiatrists,&lt;/author&gt;&lt;/authors&gt;&lt;/contributors&gt;&lt;titles&gt;&lt;title&gt;Position Statement 61: minimising the use of seclusion and restraint in people with mental illness &lt;/title&gt;&lt;/titles&gt;&lt;volume&gt;2021&lt;/volume&gt;&lt;dates&gt;&lt;year&gt;2016&lt;/year&gt;&lt;/dates&gt;&lt;pub-location&gt;2016&lt;/pub-location&gt;&lt;publisher&gt;RANZCP&lt;/publisher&gt;&lt;urls&gt;&lt;related-urls&gt;&lt;url&gt;https://www.ranzcp.org/Files/Resources/College_Statements/Position_Statements/PS-61-Minimising-the-use-of-seclusion-and-restrain.aspx &lt;/url&gt;&lt;/related-urls&gt;&lt;/urls&gt;&lt;/record&gt;&lt;/Cite&gt;&lt;/EndNote&gt;</w:instrText>
      </w:r>
      <w:r w:rsidR="0056676D">
        <w:fldChar w:fldCharType="separate"/>
      </w:r>
      <w:r w:rsidR="00F362DC" w:rsidRPr="00F362DC">
        <w:rPr>
          <w:noProof/>
          <w:vertAlign w:val="superscript"/>
        </w:rPr>
        <w:t>12</w:t>
      </w:r>
      <w:r w:rsidR="0056676D">
        <w:fldChar w:fldCharType="end"/>
      </w:r>
      <w:r w:rsidR="0056676D" w:rsidRPr="00D942EB">
        <w:rPr>
          <w:noProof/>
        </w:rPr>
        <w:t xml:space="preserve"> </w:t>
      </w:r>
    </w:p>
    <w:p w14:paraId="1A626F4D" w14:textId="2B0BEA24" w:rsidR="006F2910" w:rsidRPr="00D942EB" w:rsidRDefault="006F2910" w:rsidP="006F2910">
      <w:pPr>
        <w:spacing w:after="80"/>
        <w:rPr>
          <w:noProof/>
        </w:rPr>
      </w:pPr>
      <w:r w:rsidRPr="00D942EB">
        <w:rPr>
          <w:rStyle w:val="Strong"/>
        </w:rPr>
        <w:t>Mechanical</w:t>
      </w:r>
      <w:r w:rsidR="00DD6386" w:rsidRPr="00D942EB">
        <w:rPr>
          <w:rStyle w:val="Strong"/>
        </w:rPr>
        <w:t xml:space="preserve"> restraint</w:t>
      </w:r>
      <w:r w:rsidR="00E5486C" w:rsidRPr="00D942EB">
        <w:rPr>
          <w:rStyle w:val="Strong"/>
        </w:rPr>
        <w:t>:</w:t>
      </w:r>
      <w:r w:rsidR="00DD6386" w:rsidRPr="00D942EB">
        <w:rPr>
          <w:noProof/>
        </w:rPr>
        <w:t xml:space="preserve"> A </w:t>
      </w:r>
      <w:r w:rsidRPr="00D942EB">
        <w:t>device that controls a person’s freedom of movement</w:t>
      </w:r>
      <w:r w:rsidR="00E5486C" w:rsidRPr="00D942EB">
        <w:t>.</w:t>
      </w:r>
      <w:r w:rsidR="0056676D">
        <w:fldChar w:fldCharType="begin"/>
      </w:r>
      <w:r w:rsidR="00F362DC">
        <w:instrText xml:space="preserve"> ADDIN EN.CITE &lt;EndNote&gt;&lt;Cite&gt;&lt;Author&gt;Royal Australian and New Zealand College of Psychiatrists&lt;/Author&gt;&lt;Year&gt;2016&lt;/Year&gt;&lt;RecNum&gt;12&lt;/RecNum&gt;&lt;DisplayText&gt;&lt;style face="superscript"&gt;12&lt;/style&gt;&lt;/DisplayText&gt;&lt;record&gt;&lt;rec-number&gt;12&lt;/rec-number&gt;&lt;foreign-keys&gt;&lt;key app="EN" db-id="s0afewfss5vsr9e0tvixevam5sps2w9r2t09" timestamp="1724730561"&gt;12&lt;/key&gt;&lt;/foreign-keys&gt;&lt;ref-type name="Electronic Article"&gt;43&lt;/ref-type&gt;&lt;contributors&gt;&lt;authors&gt;&lt;author&gt;Royal Australian and New Zealand College of Psychiatrists,&lt;/author&gt;&lt;/authors&gt;&lt;/contributors&gt;&lt;titles&gt;&lt;title&gt;Position Statement 61: minimising the use of seclusion and restraint in people with mental illness &lt;/title&gt;&lt;/titles&gt;&lt;volume&gt;2021&lt;/volume&gt;&lt;dates&gt;&lt;year&gt;2016&lt;/year&gt;&lt;/dates&gt;&lt;pub-location&gt;2016&lt;/pub-location&gt;&lt;publisher&gt;RANZCP&lt;/publisher&gt;&lt;urls&gt;&lt;related-urls&gt;&lt;url&gt;https://www.ranzcp.org/Files/Resources/College_Statements/Position_Statements/PS-61-Minimising-the-use-of-seclusion-and-restrain.aspx &lt;/url&gt;&lt;/related-urls&gt;&lt;/urls&gt;&lt;/record&gt;&lt;/Cite&gt;&lt;/EndNote&gt;</w:instrText>
      </w:r>
      <w:r w:rsidR="0056676D">
        <w:fldChar w:fldCharType="separate"/>
      </w:r>
      <w:r w:rsidR="00F362DC" w:rsidRPr="00F362DC">
        <w:rPr>
          <w:noProof/>
          <w:vertAlign w:val="superscript"/>
        </w:rPr>
        <w:t>12</w:t>
      </w:r>
      <w:r w:rsidR="0056676D">
        <w:fldChar w:fldCharType="end"/>
      </w:r>
      <w:r w:rsidR="0056676D" w:rsidRPr="00D942EB">
        <w:rPr>
          <w:noProof/>
        </w:rPr>
        <w:t xml:space="preserve"> </w:t>
      </w:r>
    </w:p>
    <w:p w14:paraId="3D5513A5" w14:textId="0E1BEAA5" w:rsidR="006F2910" w:rsidRPr="00D942EB" w:rsidRDefault="006F2910" w:rsidP="006F2910">
      <w:pPr>
        <w:spacing w:after="80"/>
        <w:rPr>
          <w:noProof/>
        </w:rPr>
      </w:pPr>
      <w:r w:rsidRPr="00D942EB">
        <w:rPr>
          <w:rStyle w:val="Strong"/>
        </w:rPr>
        <w:t>Serious harm</w:t>
      </w:r>
      <w:r w:rsidR="00E5486C" w:rsidRPr="00D942EB">
        <w:rPr>
          <w:rStyle w:val="Strong"/>
        </w:rPr>
        <w:t xml:space="preserve">: </w:t>
      </w:r>
      <w:r w:rsidRPr="00D942EB">
        <w:t xml:space="preserve">As a result of the incident the patient requires life-saving surgical/medical intervention, or has shortened life expectancy, or has experienced permanent or </w:t>
      </w:r>
      <w:r w:rsidR="00DD6386" w:rsidRPr="00D942EB">
        <w:t>long-term</w:t>
      </w:r>
      <w:r w:rsidRPr="00D942EB">
        <w:t xml:space="preserve"> physical harm or loss of function.</w:t>
      </w:r>
    </w:p>
    <w:p w14:paraId="03DF6F9F" w14:textId="77777777" w:rsidR="006F2910" w:rsidRPr="00D942EB" w:rsidRDefault="006F2910" w:rsidP="007C2D48">
      <w:pPr>
        <w:pStyle w:val="Heading3"/>
        <w:rPr>
          <w:noProof/>
        </w:rPr>
      </w:pPr>
      <w:bookmarkStart w:id="122" w:name="_Toc39143520"/>
      <w:bookmarkStart w:id="123" w:name="_Toc181617113"/>
      <w:r w:rsidRPr="00D942EB">
        <w:rPr>
          <w:noProof/>
        </w:rPr>
        <w:t>Explanatory notes</w:t>
      </w:r>
      <w:bookmarkEnd w:id="122"/>
      <w:bookmarkEnd w:id="123"/>
      <w:r w:rsidRPr="00D942EB">
        <w:rPr>
          <w:noProof/>
        </w:rPr>
        <w:tab/>
      </w:r>
    </w:p>
    <w:p w14:paraId="322DFA33" w14:textId="6AD3C6D1" w:rsidR="006F2910" w:rsidRPr="00D942EB" w:rsidRDefault="006F2910" w:rsidP="006F2910">
      <w:pPr>
        <w:spacing w:after="80"/>
        <w:rPr>
          <w:i/>
          <w:noProof/>
        </w:rPr>
      </w:pPr>
      <w:r w:rsidRPr="00D942EB">
        <w:rPr>
          <w:noProof/>
        </w:rPr>
        <w:t xml:space="preserve">In the event that chemical restraint leads to the serious harm or death of a patient, it should be considered whether the event can be reported under </w:t>
      </w:r>
      <w:r w:rsidR="00681DBA" w:rsidRPr="00D942EB">
        <w:rPr>
          <w:noProof/>
        </w:rPr>
        <w:t>S</w:t>
      </w:r>
      <w:r w:rsidRPr="00D942EB">
        <w:rPr>
          <w:noProof/>
        </w:rPr>
        <w:t>entinel event 8: Medication error resulting in serious harm or death.</w:t>
      </w:r>
    </w:p>
    <w:p w14:paraId="28E4334C" w14:textId="13193CCA" w:rsidR="006F2910" w:rsidRPr="00D942EB" w:rsidRDefault="00674C73" w:rsidP="007C2D48">
      <w:pPr>
        <w:pStyle w:val="Heading3"/>
        <w:rPr>
          <w:noProof/>
        </w:rPr>
      </w:pPr>
      <w:bookmarkStart w:id="124" w:name="_Toc181617114"/>
      <w:r w:rsidRPr="00D942EB">
        <w:rPr>
          <w:noProof/>
        </w:rPr>
        <w:t>Examples of preventive barriers</w:t>
      </w:r>
      <w:bookmarkEnd w:id="124"/>
    </w:p>
    <w:p w14:paraId="29D68F1A" w14:textId="57D1B763" w:rsidR="006F2910" w:rsidRPr="00D942EB" w:rsidRDefault="006F2910" w:rsidP="007C2D48">
      <w:pPr>
        <w:pStyle w:val="Normal-beforebullets"/>
        <w:rPr>
          <w:noProof/>
        </w:rPr>
      </w:pPr>
      <w:r w:rsidRPr="00D942EB">
        <w:rPr>
          <w:noProof/>
        </w:rPr>
        <w:t>NSQHS Standards (2nd ed.)</w:t>
      </w:r>
      <w:r w:rsidR="0056676D">
        <w:rPr>
          <w:noProof/>
        </w:rPr>
        <w:fldChar w:fldCharType="begin"/>
      </w:r>
      <w:r w:rsidR="0056676D">
        <w:rPr>
          <w:noProof/>
        </w:rPr>
        <w:instrText xml:space="preserve"> ADDIN EN.CITE &lt;EndNote&gt;&lt;Cite&gt;&lt;Author&gt;Australian Commission on Safety and Quality in Health Care&lt;/Author&gt;&lt;Year&gt;2021&lt;/Year&gt;&lt;RecNum&gt;6&lt;/RecNum&gt;&lt;DisplayText&gt;&lt;style face="superscript"&gt;2&lt;/style&gt;&lt;/DisplayText&gt;&lt;record&gt;&lt;rec-number&gt;6&lt;/rec-number&gt;&lt;foreign-keys&gt;&lt;key app="EN" db-id="s0afewfss5vsr9e0tvixevam5sps2w9r2t09" timestamp="1724730561"&gt;6&lt;/key&gt;&lt;/foreign-keys&gt;&lt;ref-type name="Electronic Book"&gt;44&lt;/ref-type&gt;&lt;contributors&gt;&lt;authors&gt;&lt;author&gt;Australian Commission on Safety and Quality in Health Care,&lt;/author&gt;&lt;/authors&gt;&lt;/contributors&gt;&lt;titles&gt;&lt;title&gt;National Safety and Quality Health Service Standards (second edition)&lt;/title&gt;&lt;/titles&gt;&lt;edition&gt;Second edition&lt;/edition&gt;&lt;dates&gt;&lt;year&gt;2021&lt;/year&gt;&lt;pub-dates&gt;&lt;date&gt;25 August 2024&lt;/date&gt;&lt;/pub-dates&gt;&lt;/dates&gt;&lt;pub-location&gt;Sydney&lt;/pub-location&gt;&lt;publisher&gt;ACSQHC&lt;/publisher&gt;&lt;urls&gt;&lt;related-urls&gt;&lt;url&gt;https://www.safetyandquality.gov.au/publications-and-resources/resource-library/national-safety-and-quality-health-service-standards-second-edition&lt;/url&gt;&lt;/related-urls&gt;&lt;/urls&gt;&lt;/record&gt;&lt;/Cite&gt;&lt;/EndNote&gt;</w:instrText>
      </w:r>
      <w:r w:rsidR="0056676D">
        <w:rPr>
          <w:noProof/>
        </w:rPr>
        <w:fldChar w:fldCharType="separate"/>
      </w:r>
      <w:r w:rsidR="0056676D" w:rsidRPr="0056676D">
        <w:rPr>
          <w:noProof/>
          <w:vertAlign w:val="superscript"/>
        </w:rPr>
        <w:t>2</w:t>
      </w:r>
      <w:r w:rsidR="0056676D">
        <w:rPr>
          <w:noProof/>
        </w:rPr>
        <w:fldChar w:fldCharType="end"/>
      </w:r>
      <w:r w:rsidRPr="00D942EB">
        <w:rPr>
          <w:noProof/>
        </w:rPr>
        <w:t xml:space="preserve"> – Comprehensive Care Standard: Minimising restrictive practices: restraint. Action 5.35 states:</w:t>
      </w:r>
    </w:p>
    <w:p w14:paraId="273CAEC4" w14:textId="77777777" w:rsidR="006F2910" w:rsidRPr="00D942EB" w:rsidRDefault="006F2910" w:rsidP="007C2D48">
      <w:pPr>
        <w:pStyle w:val="Quote"/>
        <w:rPr>
          <w:noProof/>
          <w:u w:val="single"/>
        </w:rPr>
      </w:pPr>
      <w:r w:rsidRPr="00D942EB">
        <w:rPr>
          <w:noProof/>
        </w:rPr>
        <w:t xml:space="preserve">Where restraint is clinically necessary to prevent harm, the health service organisation has systems that: </w:t>
      </w:r>
    </w:p>
    <w:p w14:paraId="5E095245" w14:textId="77777777" w:rsidR="006F2910" w:rsidRPr="00D942EB" w:rsidRDefault="006F2910" w:rsidP="007C2D48">
      <w:pPr>
        <w:pStyle w:val="Quote"/>
        <w:numPr>
          <w:ilvl w:val="0"/>
          <w:numId w:val="28"/>
        </w:numPr>
        <w:rPr>
          <w:noProof/>
        </w:rPr>
      </w:pPr>
      <w:r w:rsidRPr="00D942EB">
        <w:rPr>
          <w:noProof/>
        </w:rPr>
        <w:t>minimise and, where possible, eliminate the use of restraint</w:t>
      </w:r>
    </w:p>
    <w:p w14:paraId="26A5FC55" w14:textId="77777777" w:rsidR="006F2910" w:rsidRPr="00D942EB" w:rsidRDefault="006F2910" w:rsidP="007C2D48">
      <w:pPr>
        <w:pStyle w:val="Quote"/>
        <w:numPr>
          <w:ilvl w:val="0"/>
          <w:numId w:val="28"/>
        </w:numPr>
        <w:rPr>
          <w:noProof/>
          <w:u w:val="single"/>
        </w:rPr>
      </w:pPr>
      <w:r w:rsidRPr="00D942EB">
        <w:rPr>
          <w:noProof/>
        </w:rPr>
        <w:t>govern the use of restraint in accordance with legislation</w:t>
      </w:r>
    </w:p>
    <w:p w14:paraId="48CE057F" w14:textId="77777777" w:rsidR="006F2910" w:rsidRPr="00D942EB" w:rsidRDefault="006F2910" w:rsidP="007C2D48">
      <w:pPr>
        <w:pStyle w:val="Quote"/>
        <w:numPr>
          <w:ilvl w:val="0"/>
          <w:numId w:val="28"/>
        </w:numPr>
        <w:rPr>
          <w:noProof/>
        </w:rPr>
      </w:pPr>
      <w:r w:rsidRPr="00D942EB">
        <w:rPr>
          <w:noProof/>
        </w:rPr>
        <w:t>report use of restraint to the governing body.</w:t>
      </w:r>
    </w:p>
    <w:p w14:paraId="52AF5214" w14:textId="0EE4899B" w:rsidR="00BF6D0D" w:rsidRPr="00D942EB" w:rsidRDefault="001E4C97" w:rsidP="007C2D48">
      <w:pPr>
        <w:spacing w:after="80"/>
        <w:ind w:left="284"/>
      </w:pPr>
      <w:hyperlink r:id="rId32" w:history="1">
        <w:r w:rsidRPr="00D942EB">
          <w:rPr>
            <w:rStyle w:val="Hyperlink"/>
          </w:rPr>
          <w:t>www.safetyandquality.gov.au/standards/nsqhs-standards</w:t>
        </w:r>
      </w:hyperlink>
      <w:r w:rsidRPr="00D942EB">
        <w:t xml:space="preserve"> </w:t>
      </w:r>
    </w:p>
    <w:p w14:paraId="22B5B0F4" w14:textId="268E61F1" w:rsidR="006F2910" w:rsidRPr="00D942EB" w:rsidRDefault="006F2910" w:rsidP="007C2D48">
      <w:pPr>
        <w:spacing w:after="80"/>
        <w:ind w:left="284"/>
        <w:rPr>
          <w:noProof/>
          <w:u w:val="single"/>
        </w:rPr>
      </w:pPr>
      <w:r w:rsidRPr="00D942EB">
        <w:rPr>
          <w:noProof/>
        </w:rPr>
        <w:br w:type="page"/>
      </w:r>
    </w:p>
    <w:p w14:paraId="2F5255FC" w14:textId="43B67E3C" w:rsidR="006F2910" w:rsidRPr="00D942EB" w:rsidRDefault="003B2784" w:rsidP="006F2910">
      <w:pPr>
        <w:pStyle w:val="Heading2"/>
        <w:rPr>
          <w:noProof/>
        </w:rPr>
      </w:pPr>
      <w:bookmarkStart w:id="125" w:name="_Toc37768209"/>
      <w:bookmarkStart w:id="126" w:name="_Toc39143522"/>
      <w:bookmarkStart w:id="127" w:name="_Toc181617115"/>
      <w:r w:rsidRPr="00D942EB">
        <w:rPr>
          <w:noProof/>
        </w:rPr>
        <w:lastRenderedPageBreak/>
        <w:t xml:space="preserve">9:  </w:t>
      </w:r>
      <w:r w:rsidR="006F2910" w:rsidRPr="00D942EB">
        <w:rPr>
          <w:noProof/>
        </w:rPr>
        <w:t>Discharge or release of a child to an unauthorised person</w:t>
      </w:r>
      <w:bookmarkEnd w:id="125"/>
      <w:bookmarkEnd w:id="126"/>
      <w:bookmarkEnd w:id="127"/>
    </w:p>
    <w:tbl>
      <w:tblPr>
        <w:tblStyle w:val="TableGrid"/>
        <w:tblW w:w="0" w:type="dxa"/>
        <w:tblLook w:val="04A0" w:firstRow="1" w:lastRow="0" w:firstColumn="1" w:lastColumn="0" w:noHBand="0" w:noVBand="1"/>
      </w:tblPr>
      <w:tblGrid>
        <w:gridCol w:w="9072"/>
      </w:tblGrid>
      <w:tr w:rsidR="006F2910" w:rsidRPr="00D942EB" w14:paraId="5A8E9502" w14:textId="77777777" w:rsidTr="0065199F">
        <w:trPr>
          <w:cnfStyle w:val="100000000000" w:firstRow="1" w:lastRow="0" w:firstColumn="0" w:lastColumn="0" w:oddVBand="0" w:evenVBand="0" w:oddHBand="0" w:evenHBand="0" w:firstRowFirstColumn="0" w:firstRowLastColumn="0" w:lastRowFirstColumn="0" w:lastRowLastColumn="0"/>
          <w:trHeight w:hRule="exact" w:val="284"/>
        </w:trPr>
        <w:tc>
          <w:tcPr>
            <w:tcW w:w="9086" w:type="dxa"/>
            <w:tcBorders>
              <w:top w:val="nil"/>
              <w:left w:val="nil"/>
              <w:bottom w:val="nil"/>
              <w:right w:val="nil"/>
            </w:tcBorders>
            <w:shd w:val="clear" w:color="auto" w:fill="EEECE1" w:themeFill="background2"/>
          </w:tcPr>
          <w:p w14:paraId="04B97A1E"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Category: care management</w:t>
            </w:r>
          </w:p>
        </w:tc>
      </w:tr>
    </w:tbl>
    <w:p w14:paraId="6C252FF9" w14:textId="77777777" w:rsidR="006F2910" w:rsidRPr="00D942EB" w:rsidRDefault="006F2910" w:rsidP="007C2D48">
      <w:pPr>
        <w:pStyle w:val="Heading3"/>
        <w:rPr>
          <w:noProof/>
        </w:rPr>
      </w:pPr>
      <w:bookmarkStart w:id="128" w:name="_Toc39143523"/>
      <w:bookmarkStart w:id="129" w:name="_Toc181617116"/>
      <w:r w:rsidRPr="00D942EB">
        <w:rPr>
          <w:noProof/>
        </w:rPr>
        <w:t>Sentinel event</w:t>
      </w:r>
      <w:bookmarkEnd w:id="128"/>
      <w:bookmarkEnd w:id="129"/>
    </w:p>
    <w:p w14:paraId="69AE5E7D" w14:textId="3A2837DD" w:rsidR="006F2910" w:rsidRPr="00D942EB" w:rsidRDefault="006F2910" w:rsidP="006F2910">
      <w:pPr>
        <w:spacing w:after="80"/>
        <w:rPr>
          <w:noProof/>
        </w:rPr>
      </w:pPr>
      <w:r w:rsidRPr="00D942EB">
        <w:rPr>
          <w:noProof/>
        </w:rPr>
        <w:t>Discharge or release of a child to an unauthorised person</w:t>
      </w:r>
      <w:r w:rsidR="00E5486C" w:rsidRPr="00D942EB">
        <w:rPr>
          <w:noProof/>
        </w:rPr>
        <w:t>.</w:t>
      </w:r>
    </w:p>
    <w:p w14:paraId="616BC523" w14:textId="33F3EA82" w:rsidR="006F2910" w:rsidRPr="00D942EB" w:rsidRDefault="006F2910" w:rsidP="006F2910">
      <w:pPr>
        <w:spacing w:after="80"/>
        <w:rPr>
          <w:bCs/>
          <w:noProof/>
        </w:rPr>
      </w:pPr>
      <w:r w:rsidRPr="00D942EB">
        <w:rPr>
          <w:bCs/>
          <w:noProof/>
        </w:rPr>
        <w:t>This sentinel event will be counted regardless of whether serious harm or death has occurred.</w:t>
      </w:r>
    </w:p>
    <w:p w14:paraId="70AB3EB0" w14:textId="797D749B" w:rsidR="006F2910" w:rsidRPr="00D942EB" w:rsidRDefault="006F2910" w:rsidP="007C2D48">
      <w:pPr>
        <w:pStyle w:val="Heading3"/>
        <w:rPr>
          <w:noProof/>
        </w:rPr>
      </w:pPr>
      <w:bookmarkStart w:id="130" w:name="_Toc39143524"/>
      <w:bookmarkStart w:id="131" w:name="_Toc181617117"/>
      <w:r w:rsidRPr="00D942EB">
        <w:rPr>
          <w:noProof/>
        </w:rPr>
        <w:t>Inclusions/exclusions</w:t>
      </w:r>
      <w:bookmarkEnd w:id="130"/>
      <w:bookmarkEnd w:id="131"/>
    </w:p>
    <w:p w14:paraId="741C38CB" w14:textId="5CEF5106" w:rsidR="006F2910" w:rsidRPr="00D942EB" w:rsidRDefault="006F2910" w:rsidP="006F2910">
      <w:pPr>
        <w:spacing w:after="80"/>
        <w:rPr>
          <w:noProof/>
        </w:rPr>
      </w:pPr>
      <w:r w:rsidRPr="00D942EB">
        <w:rPr>
          <w:noProof/>
        </w:rPr>
        <w:t>Nil</w:t>
      </w:r>
      <w:r w:rsidR="00E5486C" w:rsidRPr="00D942EB">
        <w:rPr>
          <w:noProof/>
        </w:rPr>
        <w:t>.</w:t>
      </w:r>
    </w:p>
    <w:p w14:paraId="79BBB629" w14:textId="77777777" w:rsidR="006F2910" w:rsidRPr="00D942EB" w:rsidRDefault="006F2910" w:rsidP="007C2D48">
      <w:pPr>
        <w:pStyle w:val="Heading3"/>
        <w:rPr>
          <w:noProof/>
        </w:rPr>
      </w:pPr>
      <w:bookmarkStart w:id="132" w:name="_Toc39143525"/>
      <w:bookmarkStart w:id="133" w:name="_Toc181617118"/>
      <w:r w:rsidRPr="00D942EB">
        <w:rPr>
          <w:noProof/>
        </w:rPr>
        <w:t>Setting</w:t>
      </w:r>
      <w:bookmarkEnd w:id="132"/>
      <w:bookmarkEnd w:id="133"/>
    </w:p>
    <w:p w14:paraId="5CA68BCC" w14:textId="6404309D" w:rsidR="006F2910" w:rsidRPr="00D942EB" w:rsidRDefault="006F2910" w:rsidP="006F2910">
      <w:pPr>
        <w:spacing w:after="80"/>
        <w:rPr>
          <w:noProof/>
        </w:rPr>
      </w:pPr>
      <w:r w:rsidRPr="00D942EB">
        <w:rPr>
          <w:noProof/>
        </w:rPr>
        <w:t>All hospitals</w:t>
      </w:r>
      <w:r w:rsidR="00E5486C" w:rsidRPr="00D942EB">
        <w:rPr>
          <w:noProof/>
        </w:rPr>
        <w:t>.</w:t>
      </w:r>
    </w:p>
    <w:p w14:paraId="56ADE1C1" w14:textId="0FC9E449" w:rsidR="006F2910" w:rsidRPr="00D942EB" w:rsidRDefault="006F2910" w:rsidP="007C2D48">
      <w:pPr>
        <w:pStyle w:val="Heading3"/>
        <w:rPr>
          <w:noProof/>
        </w:rPr>
      </w:pPr>
      <w:bookmarkStart w:id="134" w:name="_Toc39143526"/>
      <w:bookmarkStart w:id="135" w:name="_Toc181617119"/>
      <w:r w:rsidRPr="00D942EB">
        <w:rPr>
          <w:noProof/>
        </w:rPr>
        <w:t>Definitions</w:t>
      </w:r>
      <w:bookmarkEnd w:id="134"/>
      <w:bookmarkEnd w:id="135"/>
    </w:p>
    <w:p w14:paraId="67BA98D4" w14:textId="70FB6EBC" w:rsidR="006F2910" w:rsidRPr="00D942EB" w:rsidRDefault="006F2910" w:rsidP="006F2910">
      <w:pPr>
        <w:spacing w:after="80"/>
        <w:rPr>
          <w:noProof/>
        </w:rPr>
      </w:pPr>
      <w:r w:rsidRPr="00D942EB">
        <w:rPr>
          <w:rStyle w:val="Strong"/>
        </w:rPr>
        <w:t>Child</w:t>
      </w:r>
      <w:r w:rsidR="00E5486C" w:rsidRPr="00D942EB">
        <w:rPr>
          <w:rStyle w:val="Strong"/>
        </w:rPr>
        <w:t>:</w:t>
      </w:r>
      <w:r w:rsidR="00E5486C" w:rsidRPr="00D942EB">
        <w:rPr>
          <w:noProof/>
        </w:rPr>
        <w:t xml:space="preserve"> A</w:t>
      </w:r>
      <w:r w:rsidRPr="00D942EB">
        <w:rPr>
          <w:noProof/>
        </w:rPr>
        <w:t>ny person under the age of 15</w:t>
      </w:r>
      <w:r w:rsidR="00E5486C" w:rsidRPr="00D942EB">
        <w:rPr>
          <w:noProof/>
        </w:rPr>
        <w:t>.</w:t>
      </w:r>
      <w:r w:rsidR="00564782">
        <w:rPr>
          <w:noProof/>
        </w:rPr>
        <w:fldChar w:fldCharType="begin"/>
      </w:r>
      <w:r w:rsidR="00F362DC">
        <w:rPr>
          <w:noProof/>
        </w:rPr>
        <w:instrText xml:space="preserve"> ADDIN EN.CITE &lt;EndNote&gt;&lt;Cite&gt;&lt;Author&gt;Australian Bureau of Statistics&lt;/Author&gt;&lt;Year&gt;2021&lt;/Year&gt;&lt;RecNum&gt;3&lt;/RecNum&gt;&lt;DisplayText&gt;&lt;style face="superscript"&gt;13&lt;/style&gt;&lt;/DisplayText&gt;&lt;record&gt;&lt;rec-number&gt;3&lt;/rec-number&gt;&lt;foreign-keys&gt;&lt;key app="EN" db-id="s0afewfss5vsr9e0tvixevam5sps2w9r2t09" timestamp="1724730561"&gt;3&lt;/key&gt;&lt;/foreign-keys&gt;&lt;ref-type name="Web Page"&gt;12&lt;/ref-type&gt;&lt;contributors&gt;&lt;authors&gt;&lt;author&gt;Australian Bureau of Statistics,&lt;/author&gt;&lt;/authors&gt;&lt;/contributors&gt;&lt;titles&gt;&lt;title&gt;Census of Population and Housing: Census dictionary - Glossary&lt;/title&gt;&lt;/titles&gt;&lt;volume&gt;2024&lt;/volume&gt;&lt;number&gt;25 August 2024&lt;/number&gt;&lt;dates&gt;&lt;year&gt;2021&lt;/year&gt;&lt;/dates&gt;&lt;pub-location&gt;Canberra&lt;/pub-location&gt;&lt;publisher&gt;ABS&lt;/publisher&gt;&lt;urls&gt;&lt;related-urls&gt;&lt;url&gt;https://www.abs.gov.au/census/guide-census-data/census-dictionary/2021/glossary/c#child&lt;/url&gt;&lt;/related-urls&gt;&lt;/urls&gt;&lt;/record&gt;&lt;/Cite&gt;&lt;/EndNote&gt;</w:instrText>
      </w:r>
      <w:r w:rsidR="00564782">
        <w:rPr>
          <w:noProof/>
        </w:rPr>
        <w:fldChar w:fldCharType="separate"/>
      </w:r>
      <w:r w:rsidR="00F362DC" w:rsidRPr="00F362DC">
        <w:rPr>
          <w:noProof/>
          <w:vertAlign w:val="superscript"/>
        </w:rPr>
        <w:t>13</w:t>
      </w:r>
      <w:r w:rsidR="00564782">
        <w:rPr>
          <w:noProof/>
        </w:rPr>
        <w:fldChar w:fldCharType="end"/>
      </w:r>
      <w:r w:rsidR="00564782" w:rsidRPr="00D942EB">
        <w:rPr>
          <w:noProof/>
        </w:rPr>
        <w:t xml:space="preserve"> </w:t>
      </w:r>
    </w:p>
    <w:p w14:paraId="3547E5A6" w14:textId="77DBDA24" w:rsidR="006F2910" w:rsidRPr="00D942EB" w:rsidRDefault="006F2910" w:rsidP="006F2910">
      <w:pPr>
        <w:spacing w:after="80"/>
        <w:rPr>
          <w:noProof/>
        </w:rPr>
      </w:pPr>
      <w:r w:rsidRPr="00D942EB">
        <w:rPr>
          <w:rStyle w:val="Strong"/>
        </w:rPr>
        <w:t>Unauthorised person</w:t>
      </w:r>
      <w:r w:rsidR="00E5486C" w:rsidRPr="00D942EB">
        <w:rPr>
          <w:rStyle w:val="Strong"/>
        </w:rPr>
        <w:t>:</w:t>
      </w:r>
      <w:r w:rsidR="00681DBA" w:rsidRPr="00D942EB">
        <w:rPr>
          <w:rStyle w:val="Strong"/>
        </w:rPr>
        <w:t xml:space="preserve"> </w:t>
      </w:r>
      <w:r w:rsidRPr="00D942EB">
        <w:t xml:space="preserve">A person who is not a parent or legal guardian of the infant or </w:t>
      </w:r>
      <w:proofErr w:type="gramStart"/>
      <w:r w:rsidRPr="00D942EB">
        <w:t>child, or</w:t>
      </w:r>
      <w:proofErr w:type="gramEnd"/>
      <w:r w:rsidRPr="00D942EB">
        <w:t xml:space="preserve"> is a person who is the subject of a legal order preventing access to the infant or child.</w:t>
      </w:r>
    </w:p>
    <w:p w14:paraId="372B8F61" w14:textId="27A77071" w:rsidR="006F2910" w:rsidRPr="00D942EB" w:rsidRDefault="006F2910" w:rsidP="007C2D48">
      <w:pPr>
        <w:pStyle w:val="Heading3"/>
        <w:rPr>
          <w:noProof/>
        </w:rPr>
      </w:pPr>
      <w:bookmarkStart w:id="136" w:name="_Toc39143527"/>
      <w:bookmarkStart w:id="137" w:name="_Toc181617120"/>
      <w:r w:rsidRPr="00D942EB">
        <w:rPr>
          <w:noProof/>
        </w:rPr>
        <w:t>Example of preventive barriers</w:t>
      </w:r>
      <w:bookmarkEnd w:id="136"/>
      <w:bookmarkEnd w:id="137"/>
    </w:p>
    <w:p w14:paraId="2E055FC0" w14:textId="6A99340E" w:rsidR="006F2910" w:rsidRPr="00D942EB" w:rsidRDefault="006F2910" w:rsidP="007C2D48">
      <w:pPr>
        <w:rPr>
          <w:i/>
          <w:noProof/>
        </w:rPr>
      </w:pPr>
      <w:r w:rsidRPr="00D942EB">
        <w:rPr>
          <w:noProof/>
        </w:rPr>
        <w:t>NSQHS Standards (2</w:t>
      </w:r>
      <w:r w:rsidRPr="00D942EB">
        <w:rPr>
          <w:noProof/>
          <w:vertAlign w:val="superscript"/>
        </w:rPr>
        <w:t>nd</w:t>
      </w:r>
      <w:r w:rsidRPr="00D942EB">
        <w:rPr>
          <w:noProof/>
        </w:rPr>
        <w:t xml:space="preserve"> ed.)</w:t>
      </w:r>
      <w:r w:rsidR="00564782">
        <w:rPr>
          <w:noProof/>
        </w:rPr>
        <w:fldChar w:fldCharType="begin"/>
      </w:r>
      <w:r w:rsidR="00564782">
        <w:rPr>
          <w:noProof/>
        </w:rPr>
        <w:instrText xml:space="preserve"> ADDIN EN.CITE &lt;EndNote&gt;&lt;Cite&gt;&lt;Author&gt;Australian Commission on Safety and Quality in Health Care&lt;/Author&gt;&lt;Year&gt;2021&lt;/Year&gt;&lt;RecNum&gt;6&lt;/RecNum&gt;&lt;DisplayText&gt;&lt;style face="superscript"&gt;2&lt;/style&gt;&lt;/DisplayText&gt;&lt;record&gt;&lt;rec-number&gt;6&lt;/rec-number&gt;&lt;foreign-keys&gt;&lt;key app="EN" db-id="s0afewfss5vsr9e0tvixevam5sps2w9r2t09" timestamp="1724730561"&gt;6&lt;/key&gt;&lt;/foreign-keys&gt;&lt;ref-type name="Electronic Book"&gt;44&lt;/ref-type&gt;&lt;contributors&gt;&lt;authors&gt;&lt;author&gt;Australian Commission on Safety and Quality in Health Care,&lt;/author&gt;&lt;/authors&gt;&lt;/contributors&gt;&lt;titles&gt;&lt;title&gt;National Safety and Quality Health Service Standards (second edition)&lt;/title&gt;&lt;/titles&gt;&lt;edition&gt;Second edition&lt;/edition&gt;&lt;dates&gt;&lt;year&gt;2021&lt;/year&gt;&lt;pub-dates&gt;&lt;date&gt;25 August 2024&lt;/date&gt;&lt;/pub-dates&gt;&lt;/dates&gt;&lt;pub-location&gt;Sydney&lt;/pub-location&gt;&lt;publisher&gt;ACSQHC&lt;/publisher&gt;&lt;urls&gt;&lt;related-urls&gt;&lt;url&gt;https://www.safetyandquality.gov.au/publications-and-resources/resource-library/national-safety-and-quality-health-service-standards-second-edition&lt;/url&gt;&lt;/related-urls&gt;&lt;/urls&gt;&lt;/record&gt;&lt;/Cite&gt;&lt;/EndNote&gt;</w:instrText>
      </w:r>
      <w:r w:rsidR="00564782">
        <w:rPr>
          <w:noProof/>
        </w:rPr>
        <w:fldChar w:fldCharType="separate"/>
      </w:r>
      <w:r w:rsidR="00564782" w:rsidRPr="00564782">
        <w:rPr>
          <w:noProof/>
          <w:vertAlign w:val="superscript"/>
        </w:rPr>
        <w:t>2</w:t>
      </w:r>
      <w:r w:rsidR="00564782">
        <w:rPr>
          <w:noProof/>
        </w:rPr>
        <w:fldChar w:fldCharType="end"/>
      </w:r>
      <w:r w:rsidRPr="00D942EB">
        <w:rPr>
          <w:noProof/>
        </w:rPr>
        <w:t xml:space="preserve"> – Communicating for Safety Standard. Action 6.5 states that: </w:t>
      </w:r>
    </w:p>
    <w:p w14:paraId="1F3720CB" w14:textId="77777777" w:rsidR="006F2910" w:rsidRPr="00D942EB" w:rsidRDefault="006F2910" w:rsidP="007C2D48">
      <w:pPr>
        <w:pStyle w:val="Quote"/>
        <w:rPr>
          <w:noProof/>
        </w:rPr>
      </w:pPr>
      <w:r w:rsidRPr="00D942EB">
        <w:rPr>
          <w:noProof/>
        </w:rPr>
        <w:t xml:space="preserve">The health service organisation: </w:t>
      </w:r>
    </w:p>
    <w:p w14:paraId="20F1CFA2" w14:textId="6025973D" w:rsidR="006F2910" w:rsidRPr="00D942EB" w:rsidRDefault="006F2910" w:rsidP="007C2D48">
      <w:pPr>
        <w:pStyle w:val="Quote"/>
        <w:numPr>
          <w:ilvl w:val="0"/>
          <w:numId w:val="42"/>
        </w:numPr>
        <w:rPr>
          <w:noProof/>
        </w:rPr>
      </w:pPr>
      <w:r w:rsidRPr="00D942EB">
        <w:rPr>
          <w:noProof/>
        </w:rPr>
        <w:t>defines approved identifiers for patients according to best-practice guidelines</w:t>
      </w:r>
    </w:p>
    <w:p w14:paraId="77B7430E" w14:textId="1822A58A" w:rsidR="006F2910" w:rsidRPr="00D942EB" w:rsidRDefault="006F2910" w:rsidP="007C2D48">
      <w:pPr>
        <w:pStyle w:val="Quote"/>
        <w:numPr>
          <w:ilvl w:val="0"/>
          <w:numId w:val="42"/>
        </w:numPr>
        <w:rPr>
          <w:noProof/>
        </w:rPr>
      </w:pPr>
      <w:r w:rsidRPr="00D942EB">
        <w:rPr>
          <w:noProof/>
        </w:rPr>
        <w:t xml:space="preserve">requires at least three approved identifiers on registration and admission; when care, medication, therapy and other services are provided; and whenever clinical handover, transfer or discharge documentation is generated. </w:t>
      </w:r>
    </w:p>
    <w:p w14:paraId="4C945BAF" w14:textId="6E9013F7" w:rsidR="006F2910" w:rsidRPr="00D942EB" w:rsidRDefault="001E4C97" w:rsidP="00E5486C">
      <w:pPr>
        <w:spacing w:after="80"/>
        <w:ind w:left="426"/>
        <w:rPr>
          <w:i/>
          <w:noProof/>
        </w:rPr>
      </w:pPr>
      <w:hyperlink r:id="rId33" w:history="1">
        <w:r w:rsidRPr="00D942EB">
          <w:rPr>
            <w:rStyle w:val="Hyperlink"/>
          </w:rPr>
          <w:t>www.safetyandquality.gov.au/standards/nsqhs-standards</w:t>
        </w:r>
      </w:hyperlink>
      <w:r w:rsidR="006F2910" w:rsidRPr="00D942EB">
        <w:rPr>
          <w:i/>
          <w:noProof/>
        </w:rPr>
        <w:br w:type="page"/>
      </w:r>
    </w:p>
    <w:p w14:paraId="728E1C1E" w14:textId="0FF99AF3" w:rsidR="006F2910" w:rsidRPr="00D942EB" w:rsidRDefault="003B2784" w:rsidP="006F2910">
      <w:pPr>
        <w:pStyle w:val="Heading2"/>
        <w:rPr>
          <w:noProof/>
        </w:rPr>
      </w:pPr>
      <w:bookmarkStart w:id="138" w:name="_Toc37768210"/>
      <w:bookmarkStart w:id="139" w:name="_Toc39143528"/>
      <w:bookmarkStart w:id="140" w:name="_Toc181617121"/>
      <w:r w:rsidRPr="00D942EB">
        <w:rPr>
          <w:noProof/>
        </w:rPr>
        <w:lastRenderedPageBreak/>
        <w:t xml:space="preserve">10:  </w:t>
      </w:r>
      <w:r w:rsidR="006F2910" w:rsidRPr="00D942EB">
        <w:rPr>
          <w:noProof/>
        </w:rPr>
        <w:t>Use of an incorrectly positioned oro- or naso-gastric tube resulting in serious harm or death</w:t>
      </w:r>
      <w:bookmarkEnd w:id="138"/>
      <w:bookmarkEnd w:id="139"/>
      <w:bookmarkEnd w:id="140"/>
    </w:p>
    <w:tbl>
      <w:tblPr>
        <w:tblStyle w:val="TableGrid"/>
        <w:tblW w:w="0" w:type="dxa"/>
        <w:tblLook w:val="04A0" w:firstRow="1" w:lastRow="0" w:firstColumn="1" w:lastColumn="0" w:noHBand="0" w:noVBand="1"/>
      </w:tblPr>
      <w:tblGrid>
        <w:gridCol w:w="9072"/>
      </w:tblGrid>
      <w:tr w:rsidR="006F2910" w:rsidRPr="00D942EB" w14:paraId="46D1156F" w14:textId="77777777" w:rsidTr="0065199F">
        <w:trPr>
          <w:cnfStyle w:val="100000000000" w:firstRow="1" w:lastRow="0" w:firstColumn="0" w:lastColumn="0" w:oddVBand="0" w:evenVBand="0" w:oddHBand="0" w:evenHBand="0" w:firstRowFirstColumn="0" w:firstRowLastColumn="0" w:lastRowFirstColumn="0" w:lastRowLastColumn="0"/>
          <w:trHeight w:hRule="exact" w:val="284"/>
        </w:trPr>
        <w:tc>
          <w:tcPr>
            <w:tcW w:w="9086" w:type="dxa"/>
            <w:tcBorders>
              <w:top w:val="nil"/>
              <w:left w:val="nil"/>
              <w:bottom w:val="nil"/>
              <w:right w:val="nil"/>
            </w:tcBorders>
            <w:shd w:val="clear" w:color="auto" w:fill="EEECE1" w:themeFill="background2"/>
          </w:tcPr>
          <w:p w14:paraId="50D9990B" w14:textId="77777777" w:rsidR="006F2910" w:rsidRPr="00D942EB" w:rsidRDefault="006F2910" w:rsidP="006F2910">
            <w:pPr>
              <w:spacing w:after="80"/>
              <w:jc w:val="left"/>
              <w:rPr>
                <w:rFonts w:asciiTheme="minorHAnsi" w:hAnsiTheme="minorHAnsi"/>
                <w:noProof/>
                <w:color w:val="auto"/>
                <w:sz w:val="22"/>
              </w:rPr>
            </w:pPr>
            <w:r w:rsidRPr="00D942EB">
              <w:rPr>
                <w:rFonts w:asciiTheme="minorHAnsi" w:hAnsiTheme="minorHAnsi"/>
                <w:noProof/>
                <w:color w:val="auto"/>
                <w:sz w:val="22"/>
              </w:rPr>
              <w:t>Category: care management</w:t>
            </w:r>
          </w:p>
        </w:tc>
      </w:tr>
    </w:tbl>
    <w:p w14:paraId="783D3605" w14:textId="77777777" w:rsidR="006F2910" w:rsidRPr="00D942EB" w:rsidRDefault="006F2910" w:rsidP="007C2D48">
      <w:pPr>
        <w:pStyle w:val="Heading3"/>
        <w:rPr>
          <w:noProof/>
        </w:rPr>
      </w:pPr>
      <w:bookmarkStart w:id="141" w:name="_Toc39143529"/>
      <w:bookmarkStart w:id="142" w:name="_Toc181617122"/>
      <w:r w:rsidRPr="00D942EB">
        <w:rPr>
          <w:noProof/>
        </w:rPr>
        <w:t>Sentinel event</w:t>
      </w:r>
      <w:bookmarkEnd w:id="141"/>
      <w:bookmarkEnd w:id="142"/>
    </w:p>
    <w:p w14:paraId="5F4E5566" w14:textId="555F3D72" w:rsidR="006F2910" w:rsidRPr="00D942EB" w:rsidRDefault="006F2910" w:rsidP="007C2D48">
      <w:pPr>
        <w:rPr>
          <w:noProof/>
        </w:rPr>
      </w:pPr>
      <w:r w:rsidRPr="00D942EB">
        <w:rPr>
          <w:noProof/>
        </w:rPr>
        <w:t>Use of an incorrectly positioned oro- or naso-gastric tube resulting in serious harm or death</w:t>
      </w:r>
      <w:r w:rsidR="00E5486C" w:rsidRPr="00D942EB">
        <w:rPr>
          <w:noProof/>
        </w:rPr>
        <w:t>.</w:t>
      </w:r>
    </w:p>
    <w:p w14:paraId="5B2F265C" w14:textId="77777777" w:rsidR="006F2910" w:rsidRPr="00D942EB" w:rsidRDefault="006F2910" w:rsidP="007C2D48">
      <w:pPr>
        <w:pStyle w:val="Heading3"/>
        <w:rPr>
          <w:noProof/>
        </w:rPr>
      </w:pPr>
      <w:bookmarkStart w:id="143" w:name="_Toc39143530"/>
      <w:bookmarkStart w:id="144" w:name="_Toc181617123"/>
      <w:r w:rsidRPr="00D942EB">
        <w:rPr>
          <w:noProof/>
        </w:rPr>
        <w:t>Inclusions/exclusions</w:t>
      </w:r>
      <w:bookmarkEnd w:id="143"/>
      <w:bookmarkEnd w:id="144"/>
    </w:p>
    <w:p w14:paraId="2AFFF262" w14:textId="41C510AF" w:rsidR="006F2910" w:rsidRPr="00D942EB" w:rsidRDefault="006F2910" w:rsidP="007C2D48">
      <w:pPr>
        <w:rPr>
          <w:noProof/>
        </w:rPr>
      </w:pPr>
      <w:r w:rsidRPr="00D942EB">
        <w:rPr>
          <w:noProof/>
        </w:rPr>
        <w:t>Nil</w:t>
      </w:r>
      <w:r w:rsidR="00E5486C" w:rsidRPr="00D942EB">
        <w:rPr>
          <w:noProof/>
        </w:rPr>
        <w:t>.</w:t>
      </w:r>
    </w:p>
    <w:p w14:paraId="4C6A9D64" w14:textId="77777777" w:rsidR="006F2910" w:rsidRPr="00D942EB" w:rsidRDefault="006F2910" w:rsidP="007C2D48">
      <w:pPr>
        <w:pStyle w:val="Heading3"/>
        <w:rPr>
          <w:noProof/>
        </w:rPr>
      </w:pPr>
      <w:bookmarkStart w:id="145" w:name="_Toc39143531"/>
      <w:bookmarkStart w:id="146" w:name="_Toc181617124"/>
      <w:r w:rsidRPr="00D942EB">
        <w:rPr>
          <w:noProof/>
        </w:rPr>
        <w:t>Setting</w:t>
      </w:r>
      <w:bookmarkEnd w:id="145"/>
      <w:bookmarkEnd w:id="146"/>
    </w:p>
    <w:p w14:paraId="56A9E2D1" w14:textId="2CC1D01A" w:rsidR="006F2910" w:rsidRPr="00D942EB" w:rsidRDefault="006F2910" w:rsidP="007C2D48">
      <w:pPr>
        <w:rPr>
          <w:noProof/>
        </w:rPr>
      </w:pPr>
      <w:r w:rsidRPr="00D942EB">
        <w:rPr>
          <w:noProof/>
        </w:rPr>
        <w:t>All hospitals</w:t>
      </w:r>
      <w:r w:rsidR="00E5486C" w:rsidRPr="00D942EB">
        <w:rPr>
          <w:noProof/>
        </w:rPr>
        <w:t>.</w:t>
      </w:r>
    </w:p>
    <w:p w14:paraId="4E6F5A72" w14:textId="225949F7" w:rsidR="006F2910" w:rsidRPr="00D942EB" w:rsidRDefault="006F2910" w:rsidP="007C2D48">
      <w:pPr>
        <w:pStyle w:val="Heading3"/>
        <w:rPr>
          <w:noProof/>
        </w:rPr>
      </w:pPr>
      <w:bookmarkStart w:id="147" w:name="_Toc39143532"/>
      <w:bookmarkStart w:id="148" w:name="_Toc181617125"/>
      <w:r w:rsidRPr="00D942EB">
        <w:rPr>
          <w:noProof/>
        </w:rPr>
        <w:t>Definition</w:t>
      </w:r>
      <w:bookmarkEnd w:id="147"/>
      <w:bookmarkEnd w:id="148"/>
    </w:p>
    <w:p w14:paraId="56DA3196" w14:textId="3C6C53F4" w:rsidR="006F2910" w:rsidRPr="00D942EB" w:rsidRDefault="006F2910" w:rsidP="006F2910">
      <w:pPr>
        <w:spacing w:after="80"/>
        <w:rPr>
          <w:noProof/>
        </w:rPr>
      </w:pPr>
      <w:r w:rsidRPr="00D942EB">
        <w:rPr>
          <w:rStyle w:val="Strong"/>
        </w:rPr>
        <w:t>Serious harm</w:t>
      </w:r>
      <w:r w:rsidR="00E5486C" w:rsidRPr="00D942EB">
        <w:rPr>
          <w:rStyle w:val="Strong"/>
        </w:rPr>
        <w:t>:</w:t>
      </w:r>
      <w:r w:rsidR="00E5486C" w:rsidRPr="00D942EB" w:rsidDel="00E5486C">
        <w:rPr>
          <w:noProof/>
        </w:rPr>
        <w:t xml:space="preserve"> </w:t>
      </w:r>
      <w:r w:rsidRPr="00D942EB">
        <w:t xml:space="preserve">As a result of the incident the patient requires life-saving surgical/medical intervention, or has shortened life expectancy, or has experienced permanent or </w:t>
      </w:r>
      <w:r w:rsidR="00DD6386" w:rsidRPr="00D942EB">
        <w:t>long-term</w:t>
      </w:r>
      <w:r w:rsidRPr="00D942EB">
        <w:t xml:space="preserve"> physical harm or loss of function.</w:t>
      </w:r>
    </w:p>
    <w:p w14:paraId="5E934304" w14:textId="392A5263" w:rsidR="006F2910" w:rsidRPr="00D942EB" w:rsidRDefault="006F2910" w:rsidP="007C2D48">
      <w:pPr>
        <w:pStyle w:val="Heading3"/>
        <w:rPr>
          <w:noProof/>
        </w:rPr>
      </w:pPr>
      <w:bookmarkStart w:id="149" w:name="_Toc39143533"/>
      <w:bookmarkStart w:id="150" w:name="_Toc181617126"/>
      <w:r w:rsidRPr="00D942EB">
        <w:rPr>
          <w:noProof/>
        </w:rPr>
        <w:t>Example of preventive barrier</w:t>
      </w:r>
      <w:bookmarkEnd w:id="149"/>
      <w:bookmarkEnd w:id="150"/>
    </w:p>
    <w:p w14:paraId="58CF9CA8" w14:textId="575CA80B" w:rsidR="00F75DD1" w:rsidRPr="00D942EB" w:rsidRDefault="00F75DD1" w:rsidP="00F75DD1">
      <w:pPr>
        <w:spacing w:after="80"/>
      </w:pPr>
      <w:r w:rsidRPr="00D942EB">
        <w:t>Agency for Clinical Innovation. Insertion and Management of Nasogastric and Orogastric Tubes in Adults</w:t>
      </w:r>
      <w:r w:rsidR="00564782">
        <w:t>.</w:t>
      </w:r>
      <w:r w:rsidR="00564782">
        <w:fldChar w:fldCharType="begin"/>
      </w:r>
      <w:r w:rsidR="00F362DC">
        <w:instrText xml:space="preserve"> ADDIN EN.CITE &lt;EndNote&gt;&lt;Cite&gt;&lt;Author&gt;Agency for Clinical Innovation&lt;/Author&gt;&lt;Year&gt;2023&lt;/Year&gt;&lt;RecNum&gt;1&lt;/RecNum&gt;&lt;DisplayText&gt;&lt;style face="superscript"&gt;14&lt;/style&gt;&lt;/DisplayText&gt;&lt;record&gt;&lt;rec-number&gt;1&lt;/rec-number&gt;&lt;foreign-keys&gt;&lt;key app="EN" db-id="s0afewfss5vsr9e0tvixevam5sps2w9r2t09" timestamp="1724730561"&gt;1&lt;/key&gt;&lt;/foreign-keys&gt;&lt;ref-type name="Electronic Article"&gt;43&lt;/ref-type&gt;&lt;contributors&gt;&lt;authors&gt;&lt;author&gt;Agency for Clinical Innovation,&lt;/author&gt;&lt;/authors&gt;&lt;/contributors&gt;&lt;titles&gt;&lt;title&gt;Insertion and Management of Nasogastric and Orogastric Tubes in Adults&lt;/title&gt;&lt;/titles&gt;&lt;dates&gt;&lt;year&gt;2023&lt;/year&gt;&lt;/dates&gt;&lt;pub-location&gt;Sydney&lt;/pub-location&gt;&lt;publisher&gt;NSW Health&lt;/publisher&gt;&lt;isbn&gt;GL2023_001&lt;/isbn&gt;&lt;urls&gt;&lt;related-urls&gt;&lt;url&gt;https://www1.health.nsw.gov.au/pds/ActivePDSDocuments/GL2023_001.pdf&lt;/url&gt;&lt;/related-urls&gt;&lt;/urls&gt;&lt;access-date&gt;22/08/2024&lt;/access-date&gt;&lt;/record&gt;&lt;/Cite&gt;&lt;/EndNote&gt;</w:instrText>
      </w:r>
      <w:r w:rsidR="00564782">
        <w:fldChar w:fldCharType="separate"/>
      </w:r>
      <w:r w:rsidR="00F362DC" w:rsidRPr="00F362DC">
        <w:rPr>
          <w:noProof/>
          <w:vertAlign w:val="superscript"/>
        </w:rPr>
        <w:t>14</w:t>
      </w:r>
      <w:r w:rsidR="00564782">
        <w:fldChar w:fldCharType="end"/>
      </w:r>
      <w:r w:rsidR="00564782" w:rsidRPr="00D942EB">
        <w:t xml:space="preserve"> </w:t>
      </w:r>
    </w:p>
    <w:p w14:paraId="3822662D" w14:textId="3F89CBE3" w:rsidR="00F75DD1" w:rsidRPr="00D942EB" w:rsidRDefault="00F75DD1" w:rsidP="00F75DD1">
      <w:pPr>
        <w:spacing w:after="80"/>
      </w:pPr>
      <w:hyperlink r:id="rId34" w:history="1">
        <w:r w:rsidRPr="00D942EB">
          <w:rPr>
            <w:rStyle w:val="Hyperlink"/>
            <w:noProof/>
          </w:rPr>
          <w:t>www1.health.nsw.gov.au/pds/ActivePDSDocuments/GL2023_001.pdf</w:t>
        </w:r>
      </w:hyperlink>
    </w:p>
    <w:p w14:paraId="198AA27C" w14:textId="77777777" w:rsidR="006F2910" w:rsidRPr="00D942EB" w:rsidRDefault="006F2910" w:rsidP="006F2910">
      <w:pPr>
        <w:spacing w:after="80"/>
        <w:rPr>
          <w:noProof/>
        </w:rPr>
      </w:pPr>
    </w:p>
    <w:p w14:paraId="76883A1F" w14:textId="77777777" w:rsidR="006F2910" w:rsidRPr="00D942EB" w:rsidRDefault="006F2910" w:rsidP="006F2910">
      <w:pPr>
        <w:spacing w:after="80"/>
        <w:rPr>
          <w:noProof/>
        </w:rPr>
      </w:pPr>
      <w:r w:rsidRPr="00D942EB">
        <w:rPr>
          <w:noProof/>
        </w:rPr>
        <w:br w:type="page"/>
      </w:r>
    </w:p>
    <w:p w14:paraId="5C0F54F7" w14:textId="77777777" w:rsidR="00474BED" w:rsidRDefault="006F2910" w:rsidP="00D3336F">
      <w:pPr>
        <w:pStyle w:val="Heading1"/>
        <w:spacing w:after="0"/>
        <w:rPr>
          <w:noProof/>
        </w:rPr>
      </w:pPr>
      <w:bookmarkStart w:id="151" w:name="_Toc37768211"/>
      <w:bookmarkStart w:id="152" w:name="_Toc39143534"/>
      <w:bookmarkStart w:id="153" w:name="_Toc181617127"/>
      <w:r w:rsidRPr="00D942EB">
        <w:rPr>
          <w:noProof/>
        </w:rPr>
        <w:lastRenderedPageBreak/>
        <w:t>References</w:t>
      </w:r>
      <w:bookmarkEnd w:id="151"/>
      <w:bookmarkEnd w:id="152"/>
      <w:bookmarkEnd w:id="153"/>
    </w:p>
    <w:p w14:paraId="2DFDB435" w14:textId="1D835488" w:rsidR="00912E7B" w:rsidRPr="00912E7B" w:rsidRDefault="00474BED" w:rsidP="00912E7B">
      <w:pPr>
        <w:pStyle w:val="EndNoteBibliography"/>
        <w:spacing w:after="0"/>
      </w:pPr>
      <w:r>
        <w:fldChar w:fldCharType="begin"/>
      </w:r>
      <w:r w:rsidRPr="002A4C03">
        <w:instrText xml:space="preserve"> ADDIN EN.REFLIST </w:instrText>
      </w:r>
      <w:r>
        <w:fldChar w:fldCharType="separate"/>
      </w:r>
      <w:r w:rsidR="00912E7B" w:rsidRPr="00912E7B">
        <w:t>1.</w:t>
      </w:r>
      <w:r w:rsidR="00912E7B" w:rsidRPr="00912E7B">
        <w:tab/>
        <w:t xml:space="preserve">Australian Commission on Safety and Quality in Health Care. National Safety and Quality Health Service Standards. Sydney: ACSQHC; 2012. Available from: </w:t>
      </w:r>
      <w:hyperlink r:id="rId35" w:history="1">
        <w:r w:rsidR="00912E7B" w:rsidRPr="00912E7B">
          <w:rPr>
            <w:rStyle w:val="Hyperlink"/>
          </w:rPr>
          <w:t>https://www.safetyandquality.gov.au/publications-and-resources/resource-library/national-safety-and-quality-health-service-standards-first-edition</w:t>
        </w:r>
      </w:hyperlink>
      <w:r w:rsidR="00912E7B" w:rsidRPr="00912E7B">
        <w:t xml:space="preserve">. </w:t>
      </w:r>
    </w:p>
    <w:p w14:paraId="061584AF" w14:textId="30EF125D" w:rsidR="00912E7B" w:rsidRPr="00912E7B" w:rsidRDefault="00912E7B" w:rsidP="00912E7B">
      <w:pPr>
        <w:pStyle w:val="EndNoteBibliography"/>
        <w:spacing w:after="0"/>
      </w:pPr>
      <w:r w:rsidRPr="00912E7B">
        <w:t>2.</w:t>
      </w:r>
      <w:r w:rsidRPr="00912E7B">
        <w:tab/>
        <w:t xml:space="preserve">Australian Commission on Safety and Quality in Health Care. National Safety and Quality Health Service Standards (second edition). Sydney: ACSQHC; 2021. Available from: </w:t>
      </w:r>
      <w:hyperlink r:id="rId36" w:history="1">
        <w:r w:rsidRPr="00912E7B">
          <w:rPr>
            <w:rStyle w:val="Hyperlink"/>
          </w:rPr>
          <w:t>https://www.safetyandquality.gov.au/publications-and-resources/resource-library/national-safety-and-quality-health-service-standards-second-edition</w:t>
        </w:r>
      </w:hyperlink>
      <w:r w:rsidRPr="00912E7B">
        <w:t xml:space="preserve">. </w:t>
      </w:r>
    </w:p>
    <w:p w14:paraId="29AE08C3" w14:textId="458A2BC2" w:rsidR="00912E7B" w:rsidRPr="00912E7B" w:rsidRDefault="00912E7B" w:rsidP="00912E7B">
      <w:pPr>
        <w:pStyle w:val="EndNoteBibliography"/>
        <w:spacing w:after="0"/>
      </w:pPr>
      <w:r w:rsidRPr="00912E7B">
        <w:t>3.</w:t>
      </w:r>
      <w:r w:rsidRPr="00912E7B">
        <w:tab/>
        <w:t xml:space="preserve">Australian Commission on Safety and Quality in Health Care. Surgical Safety Checklist. [Internet] Sydney: ACSQHC;  [cited Sep] Available from: </w:t>
      </w:r>
      <w:hyperlink r:id="rId37" w:history="1">
        <w:r w:rsidRPr="00912E7B">
          <w:rPr>
            <w:rStyle w:val="Hyperlink"/>
          </w:rPr>
          <w:t>https://www.safetyandquality.gov.au/our-work/patient-identification/patient-procedure-matching-protocols/surgical-safety-checklist/</w:t>
        </w:r>
      </w:hyperlink>
      <w:r w:rsidRPr="00912E7B">
        <w:t>.</w:t>
      </w:r>
    </w:p>
    <w:p w14:paraId="74701337" w14:textId="60FB6697" w:rsidR="00912E7B" w:rsidRPr="00912E7B" w:rsidRDefault="00912E7B" w:rsidP="00912E7B">
      <w:pPr>
        <w:pStyle w:val="EndNoteBibliography"/>
        <w:spacing w:after="0"/>
      </w:pPr>
      <w:r w:rsidRPr="00912E7B">
        <w:t>4.</w:t>
      </w:r>
      <w:r w:rsidRPr="00912E7B">
        <w:tab/>
        <w:t xml:space="preserve">National Blood Authority Australia. Patient Blood Management Guidelines. [Internet] Canberra: NBA;  [cited 25 August 2024] Available from: </w:t>
      </w:r>
      <w:hyperlink r:id="rId38" w:anchor="pbm-guidelines" w:history="1">
        <w:r w:rsidRPr="00912E7B">
          <w:rPr>
            <w:rStyle w:val="Hyperlink"/>
          </w:rPr>
          <w:t>https://www.blood.gov.au/clinical-guidance/patient-blood-management#pbm-guidelines</w:t>
        </w:r>
      </w:hyperlink>
      <w:r w:rsidRPr="00912E7B">
        <w:t>.</w:t>
      </w:r>
    </w:p>
    <w:p w14:paraId="6D9869C1" w14:textId="16DA6F30" w:rsidR="00912E7B" w:rsidRPr="00912E7B" w:rsidRDefault="00912E7B" w:rsidP="00912E7B">
      <w:pPr>
        <w:pStyle w:val="EndNoteBibliography"/>
        <w:spacing w:after="0"/>
      </w:pPr>
      <w:r w:rsidRPr="00912E7B">
        <w:t>5.</w:t>
      </w:r>
      <w:r w:rsidRPr="00912E7B">
        <w:tab/>
        <w:t xml:space="preserve">BloodSafe. BloodSafe elearning Australia. [Internet]  [cited 25 August 2024] Available from: </w:t>
      </w:r>
      <w:hyperlink r:id="rId39" w:history="1">
        <w:r w:rsidRPr="00912E7B">
          <w:rPr>
            <w:rStyle w:val="Hyperlink"/>
          </w:rPr>
          <w:t>https://bloodsafelearning.org.au/</w:t>
        </w:r>
      </w:hyperlink>
      <w:r w:rsidRPr="00912E7B">
        <w:t>.</w:t>
      </w:r>
    </w:p>
    <w:p w14:paraId="56EA1CE0" w14:textId="70140B5F" w:rsidR="00912E7B" w:rsidRPr="00912E7B" w:rsidRDefault="00912E7B" w:rsidP="00912E7B">
      <w:pPr>
        <w:pStyle w:val="EndNoteBibliography"/>
        <w:spacing w:after="0"/>
      </w:pPr>
      <w:r w:rsidRPr="00912E7B">
        <w:t>6.</w:t>
      </w:r>
      <w:r w:rsidRPr="00912E7B">
        <w:tab/>
        <w:t xml:space="preserve">Australian Red Cross Lifeblood. Blood Book Australian Blood Administration Handbook. Adelaide: Australian Red Cross Lifeblood; 2020. Available from: </w:t>
      </w:r>
      <w:hyperlink r:id="rId40" w:history="1">
        <w:r w:rsidRPr="00912E7B">
          <w:rPr>
            <w:rStyle w:val="Hyperlink"/>
          </w:rPr>
          <w:t>https://www.lifeblood.com.au/sites/default/files/resource-library/2023-08/Blood-Book-ABAH_FINAL-v1.2-AUGUST-2023-SCREEN-WITH-LETTER.pdf</w:t>
        </w:r>
      </w:hyperlink>
      <w:r w:rsidRPr="00912E7B">
        <w:t xml:space="preserve"> </w:t>
      </w:r>
    </w:p>
    <w:p w14:paraId="64F78747" w14:textId="7B390231" w:rsidR="00912E7B" w:rsidRPr="00912E7B" w:rsidRDefault="00912E7B" w:rsidP="00912E7B">
      <w:pPr>
        <w:pStyle w:val="EndNoteBibliography"/>
        <w:spacing w:after="0"/>
      </w:pPr>
      <w:r w:rsidRPr="00912E7B">
        <w:t>7.</w:t>
      </w:r>
      <w:r w:rsidRPr="00912E7B">
        <w:tab/>
        <w:t xml:space="preserve">Australasian Health Infrastructure Alliance. Australasian Health Facility Guidelines: Part B – Health Facility Briefing and Planning, 0134 – Adult Acute Mental Health Inpatient Unit (revision 7.0). Sydney: Australasian Health Infrastructure Alliance; 2019. Available from: </w:t>
      </w:r>
      <w:hyperlink r:id="rId41" w:history="1">
        <w:r w:rsidRPr="00912E7B">
          <w:rPr>
            <w:rStyle w:val="Hyperlink"/>
          </w:rPr>
          <w:t>https://healthfacilityguidelines.com.au/hpu/adult-acute-mental-health-inpatient-unit-1</w:t>
        </w:r>
      </w:hyperlink>
      <w:r w:rsidRPr="00912E7B">
        <w:t xml:space="preserve">. </w:t>
      </w:r>
    </w:p>
    <w:p w14:paraId="40EA0631" w14:textId="4C640F2C" w:rsidR="00912E7B" w:rsidRPr="00912E7B" w:rsidRDefault="00912E7B" w:rsidP="00912E7B">
      <w:pPr>
        <w:pStyle w:val="EndNoteBibliography"/>
        <w:spacing w:after="0"/>
      </w:pPr>
      <w:r w:rsidRPr="00912E7B">
        <w:t>8.</w:t>
      </w:r>
      <w:r w:rsidRPr="00912E7B">
        <w:tab/>
        <w:t xml:space="preserve">Australian Commission on Safety and Quality in Health Care. National Safety and Quality Health Service Standards User Guide for Health Services Providing Care for People with Mental Health Issues. Sydney: ACSQHC; 2018. Available from: </w:t>
      </w:r>
      <w:hyperlink r:id="rId42" w:history="1">
        <w:r w:rsidRPr="00912E7B">
          <w:rPr>
            <w:rStyle w:val="Hyperlink"/>
          </w:rPr>
          <w:t>https://www.safetyandquality.gov.au/sites/default/files/2019-05/nsqhs-standards-user-guide-for-health-services-providing-care-for-people-with-mental-health-issues_0.pdf</w:t>
        </w:r>
      </w:hyperlink>
      <w:r w:rsidRPr="00912E7B">
        <w:t xml:space="preserve">. </w:t>
      </w:r>
    </w:p>
    <w:p w14:paraId="2B40ED7B" w14:textId="61DE3F35" w:rsidR="00912E7B" w:rsidRPr="00912E7B" w:rsidRDefault="00912E7B" w:rsidP="00912E7B">
      <w:pPr>
        <w:pStyle w:val="EndNoteBibliography"/>
        <w:spacing w:after="0"/>
      </w:pPr>
      <w:r w:rsidRPr="00912E7B">
        <w:t>9.</w:t>
      </w:r>
      <w:r w:rsidRPr="00912E7B">
        <w:tab/>
        <w:t xml:space="preserve">Australian Government Department of Health and Ageing. A framework for prevention of suicide in Australia. Canberra: DoHA; 2008. Available from: </w:t>
      </w:r>
      <w:hyperlink r:id="rId43" w:history="1">
        <w:r w:rsidRPr="00912E7B">
          <w:rPr>
            <w:rStyle w:val="Hyperlink"/>
          </w:rPr>
          <w:t>https://lifeinmind.org.au/splash-page/docs/LIFE-framework-web.pdf</w:t>
        </w:r>
      </w:hyperlink>
      <w:r w:rsidRPr="00912E7B">
        <w:t xml:space="preserve">. </w:t>
      </w:r>
    </w:p>
    <w:p w14:paraId="4CB159AB" w14:textId="75AB75EA" w:rsidR="00912E7B" w:rsidRPr="00912E7B" w:rsidRDefault="00912E7B" w:rsidP="00912E7B">
      <w:pPr>
        <w:pStyle w:val="EndNoteBibliography"/>
        <w:spacing w:after="0"/>
      </w:pPr>
      <w:r w:rsidRPr="00912E7B">
        <w:t>10.</w:t>
      </w:r>
      <w:r w:rsidRPr="00912E7B">
        <w:tab/>
        <w:t xml:space="preserve">Australian Government Department of Health and Ageing. National Standards for Mental Health Services, Standard 2: Safety. Implementation guidelines for public mental health services and private hospitals. Canberra: Commonwealth of Australia; 2010. Available from: </w:t>
      </w:r>
      <w:hyperlink r:id="rId44" w:history="1">
        <w:r w:rsidRPr="00912E7B">
          <w:rPr>
            <w:rStyle w:val="Hyperlink"/>
          </w:rPr>
          <w:t>https://www.health.gov.au/resources/publications/national-standards-for-mental-health-services-2010-and-implementation-guidelines</w:t>
        </w:r>
      </w:hyperlink>
      <w:r w:rsidRPr="00912E7B">
        <w:t xml:space="preserve">. </w:t>
      </w:r>
    </w:p>
    <w:p w14:paraId="33ABDADF" w14:textId="5DF7C2A4" w:rsidR="00912E7B" w:rsidRPr="00912E7B" w:rsidRDefault="00912E7B" w:rsidP="00912E7B">
      <w:pPr>
        <w:pStyle w:val="EndNoteBibliography"/>
        <w:spacing w:after="0"/>
      </w:pPr>
      <w:r w:rsidRPr="00912E7B">
        <w:t>11.</w:t>
      </w:r>
      <w:r w:rsidRPr="00912E7B">
        <w:tab/>
        <w:t xml:space="preserve">Safety and Quality Partnership Standing Committee. National Practice Standards for the Mental Health Workforce. Melbourne: Victorian Government Department of Health; 2013. Available from: </w:t>
      </w:r>
      <w:hyperlink r:id="rId45" w:history="1">
        <w:r w:rsidRPr="00912E7B">
          <w:rPr>
            <w:rStyle w:val="Hyperlink"/>
          </w:rPr>
          <w:t>https://www.health.gov.au/resources/publications/national-practice-standards-for-the-mental-health-workforce-2013</w:t>
        </w:r>
      </w:hyperlink>
      <w:r w:rsidRPr="00912E7B">
        <w:t xml:space="preserve">. </w:t>
      </w:r>
    </w:p>
    <w:p w14:paraId="09C2AE07" w14:textId="78DDC06C" w:rsidR="00912E7B" w:rsidRPr="00912E7B" w:rsidRDefault="00912E7B" w:rsidP="00912E7B">
      <w:pPr>
        <w:pStyle w:val="EndNoteBibliography"/>
        <w:spacing w:after="0"/>
      </w:pPr>
      <w:r w:rsidRPr="00912E7B">
        <w:t>12.</w:t>
      </w:r>
      <w:r w:rsidRPr="00912E7B">
        <w:tab/>
        <w:t xml:space="preserve">Royal Australian and New Zealand College of Psychiatrists. Position Statement 61: minimising the use of seclusion and restraint in people with mental illness 2016; 2021. Available from: </w:t>
      </w:r>
      <w:hyperlink r:id="rId46" w:history="1">
        <w:r w:rsidRPr="00912E7B">
          <w:rPr>
            <w:rStyle w:val="Hyperlink"/>
          </w:rPr>
          <w:t>https://www.ranzcp.org/Files/Resources/College_Statements/Position_Statements/PS-61-Minimising-the-use-of-seclusion-and-restrain.aspx</w:t>
        </w:r>
      </w:hyperlink>
      <w:r w:rsidRPr="00912E7B">
        <w:t xml:space="preserve"> </w:t>
      </w:r>
    </w:p>
    <w:p w14:paraId="322FEB49" w14:textId="277642E3" w:rsidR="00912E7B" w:rsidRPr="00912E7B" w:rsidRDefault="00912E7B" w:rsidP="00912E7B">
      <w:pPr>
        <w:pStyle w:val="EndNoteBibliography"/>
        <w:spacing w:after="0"/>
      </w:pPr>
      <w:r w:rsidRPr="00912E7B">
        <w:t>13.</w:t>
      </w:r>
      <w:r w:rsidRPr="00912E7B">
        <w:tab/>
        <w:t xml:space="preserve">Australian Bureau of Statistics. Census of Population and Housing: Census dictionary - Glossary. [Internet] Canberra: ABS; 2021 [cited 25 August 2024] Available from: </w:t>
      </w:r>
      <w:hyperlink r:id="rId47" w:anchor="child" w:history="1">
        <w:r w:rsidRPr="00912E7B">
          <w:rPr>
            <w:rStyle w:val="Hyperlink"/>
          </w:rPr>
          <w:t>https://www.abs.gov.au/census/guide-census-data/census-dictionary/2021/glossary/c#child</w:t>
        </w:r>
      </w:hyperlink>
      <w:r w:rsidRPr="00912E7B">
        <w:t>.</w:t>
      </w:r>
    </w:p>
    <w:p w14:paraId="0C169E30" w14:textId="7490A914" w:rsidR="006800B6" w:rsidRDefault="00912E7B" w:rsidP="002A4C03">
      <w:pPr>
        <w:pStyle w:val="EndNoteBibliography"/>
      </w:pPr>
      <w:r w:rsidRPr="00912E7B">
        <w:t>14.</w:t>
      </w:r>
      <w:r w:rsidRPr="00912E7B">
        <w:tab/>
        <w:t xml:space="preserve">Agency for Clinical Innovation. Insertion and Management of Nasogastric and Orogastric Tubes in Adults2023. Available from: </w:t>
      </w:r>
      <w:hyperlink r:id="rId48" w:history="1">
        <w:r w:rsidRPr="00912E7B">
          <w:rPr>
            <w:rStyle w:val="Hyperlink"/>
          </w:rPr>
          <w:t>https://www1.health.nsw.gov.au/pds/ActivePDSDocuments/GL2023_001.pdf</w:t>
        </w:r>
      </w:hyperlink>
      <w:r w:rsidRPr="00912E7B">
        <w:t>.</w:t>
      </w:r>
      <w:r w:rsidR="00474BED">
        <w:fldChar w:fldCharType="end"/>
      </w:r>
    </w:p>
    <w:sectPr w:rsidR="006800B6" w:rsidSect="007C2D48">
      <w:headerReference w:type="even" r:id="rId49"/>
      <w:headerReference w:type="default" r:id="rId50"/>
      <w:footerReference w:type="even" r:id="rId51"/>
      <w:footerReference w:type="default" r:id="rId52"/>
      <w:headerReference w:type="first" r:id="rId53"/>
      <w:footerReference w:type="first" r:id="rId54"/>
      <w:pgSz w:w="11906" w:h="16838"/>
      <w:pgMar w:top="1440" w:right="139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8AFF" w14:textId="77777777" w:rsidR="007F187B" w:rsidRDefault="007F187B" w:rsidP="000B0274">
      <w:r>
        <w:separator/>
      </w:r>
    </w:p>
  </w:endnote>
  <w:endnote w:type="continuationSeparator" w:id="0">
    <w:p w14:paraId="54D9039F" w14:textId="77777777" w:rsidR="007F187B" w:rsidRDefault="007F187B"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8C41" w14:textId="77777777" w:rsidR="00D3336F" w:rsidRDefault="00D33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2A9D" w14:textId="6FBD0277" w:rsidR="0065199F" w:rsidRPr="00F57148" w:rsidRDefault="0065199F" w:rsidP="009B053D">
    <w:pPr>
      <w:pStyle w:val="Footer"/>
      <w:jc w:val="right"/>
    </w:pPr>
    <w:r w:rsidRPr="006F2910">
      <w:t xml:space="preserve">Australian Sentinel Events </w:t>
    </w:r>
    <w:r>
      <w:t>L</w:t>
    </w:r>
    <w:r w:rsidRPr="006F2910">
      <w:t>ist (</w:t>
    </w:r>
    <w:r>
      <w:t>version 2)</w:t>
    </w:r>
    <w:r w:rsidRPr="006F2910">
      <w:t xml:space="preserve"> Specifications</w:t>
    </w:r>
    <w:r>
      <w:tab/>
    </w:r>
    <w:r w:rsidRPr="00F57148">
      <w:fldChar w:fldCharType="begin"/>
    </w:r>
    <w:r w:rsidRPr="00F57148">
      <w:instrText xml:space="preserve"> PAGE   \* MERGEFORMAT </w:instrText>
    </w:r>
    <w:r w:rsidRPr="00F57148">
      <w:fldChar w:fldCharType="separate"/>
    </w:r>
    <w:r w:rsidR="0050604E">
      <w:rPr>
        <w:noProof/>
      </w:rPr>
      <w:t>2</w:t>
    </w:r>
    <w:r w:rsidRPr="00F57148">
      <w:rPr>
        <w:noProof/>
      </w:rPr>
      <w:fldChar w:fldCharType="end"/>
    </w:r>
  </w:p>
  <w:p w14:paraId="42B59922" w14:textId="77777777" w:rsidR="0065199F" w:rsidRDefault="00651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821F" w14:textId="77777777" w:rsidR="00D3336F" w:rsidRDefault="00D33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1195C" w14:textId="77777777" w:rsidR="007F187B" w:rsidRDefault="007F187B" w:rsidP="000B0274">
      <w:r>
        <w:separator/>
      </w:r>
    </w:p>
  </w:footnote>
  <w:footnote w:type="continuationSeparator" w:id="0">
    <w:p w14:paraId="3D1D7801" w14:textId="77777777" w:rsidR="007F187B" w:rsidRDefault="007F187B"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E491" w14:textId="77777777" w:rsidR="00D3336F" w:rsidRDefault="00D33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8D05" w14:textId="77777777" w:rsidR="00D3336F" w:rsidRDefault="00D33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A1AC" w14:textId="77777777" w:rsidR="00D3336F" w:rsidRDefault="00D33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66F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89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9C9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8B1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EF3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B0DEBD28"/>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1A4741FB"/>
    <w:multiLevelType w:val="hybridMultilevel"/>
    <w:tmpl w:val="A31E4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2721AA"/>
    <w:multiLevelType w:val="hybridMultilevel"/>
    <w:tmpl w:val="6538841E"/>
    <w:lvl w:ilvl="0" w:tplc="E7F687F0">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21056BA5"/>
    <w:multiLevelType w:val="hybridMultilevel"/>
    <w:tmpl w:val="F38CD88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7">
      <w:start w:val="1"/>
      <w:numFmt w:val="lowerLetter"/>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34C484F"/>
    <w:multiLevelType w:val="multilevel"/>
    <w:tmpl w:val="EABE25FA"/>
    <w:numStyleLink w:val="Listbullets"/>
  </w:abstractNum>
  <w:abstractNum w:abstractNumId="21"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CF6041C"/>
    <w:multiLevelType w:val="hybridMultilevel"/>
    <w:tmpl w:val="9A9495A0"/>
    <w:lvl w:ilvl="0" w:tplc="EC0C0BEA">
      <w:start w:val="1"/>
      <w:numFmt w:val="decimal"/>
      <w:lvlText w:val="%1."/>
      <w:lvlJc w:val="left"/>
      <w:pPr>
        <w:ind w:left="2487" w:hanging="360"/>
      </w:pPr>
      <w:rPr>
        <w:rFonts w:hint="default"/>
        <w:b w:val="0"/>
      </w:rPr>
    </w:lvl>
    <w:lvl w:ilvl="1" w:tplc="0C09000F">
      <w:start w:val="1"/>
      <w:numFmt w:val="decimal"/>
      <w:lvlText w:val="%2."/>
      <w:lvlJc w:val="left"/>
      <w:pPr>
        <w:ind w:left="3207" w:hanging="360"/>
      </w:pPr>
      <w:rPr>
        <w:rFonts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3" w15:restartNumberingAfterBreak="0">
    <w:nsid w:val="3DEC4B48"/>
    <w:multiLevelType w:val="hybridMultilevel"/>
    <w:tmpl w:val="A58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3D2CE4"/>
    <w:multiLevelType w:val="hybridMultilevel"/>
    <w:tmpl w:val="E6FAA0FE"/>
    <w:lvl w:ilvl="0" w:tplc="7D1E8EE8">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C937B5C"/>
    <w:multiLevelType w:val="hybridMultilevel"/>
    <w:tmpl w:val="74569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61938"/>
    <w:multiLevelType w:val="hybridMultilevel"/>
    <w:tmpl w:val="FB442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41145E"/>
    <w:multiLevelType w:val="hybridMultilevel"/>
    <w:tmpl w:val="B4780412"/>
    <w:lvl w:ilvl="0" w:tplc="B4C20D04">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15:restartNumberingAfterBreak="0">
    <w:nsid w:val="59475358"/>
    <w:multiLevelType w:val="hybridMultilevel"/>
    <w:tmpl w:val="06F2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1168EA"/>
    <w:multiLevelType w:val="hybridMultilevel"/>
    <w:tmpl w:val="CE8EDD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auto"/>
      </w:rPr>
    </w:lvl>
    <w:lvl w:ilvl="2" w:tplc="CAC22F70">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5E4E68"/>
    <w:multiLevelType w:val="hybridMultilevel"/>
    <w:tmpl w:val="A76C62FC"/>
    <w:lvl w:ilvl="0" w:tplc="BFC206F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794773"/>
    <w:multiLevelType w:val="multilevel"/>
    <w:tmpl w:val="0C09001D"/>
    <w:numStyleLink w:val="Bullet"/>
  </w:abstractNum>
  <w:abstractNum w:abstractNumId="35" w15:restartNumberingAfterBreak="0">
    <w:nsid w:val="6D7E4C98"/>
    <w:multiLevelType w:val="multilevel"/>
    <w:tmpl w:val="5F92ECF8"/>
    <w:lvl w:ilvl="0">
      <w:start w:val="1"/>
      <w:numFmt w:val="bullet"/>
      <w:lvlText w:val="o"/>
      <w:lvlJc w:val="left"/>
      <w:pPr>
        <w:ind w:left="644" w:hanging="360"/>
      </w:pPr>
      <w:rPr>
        <w:rFonts w:ascii="Courier New" w:hAnsi="Courier New" w:cs="Courier New"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15:restartNumberingAfterBreak="0">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37" w15:restartNumberingAfterBreak="0">
    <w:nsid w:val="70732F27"/>
    <w:multiLevelType w:val="hybridMultilevel"/>
    <w:tmpl w:val="59EA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52C8F"/>
    <w:multiLevelType w:val="hybridMultilevel"/>
    <w:tmpl w:val="03CAD1AA"/>
    <w:lvl w:ilvl="0" w:tplc="07464F66">
      <w:start w:val="1"/>
      <w:numFmt w:val="lowerLetter"/>
      <w:lvlText w:val="%1)"/>
      <w:lvlJc w:val="left"/>
      <w:pPr>
        <w:ind w:left="1080" w:hanging="360"/>
      </w:pPr>
      <w:rPr>
        <w:i/>
      </w:rPr>
    </w:lvl>
    <w:lvl w:ilvl="1" w:tplc="0C090019">
      <w:start w:val="1"/>
      <w:numFmt w:val="lowerLetter"/>
      <w:lvlText w:val="%2."/>
      <w:lvlJc w:val="left"/>
      <w:pPr>
        <w:ind w:left="1800" w:hanging="360"/>
      </w:pPr>
    </w:lvl>
    <w:lvl w:ilvl="2" w:tplc="0C090017">
      <w:start w:val="1"/>
      <w:numFmt w:val="lowerLetter"/>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27661C4"/>
    <w:multiLevelType w:val="hybridMultilevel"/>
    <w:tmpl w:val="B486EB0E"/>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EB5E7E"/>
    <w:multiLevelType w:val="multilevel"/>
    <w:tmpl w:val="A65EE114"/>
    <w:lvl w:ilvl="0">
      <w:start w:val="1"/>
      <w:numFmt w:val="bullet"/>
      <w:lvlText w:val="-"/>
      <w:lvlJc w:val="left"/>
      <w:pPr>
        <w:ind w:left="644" w:hanging="360"/>
      </w:pPr>
      <w:rPr>
        <w:rFonts w:ascii="Courier New" w:hAnsi="Courier New"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79A032AB"/>
    <w:multiLevelType w:val="hybridMultilevel"/>
    <w:tmpl w:val="187A6B34"/>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9908792">
    <w:abstractNumId w:val="17"/>
  </w:num>
  <w:num w:numId="2" w16cid:durableId="1977833341">
    <w:abstractNumId w:val="31"/>
  </w:num>
  <w:num w:numId="3" w16cid:durableId="445269983">
    <w:abstractNumId w:val="11"/>
  </w:num>
  <w:num w:numId="4" w16cid:durableId="151875894">
    <w:abstractNumId w:val="10"/>
  </w:num>
  <w:num w:numId="5" w16cid:durableId="877199957">
    <w:abstractNumId w:val="20"/>
  </w:num>
  <w:num w:numId="6" w16cid:durableId="781193634">
    <w:abstractNumId w:val="14"/>
  </w:num>
  <w:num w:numId="7" w16cid:durableId="1887134445">
    <w:abstractNumId w:val="12"/>
  </w:num>
  <w:num w:numId="8" w16cid:durableId="2051489551">
    <w:abstractNumId w:val="21"/>
  </w:num>
  <w:num w:numId="9" w16cid:durableId="1007056104">
    <w:abstractNumId w:val="26"/>
  </w:num>
  <w:num w:numId="10" w16cid:durableId="71439602">
    <w:abstractNumId w:val="10"/>
  </w:num>
  <w:num w:numId="11" w16cid:durableId="1041828903">
    <w:abstractNumId w:val="36"/>
  </w:num>
  <w:num w:numId="12" w16cid:durableId="173761613">
    <w:abstractNumId w:val="24"/>
  </w:num>
  <w:num w:numId="13" w16cid:durableId="618682673">
    <w:abstractNumId w:val="34"/>
  </w:num>
  <w:num w:numId="14" w16cid:durableId="1255089432">
    <w:abstractNumId w:val="13"/>
  </w:num>
  <w:num w:numId="15" w16cid:durableId="1409034497">
    <w:abstractNumId w:val="9"/>
  </w:num>
  <w:num w:numId="16" w16cid:durableId="2130781270">
    <w:abstractNumId w:val="7"/>
  </w:num>
  <w:num w:numId="17" w16cid:durableId="1150750774">
    <w:abstractNumId w:val="6"/>
  </w:num>
  <w:num w:numId="18" w16cid:durableId="1274288686">
    <w:abstractNumId w:val="5"/>
  </w:num>
  <w:num w:numId="19" w16cid:durableId="392627950">
    <w:abstractNumId w:val="4"/>
  </w:num>
  <w:num w:numId="20" w16cid:durableId="1501851221">
    <w:abstractNumId w:val="8"/>
  </w:num>
  <w:num w:numId="21" w16cid:durableId="2112818302">
    <w:abstractNumId w:val="3"/>
  </w:num>
  <w:num w:numId="22" w16cid:durableId="1530292503">
    <w:abstractNumId w:val="2"/>
  </w:num>
  <w:num w:numId="23" w16cid:durableId="586429297">
    <w:abstractNumId w:val="1"/>
  </w:num>
  <w:num w:numId="24" w16cid:durableId="1842086028">
    <w:abstractNumId w:val="0"/>
  </w:num>
  <w:num w:numId="25" w16cid:durableId="1452555902">
    <w:abstractNumId w:val="15"/>
  </w:num>
  <w:num w:numId="26" w16cid:durableId="937444315">
    <w:abstractNumId w:val="39"/>
  </w:num>
  <w:num w:numId="27" w16cid:durableId="2017540747">
    <w:abstractNumId w:val="28"/>
  </w:num>
  <w:num w:numId="28" w16cid:durableId="872496735">
    <w:abstractNumId w:val="30"/>
  </w:num>
  <w:num w:numId="29" w16cid:durableId="280994">
    <w:abstractNumId w:val="32"/>
  </w:num>
  <w:num w:numId="30" w16cid:durableId="351808445">
    <w:abstractNumId w:val="41"/>
  </w:num>
  <w:num w:numId="31" w16cid:durableId="114101356">
    <w:abstractNumId w:val="33"/>
  </w:num>
  <w:num w:numId="32" w16cid:durableId="339433457">
    <w:abstractNumId w:val="19"/>
  </w:num>
  <w:num w:numId="33" w16cid:durableId="1208184878">
    <w:abstractNumId w:val="38"/>
  </w:num>
  <w:num w:numId="34" w16cid:durableId="1279801666">
    <w:abstractNumId w:val="23"/>
  </w:num>
  <w:num w:numId="35" w16cid:durableId="576744606">
    <w:abstractNumId w:val="22"/>
  </w:num>
  <w:num w:numId="36" w16cid:durableId="930353153">
    <w:abstractNumId w:val="16"/>
  </w:num>
  <w:num w:numId="37" w16cid:durableId="2118673010">
    <w:abstractNumId w:val="37"/>
  </w:num>
  <w:num w:numId="38" w16cid:durableId="4846647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4760798">
    <w:abstractNumId w:val="35"/>
  </w:num>
  <w:num w:numId="40" w16cid:durableId="586423065">
    <w:abstractNumId w:val="29"/>
  </w:num>
  <w:num w:numId="41" w16cid:durableId="1558054345">
    <w:abstractNumId w:val="25"/>
  </w:num>
  <w:num w:numId="42" w16cid:durableId="139812107">
    <w:abstractNumId w:val="18"/>
  </w:num>
  <w:num w:numId="43" w16cid:durableId="1266962001">
    <w:abstractNumId w:val="40"/>
  </w:num>
  <w:num w:numId="44" w16cid:durableId="2029406455">
    <w:abstractNumId w:val="27"/>
  </w:num>
  <w:num w:numId="45" w16cid:durableId="912007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Uniform Requirements V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afewfss5vsr9e0tvixevam5sps2w9r2t09&quot;&gt;EndNote_Library_SentinelEvents_UPdated&lt;record-ids&gt;&lt;item&gt;1&lt;/item&gt;&lt;item&gt;2&lt;/item&gt;&lt;item&gt;3&lt;/item&gt;&lt;item&gt;4&lt;/item&gt;&lt;item&gt;5&lt;/item&gt;&lt;item&gt;6&lt;/item&gt;&lt;item&gt;7&lt;/item&gt;&lt;item&gt;8&lt;/item&gt;&lt;item&gt;9&lt;/item&gt;&lt;item&gt;10&lt;/item&gt;&lt;item&gt;11&lt;/item&gt;&lt;item&gt;12&lt;/item&gt;&lt;item&gt;13&lt;/item&gt;&lt;item&gt;14&lt;/item&gt;&lt;/record-ids&gt;&lt;/item&gt;&lt;/Libraries&gt;"/>
  </w:docVars>
  <w:rsids>
    <w:rsidRoot w:val="00C31839"/>
    <w:rsid w:val="00003743"/>
    <w:rsid w:val="00012942"/>
    <w:rsid w:val="00020DBD"/>
    <w:rsid w:val="000406F8"/>
    <w:rsid w:val="00043671"/>
    <w:rsid w:val="00043ABB"/>
    <w:rsid w:val="00065059"/>
    <w:rsid w:val="00067456"/>
    <w:rsid w:val="00081793"/>
    <w:rsid w:val="0009065E"/>
    <w:rsid w:val="000A3F0D"/>
    <w:rsid w:val="000A49A6"/>
    <w:rsid w:val="000B0274"/>
    <w:rsid w:val="000B4BB2"/>
    <w:rsid w:val="000C1DD4"/>
    <w:rsid w:val="000C35BC"/>
    <w:rsid w:val="000C3E44"/>
    <w:rsid w:val="000C4BB3"/>
    <w:rsid w:val="000D017D"/>
    <w:rsid w:val="000E2F2E"/>
    <w:rsid w:val="000F7D6F"/>
    <w:rsid w:val="001116C6"/>
    <w:rsid w:val="00121263"/>
    <w:rsid w:val="00122771"/>
    <w:rsid w:val="00142906"/>
    <w:rsid w:val="00151E9F"/>
    <w:rsid w:val="001622AC"/>
    <w:rsid w:val="0016284D"/>
    <w:rsid w:val="00172F9E"/>
    <w:rsid w:val="00173C37"/>
    <w:rsid w:val="00182C81"/>
    <w:rsid w:val="001875FE"/>
    <w:rsid w:val="001921ED"/>
    <w:rsid w:val="00196AC8"/>
    <w:rsid w:val="001A407C"/>
    <w:rsid w:val="001B3443"/>
    <w:rsid w:val="001C1E9A"/>
    <w:rsid w:val="001E1042"/>
    <w:rsid w:val="001E2DF9"/>
    <w:rsid w:val="001E37C0"/>
    <w:rsid w:val="001E4C97"/>
    <w:rsid w:val="001E77C4"/>
    <w:rsid w:val="00210A64"/>
    <w:rsid w:val="002248C5"/>
    <w:rsid w:val="0023726A"/>
    <w:rsid w:val="00237ADF"/>
    <w:rsid w:val="00245D81"/>
    <w:rsid w:val="00250AF1"/>
    <w:rsid w:val="00255596"/>
    <w:rsid w:val="00255BB8"/>
    <w:rsid w:val="00261F43"/>
    <w:rsid w:val="002662B4"/>
    <w:rsid w:val="00266843"/>
    <w:rsid w:val="00267635"/>
    <w:rsid w:val="00280FFF"/>
    <w:rsid w:val="00281FD4"/>
    <w:rsid w:val="002A4C03"/>
    <w:rsid w:val="002A7978"/>
    <w:rsid w:val="002C458B"/>
    <w:rsid w:val="002C6AF0"/>
    <w:rsid w:val="002E467D"/>
    <w:rsid w:val="002E6A48"/>
    <w:rsid w:val="002F2872"/>
    <w:rsid w:val="002F3AE3"/>
    <w:rsid w:val="002F7E6F"/>
    <w:rsid w:val="00307380"/>
    <w:rsid w:val="0030786C"/>
    <w:rsid w:val="00312A62"/>
    <w:rsid w:val="00316683"/>
    <w:rsid w:val="003222F0"/>
    <w:rsid w:val="00342ECA"/>
    <w:rsid w:val="00355D9A"/>
    <w:rsid w:val="0037258E"/>
    <w:rsid w:val="003873C6"/>
    <w:rsid w:val="003B2784"/>
    <w:rsid w:val="003C0943"/>
    <w:rsid w:val="003C297A"/>
    <w:rsid w:val="003C7F72"/>
    <w:rsid w:val="003D17F9"/>
    <w:rsid w:val="003D379F"/>
    <w:rsid w:val="003D437B"/>
    <w:rsid w:val="003E00B5"/>
    <w:rsid w:val="003E76C8"/>
    <w:rsid w:val="003F1BA8"/>
    <w:rsid w:val="003F1E69"/>
    <w:rsid w:val="00405BAB"/>
    <w:rsid w:val="00412E9D"/>
    <w:rsid w:val="00426048"/>
    <w:rsid w:val="004347EA"/>
    <w:rsid w:val="00441BA7"/>
    <w:rsid w:val="00443DC1"/>
    <w:rsid w:val="00447D31"/>
    <w:rsid w:val="004600C8"/>
    <w:rsid w:val="00461AEB"/>
    <w:rsid w:val="00470AB8"/>
    <w:rsid w:val="004718F0"/>
    <w:rsid w:val="00474BED"/>
    <w:rsid w:val="004867E2"/>
    <w:rsid w:val="00486826"/>
    <w:rsid w:val="004A0670"/>
    <w:rsid w:val="004A5978"/>
    <w:rsid w:val="004B2999"/>
    <w:rsid w:val="004C3B3F"/>
    <w:rsid w:val="004D5360"/>
    <w:rsid w:val="004E58C1"/>
    <w:rsid w:val="004F40CB"/>
    <w:rsid w:val="004F78ED"/>
    <w:rsid w:val="0050604E"/>
    <w:rsid w:val="00517B19"/>
    <w:rsid w:val="0052107C"/>
    <w:rsid w:val="005221B7"/>
    <w:rsid w:val="00524F7E"/>
    <w:rsid w:val="00544A4E"/>
    <w:rsid w:val="00553E33"/>
    <w:rsid w:val="00562FE4"/>
    <w:rsid w:val="00564782"/>
    <w:rsid w:val="0056676D"/>
    <w:rsid w:val="00566B97"/>
    <w:rsid w:val="0059724C"/>
    <w:rsid w:val="005A6203"/>
    <w:rsid w:val="005C1496"/>
    <w:rsid w:val="005C3C3C"/>
    <w:rsid w:val="005C6AAE"/>
    <w:rsid w:val="005D3A6E"/>
    <w:rsid w:val="005D728D"/>
    <w:rsid w:val="005E2614"/>
    <w:rsid w:val="005E6C3A"/>
    <w:rsid w:val="005F15A0"/>
    <w:rsid w:val="006050F4"/>
    <w:rsid w:val="00607B0B"/>
    <w:rsid w:val="00610CDF"/>
    <w:rsid w:val="0061532B"/>
    <w:rsid w:val="00615FF6"/>
    <w:rsid w:val="006277D2"/>
    <w:rsid w:val="006317C9"/>
    <w:rsid w:val="00636008"/>
    <w:rsid w:val="00641920"/>
    <w:rsid w:val="0065199F"/>
    <w:rsid w:val="00674C73"/>
    <w:rsid w:val="00675756"/>
    <w:rsid w:val="00677359"/>
    <w:rsid w:val="006800B6"/>
    <w:rsid w:val="006803BA"/>
    <w:rsid w:val="00680999"/>
    <w:rsid w:val="00681DBA"/>
    <w:rsid w:val="006A007A"/>
    <w:rsid w:val="006A1D52"/>
    <w:rsid w:val="006D3DDF"/>
    <w:rsid w:val="006D732F"/>
    <w:rsid w:val="006E3AD4"/>
    <w:rsid w:val="006E688D"/>
    <w:rsid w:val="006E69E1"/>
    <w:rsid w:val="006F2910"/>
    <w:rsid w:val="0070279F"/>
    <w:rsid w:val="007028EC"/>
    <w:rsid w:val="00703571"/>
    <w:rsid w:val="0070703E"/>
    <w:rsid w:val="0071637F"/>
    <w:rsid w:val="0072464B"/>
    <w:rsid w:val="00732F1D"/>
    <w:rsid w:val="007360BF"/>
    <w:rsid w:val="00743BEB"/>
    <w:rsid w:val="0074615C"/>
    <w:rsid w:val="007545C7"/>
    <w:rsid w:val="0076005C"/>
    <w:rsid w:val="007635C1"/>
    <w:rsid w:val="00766B42"/>
    <w:rsid w:val="0078070C"/>
    <w:rsid w:val="00784541"/>
    <w:rsid w:val="00793E4B"/>
    <w:rsid w:val="0079416F"/>
    <w:rsid w:val="007968CC"/>
    <w:rsid w:val="00796FB7"/>
    <w:rsid w:val="007B048D"/>
    <w:rsid w:val="007B04A9"/>
    <w:rsid w:val="007B0B6A"/>
    <w:rsid w:val="007B16AC"/>
    <w:rsid w:val="007C2D48"/>
    <w:rsid w:val="007D5924"/>
    <w:rsid w:val="007E000D"/>
    <w:rsid w:val="007E3423"/>
    <w:rsid w:val="007F0331"/>
    <w:rsid w:val="007F187B"/>
    <w:rsid w:val="007F1BBF"/>
    <w:rsid w:val="00817000"/>
    <w:rsid w:val="008175C9"/>
    <w:rsid w:val="00825AD0"/>
    <w:rsid w:val="008264EB"/>
    <w:rsid w:val="00827924"/>
    <w:rsid w:val="00830756"/>
    <w:rsid w:val="008311C0"/>
    <w:rsid w:val="00845A09"/>
    <w:rsid w:val="008532F5"/>
    <w:rsid w:val="00855E83"/>
    <w:rsid w:val="008675EC"/>
    <w:rsid w:val="008929A4"/>
    <w:rsid w:val="00892CE7"/>
    <w:rsid w:val="008A58F9"/>
    <w:rsid w:val="008A6F88"/>
    <w:rsid w:val="008B18A5"/>
    <w:rsid w:val="008B3A2A"/>
    <w:rsid w:val="008C08CC"/>
    <w:rsid w:val="008D101A"/>
    <w:rsid w:val="008E0211"/>
    <w:rsid w:val="008E336C"/>
    <w:rsid w:val="008E3A1E"/>
    <w:rsid w:val="008E5D6A"/>
    <w:rsid w:val="0091137C"/>
    <w:rsid w:val="00912E7B"/>
    <w:rsid w:val="00923D28"/>
    <w:rsid w:val="0094115A"/>
    <w:rsid w:val="00941467"/>
    <w:rsid w:val="009424A5"/>
    <w:rsid w:val="0094255C"/>
    <w:rsid w:val="00954A14"/>
    <w:rsid w:val="00964277"/>
    <w:rsid w:val="009767B1"/>
    <w:rsid w:val="00977D26"/>
    <w:rsid w:val="00980B5C"/>
    <w:rsid w:val="009A007B"/>
    <w:rsid w:val="009A0955"/>
    <w:rsid w:val="009A263C"/>
    <w:rsid w:val="009B053D"/>
    <w:rsid w:val="009B2ECE"/>
    <w:rsid w:val="009B64E3"/>
    <w:rsid w:val="009C52E0"/>
    <w:rsid w:val="009E1F38"/>
    <w:rsid w:val="009E50B7"/>
    <w:rsid w:val="009E6B78"/>
    <w:rsid w:val="009F411F"/>
    <w:rsid w:val="009F5557"/>
    <w:rsid w:val="00A0554C"/>
    <w:rsid w:val="00A15082"/>
    <w:rsid w:val="00A34B91"/>
    <w:rsid w:val="00A4199A"/>
    <w:rsid w:val="00A4512D"/>
    <w:rsid w:val="00A45145"/>
    <w:rsid w:val="00A705AF"/>
    <w:rsid w:val="00A75B58"/>
    <w:rsid w:val="00A77349"/>
    <w:rsid w:val="00A931E2"/>
    <w:rsid w:val="00A93A18"/>
    <w:rsid w:val="00A964DB"/>
    <w:rsid w:val="00AA00F4"/>
    <w:rsid w:val="00AA6DC2"/>
    <w:rsid w:val="00AA7112"/>
    <w:rsid w:val="00AA7B58"/>
    <w:rsid w:val="00AB0A7C"/>
    <w:rsid w:val="00AB1978"/>
    <w:rsid w:val="00AB40AB"/>
    <w:rsid w:val="00AB5892"/>
    <w:rsid w:val="00AB6ED9"/>
    <w:rsid w:val="00AD52A0"/>
    <w:rsid w:val="00AE5170"/>
    <w:rsid w:val="00AF3578"/>
    <w:rsid w:val="00AF6154"/>
    <w:rsid w:val="00AF75AB"/>
    <w:rsid w:val="00B13D63"/>
    <w:rsid w:val="00B24DF4"/>
    <w:rsid w:val="00B25666"/>
    <w:rsid w:val="00B2665E"/>
    <w:rsid w:val="00B328AF"/>
    <w:rsid w:val="00B32DD1"/>
    <w:rsid w:val="00B3454E"/>
    <w:rsid w:val="00B3720C"/>
    <w:rsid w:val="00B41409"/>
    <w:rsid w:val="00B42851"/>
    <w:rsid w:val="00B4465D"/>
    <w:rsid w:val="00B46523"/>
    <w:rsid w:val="00B47076"/>
    <w:rsid w:val="00B56B12"/>
    <w:rsid w:val="00B56B37"/>
    <w:rsid w:val="00B6409E"/>
    <w:rsid w:val="00B65876"/>
    <w:rsid w:val="00B70B9E"/>
    <w:rsid w:val="00B9036C"/>
    <w:rsid w:val="00B95A67"/>
    <w:rsid w:val="00BA469A"/>
    <w:rsid w:val="00BA4AEE"/>
    <w:rsid w:val="00BA52CD"/>
    <w:rsid w:val="00BC07E4"/>
    <w:rsid w:val="00BF6D0D"/>
    <w:rsid w:val="00C00551"/>
    <w:rsid w:val="00C02C8A"/>
    <w:rsid w:val="00C06314"/>
    <w:rsid w:val="00C127BE"/>
    <w:rsid w:val="00C23604"/>
    <w:rsid w:val="00C31839"/>
    <w:rsid w:val="00C436EE"/>
    <w:rsid w:val="00C47544"/>
    <w:rsid w:val="00C51BE7"/>
    <w:rsid w:val="00C52050"/>
    <w:rsid w:val="00C61781"/>
    <w:rsid w:val="00C67879"/>
    <w:rsid w:val="00C82158"/>
    <w:rsid w:val="00C911AD"/>
    <w:rsid w:val="00C91FF1"/>
    <w:rsid w:val="00C93D21"/>
    <w:rsid w:val="00CB0684"/>
    <w:rsid w:val="00CB5999"/>
    <w:rsid w:val="00CB5B1A"/>
    <w:rsid w:val="00CB733F"/>
    <w:rsid w:val="00CC697B"/>
    <w:rsid w:val="00CF04F1"/>
    <w:rsid w:val="00CF0B27"/>
    <w:rsid w:val="00CF52A5"/>
    <w:rsid w:val="00D026B9"/>
    <w:rsid w:val="00D033C1"/>
    <w:rsid w:val="00D24922"/>
    <w:rsid w:val="00D3336F"/>
    <w:rsid w:val="00D42B9A"/>
    <w:rsid w:val="00D469E4"/>
    <w:rsid w:val="00D522E8"/>
    <w:rsid w:val="00D5684C"/>
    <w:rsid w:val="00D56C34"/>
    <w:rsid w:val="00D606A3"/>
    <w:rsid w:val="00D73FE2"/>
    <w:rsid w:val="00D7422C"/>
    <w:rsid w:val="00D74500"/>
    <w:rsid w:val="00D7465B"/>
    <w:rsid w:val="00D779CB"/>
    <w:rsid w:val="00D80977"/>
    <w:rsid w:val="00D942EB"/>
    <w:rsid w:val="00D94717"/>
    <w:rsid w:val="00D96327"/>
    <w:rsid w:val="00DB4D2B"/>
    <w:rsid w:val="00DB5911"/>
    <w:rsid w:val="00DB630E"/>
    <w:rsid w:val="00DC0D24"/>
    <w:rsid w:val="00DC6F74"/>
    <w:rsid w:val="00DD0CC9"/>
    <w:rsid w:val="00DD421B"/>
    <w:rsid w:val="00DD6386"/>
    <w:rsid w:val="00DE2D70"/>
    <w:rsid w:val="00DE7F7F"/>
    <w:rsid w:val="00DF5F3E"/>
    <w:rsid w:val="00E13C5C"/>
    <w:rsid w:val="00E22FE5"/>
    <w:rsid w:val="00E236C6"/>
    <w:rsid w:val="00E27470"/>
    <w:rsid w:val="00E40F95"/>
    <w:rsid w:val="00E4312B"/>
    <w:rsid w:val="00E53753"/>
    <w:rsid w:val="00E5486C"/>
    <w:rsid w:val="00E60EE1"/>
    <w:rsid w:val="00E65527"/>
    <w:rsid w:val="00E708F6"/>
    <w:rsid w:val="00E716B4"/>
    <w:rsid w:val="00E71D54"/>
    <w:rsid w:val="00E75EEA"/>
    <w:rsid w:val="00E80AA5"/>
    <w:rsid w:val="00E86B67"/>
    <w:rsid w:val="00E871A0"/>
    <w:rsid w:val="00EA30F0"/>
    <w:rsid w:val="00EA5E02"/>
    <w:rsid w:val="00EA5FD0"/>
    <w:rsid w:val="00EB1E4C"/>
    <w:rsid w:val="00ED0ECF"/>
    <w:rsid w:val="00ED75AF"/>
    <w:rsid w:val="00EE356F"/>
    <w:rsid w:val="00EE397E"/>
    <w:rsid w:val="00EE3F21"/>
    <w:rsid w:val="00EF1C95"/>
    <w:rsid w:val="00EF5C37"/>
    <w:rsid w:val="00F078B7"/>
    <w:rsid w:val="00F166D5"/>
    <w:rsid w:val="00F238F2"/>
    <w:rsid w:val="00F253A3"/>
    <w:rsid w:val="00F26B8D"/>
    <w:rsid w:val="00F27712"/>
    <w:rsid w:val="00F27845"/>
    <w:rsid w:val="00F332B3"/>
    <w:rsid w:val="00F34D63"/>
    <w:rsid w:val="00F362DC"/>
    <w:rsid w:val="00F41C35"/>
    <w:rsid w:val="00F4778C"/>
    <w:rsid w:val="00F549D7"/>
    <w:rsid w:val="00F556DB"/>
    <w:rsid w:val="00F560D5"/>
    <w:rsid w:val="00F73D95"/>
    <w:rsid w:val="00F75BDC"/>
    <w:rsid w:val="00F75DD1"/>
    <w:rsid w:val="00F83802"/>
    <w:rsid w:val="00F83BDA"/>
    <w:rsid w:val="00F87AFC"/>
    <w:rsid w:val="00F95769"/>
    <w:rsid w:val="00FA5954"/>
    <w:rsid w:val="00FB5A1F"/>
    <w:rsid w:val="00FB63DD"/>
    <w:rsid w:val="00FC7F5D"/>
    <w:rsid w:val="00FD1D79"/>
    <w:rsid w:val="00FD6F36"/>
    <w:rsid w:val="00FE5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64CC5"/>
  <w15:docId w15:val="{32641CC8-7FD3-4D4D-8613-5FE8E3A5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iPriority="0"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semiHidden="1" w:uiPriority="0"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0"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link w:val="BulletlistChar"/>
    <w:qFormat/>
    <w:rsid w:val="00544A4E"/>
    <w:pPr>
      <w:numPr>
        <w:numId w:val="14"/>
      </w:numPr>
      <w:spacing w:after="200"/>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D94717"/>
    <w:pPr>
      <w:tabs>
        <w:tab w:val="right" w:leader="dot" w:pos="9072"/>
      </w:tabs>
      <w:spacing w:before="120" w:after="120"/>
      <w:ind w:right="-142"/>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D94717"/>
    <w:pPr>
      <w:tabs>
        <w:tab w:val="left" w:pos="8902"/>
        <w:tab w:val="right" w:leader="dot" w:pos="9072"/>
      </w:tabs>
      <w:spacing w:after="0"/>
      <w:ind w:left="442" w:right="-1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character" w:customStyle="1" w:styleId="UnresolvedMention1">
    <w:name w:val="Unresolved Mention1"/>
    <w:basedOn w:val="DefaultParagraphFont"/>
    <w:uiPriority w:val="99"/>
    <w:semiHidden/>
    <w:unhideWhenUsed/>
    <w:rsid w:val="006F2910"/>
    <w:rPr>
      <w:color w:val="605E5C"/>
      <w:shd w:val="clear" w:color="auto" w:fill="E1DFDD"/>
    </w:rPr>
  </w:style>
  <w:style w:type="character" w:styleId="CommentReference">
    <w:name w:val="annotation reference"/>
    <w:basedOn w:val="DefaultParagraphFont"/>
    <w:uiPriority w:val="98"/>
    <w:semiHidden/>
    <w:unhideWhenUsed/>
    <w:locked/>
    <w:rsid w:val="00DD6386"/>
    <w:rPr>
      <w:sz w:val="16"/>
      <w:szCs w:val="16"/>
    </w:rPr>
  </w:style>
  <w:style w:type="paragraph" w:styleId="CommentText">
    <w:name w:val="annotation text"/>
    <w:basedOn w:val="Normal"/>
    <w:link w:val="CommentTextChar"/>
    <w:uiPriority w:val="98"/>
    <w:unhideWhenUsed/>
    <w:locked/>
    <w:rsid w:val="00DD6386"/>
    <w:rPr>
      <w:sz w:val="20"/>
      <w:szCs w:val="20"/>
    </w:rPr>
  </w:style>
  <w:style w:type="character" w:customStyle="1" w:styleId="CommentTextChar">
    <w:name w:val="Comment Text Char"/>
    <w:basedOn w:val="DefaultParagraphFont"/>
    <w:link w:val="CommentText"/>
    <w:uiPriority w:val="98"/>
    <w:rsid w:val="00DD6386"/>
    <w:rPr>
      <w:sz w:val="20"/>
      <w:szCs w:val="20"/>
    </w:rPr>
  </w:style>
  <w:style w:type="paragraph" w:styleId="CommentSubject">
    <w:name w:val="annotation subject"/>
    <w:basedOn w:val="CommentText"/>
    <w:next w:val="CommentText"/>
    <w:link w:val="CommentSubjectChar"/>
    <w:uiPriority w:val="98"/>
    <w:semiHidden/>
    <w:unhideWhenUsed/>
    <w:locked/>
    <w:rsid w:val="00DD6386"/>
    <w:rPr>
      <w:b/>
      <w:bCs/>
    </w:rPr>
  </w:style>
  <w:style w:type="character" w:customStyle="1" w:styleId="CommentSubjectChar">
    <w:name w:val="Comment Subject Char"/>
    <w:basedOn w:val="CommentTextChar"/>
    <w:link w:val="CommentSubject"/>
    <w:uiPriority w:val="98"/>
    <w:semiHidden/>
    <w:rsid w:val="00DD6386"/>
    <w:rPr>
      <w:b/>
      <w:bCs/>
      <w:sz w:val="20"/>
      <w:szCs w:val="20"/>
    </w:rPr>
  </w:style>
  <w:style w:type="paragraph" w:styleId="ListParagraph">
    <w:name w:val="List Paragraph"/>
    <w:basedOn w:val="Normal"/>
    <w:uiPriority w:val="34"/>
    <w:qFormat/>
    <w:locked/>
    <w:rsid w:val="00DD6386"/>
    <w:pPr>
      <w:ind w:left="720"/>
      <w:contextualSpacing/>
    </w:pPr>
  </w:style>
  <w:style w:type="character" w:styleId="IntenseReference">
    <w:name w:val="Intense Reference"/>
    <w:basedOn w:val="DefaultParagraphFont"/>
    <w:uiPriority w:val="32"/>
    <w:qFormat/>
    <w:locked/>
    <w:rsid w:val="00E5486C"/>
    <w:rPr>
      <w:b/>
      <w:bCs/>
      <w:smallCaps/>
      <w:color w:val="1178A2" w:themeColor="accent1"/>
      <w:spacing w:val="5"/>
    </w:rPr>
  </w:style>
  <w:style w:type="paragraph" w:styleId="Revision">
    <w:name w:val="Revision"/>
    <w:hidden/>
    <w:uiPriority w:val="99"/>
    <w:semiHidden/>
    <w:rsid w:val="00E5486C"/>
    <w:pPr>
      <w:spacing w:after="0"/>
    </w:pPr>
  </w:style>
  <w:style w:type="character" w:styleId="UnresolvedMention">
    <w:name w:val="Unresolved Mention"/>
    <w:basedOn w:val="DefaultParagraphFont"/>
    <w:uiPriority w:val="99"/>
    <w:semiHidden/>
    <w:unhideWhenUsed/>
    <w:rsid w:val="00AB0A7C"/>
    <w:rPr>
      <w:color w:val="605E5C"/>
      <w:shd w:val="clear" w:color="auto" w:fill="E1DFDD"/>
    </w:rPr>
  </w:style>
  <w:style w:type="paragraph" w:customStyle="1" w:styleId="EndNoteBibliographyTitle">
    <w:name w:val="EndNote Bibliography Title"/>
    <w:basedOn w:val="Normal"/>
    <w:link w:val="EndNoteBibliographyTitleChar"/>
    <w:rsid w:val="00677359"/>
    <w:pPr>
      <w:spacing w:after="0"/>
      <w:jc w:val="center"/>
    </w:pPr>
    <w:rPr>
      <w:rFonts w:ascii="Arial" w:hAnsi="Arial" w:cs="Arial"/>
      <w:noProof/>
    </w:rPr>
  </w:style>
  <w:style w:type="character" w:customStyle="1" w:styleId="BulletlistChar">
    <w:name w:val="Bullet list Char"/>
    <w:basedOn w:val="DefaultParagraphFont"/>
    <w:link w:val="Bulletlist"/>
    <w:rsid w:val="00677359"/>
    <w:rPr>
      <w:rFonts w:ascii="Arial" w:hAnsi="Arial"/>
      <w:color w:val="000000" w:themeColor="text1"/>
      <w:szCs w:val="24"/>
      <w:lang w:eastAsia="en-US"/>
    </w:rPr>
  </w:style>
  <w:style w:type="character" w:customStyle="1" w:styleId="EndNoteBibliographyTitleChar">
    <w:name w:val="EndNote Bibliography Title Char"/>
    <w:basedOn w:val="BulletlistChar"/>
    <w:link w:val="EndNoteBibliographyTitle"/>
    <w:rsid w:val="00677359"/>
    <w:rPr>
      <w:rFonts w:ascii="Arial" w:hAnsi="Arial" w:cs="Arial"/>
      <w:noProof/>
      <w:color w:val="000000" w:themeColor="text1"/>
      <w:szCs w:val="24"/>
      <w:lang w:eastAsia="en-US"/>
    </w:rPr>
  </w:style>
  <w:style w:type="paragraph" w:customStyle="1" w:styleId="EndNoteBibliography">
    <w:name w:val="EndNote Bibliography"/>
    <w:basedOn w:val="Normal"/>
    <w:link w:val="EndNoteBibliographyChar"/>
    <w:rsid w:val="00677359"/>
    <w:rPr>
      <w:rFonts w:ascii="Arial" w:hAnsi="Arial" w:cs="Arial"/>
      <w:noProof/>
    </w:rPr>
  </w:style>
  <w:style w:type="character" w:customStyle="1" w:styleId="EndNoteBibliographyChar">
    <w:name w:val="EndNote Bibliography Char"/>
    <w:basedOn w:val="BulletlistChar"/>
    <w:link w:val="EndNoteBibliography"/>
    <w:rsid w:val="00677359"/>
    <w:rPr>
      <w:rFonts w:ascii="Arial" w:hAnsi="Arial" w:cs="Arial"/>
      <w:noProof/>
      <w:color w:val="000000" w:themeColor="tex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publications-and-resources/resource-library/australian-sentinel-events-list-version-2-review-summary" TargetMode="External"/><Relationship Id="rId18" Type="http://schemas.openxmlformats.org/officeDocument/2006/relationships/hyperlink" Target="http://www.safetyandquality.gov.au/our-work/patient-identification/patient-procedure-matching-protocols/surgical-safety-checklist/" TargetMode="External"/><Relationship Id="rId26" Type="http://schemas.openxmlformats.org/officeDocument/2006/relationships/hyperlink" Target="http://www.safetyandquality.gov.au/sites/default/files/2019-05/nsqhs-standards-user-guide-for-health-services-providing-care-for-people-with-mental-health-issues_0.pdf" TargetMode="External"/><Relationship Id="rId39" Type="http://schemas.openxmlformats.org/officeDocument/2006/relationships/hyperlink" Target="https://bloodsafelearning.org.au/" TargetMode="External"/><Relationship Id="rId21" Type="http://schemas.openxmlformats.org/officeDocument/2006/relationships/hyperlink" Target="http://www.blood.gov.au/clinical-guidance/patient-blood-management" TargetMode="External"/><Relationship Id="rId34" Type="http://schemas.openxmlformats.org/officeDocument/2006/relationships/hyperlink" Target="https://www1.health.nsw.gov.au/pds/ActivePDSDocuments/GL2023_001.pdf" TargetMode="External"/><Relationship Id="rId42" Type="http://schemas.openxmlformats.org/officeDocument/2006/relationships/hyperlink" Target="https://www.safetyandquality.gov.au/sites/default/files/2019-05/nsqhs-standards-user-guide-for-health-services-providing-care-for-people-with-mental-health-issues_0.pdf" TargetMode="External"/><Relationship Id="rId47" Type="http://schemas.openxmlformats.org/officeDocument/2006/relationships/hyperlink" Target="https://www.abs.gov.au/census/guide-census-data/census-dictionary/2021/glossary/c"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munications@safetyandquality.gov.au" TargetMode="External"/><Relationship Id="rId17" Type="http://schemas.openxmlformats.org/officeDocument/2006/relationships/hyperlink" Target="http://www.safetyandquality.gov.au/standards/nsqhs-standards" TargetMode="External"/><Relationship Id="rId25" Type="http://schemas.openxmlformats.org/officeDocument/2006/relationships/hyperlink" Target="https://healthfacilityguidelines.com.au/hpu/adult-acute-mental-health-inpatient-unit-1" TargetMode="External"/><Relationship Id="rId33" Type="http://schemas.openxmlformats.org/officeDocument/2006/relationships/hyperlink" Target="https://www.safetyandquality.gov.au/standards/nsqhs-standards" TargetMode="External"/><Relationship Id="rId38" Type="http://schemas.openxmlformats.org/officeDocument/2006/relationships/hyperlink" Target="https://www.blood.gov.au/clinical-guidance/patient-blood-management" TargetMode="External"/><Relationship Id="rId46" Type="http://schemas.openxmlformats.org/officeDocument/2006/relationships/hyperlink" Target="https://www.ranzcp.org/Files/Resources/College_Statements/Position_Statements/PS-61-Minimising-the-use-of-seclusion-and-restrain.aspx" TargetMode="External"/><Relationship Id="rId2" Type="http://schemas.openxmlformats.org/officeDocument/2006/relationships/numbering" Target="numbering.xml"/><Relationship Id="rId16" Type="http://schemas.openxmlformats.org/officeDocument/2006/relationships/hyperlink" Target="https://www.safetyandquality.gov.au/our-work/patient-identification/patient-procedure-matching-protocols/surgical-safety-checklist/" TargetMode="External"/><Relationship Id="rId20" Type="http://schemas.openxmlformats.org/officeDocument/2006/relationships/hyperlink" Target="http://www.safetyandquality.gov.au/standards/nsqhs-standards/blood-management-standard" TargetMode="External"/><Relationship Id="rId29" Type="http://schemas.openxmlformats.org/officeDocument/2006/relationships/hyperlink" Target="https://www.health.gov.au/resources/publications/national-practice-standards-for-the-mental-health-workforce-2013" TargetMode="External"/><Relationship Id="rId41" Type="http://schemas.openxmlformats.org/officeDocument/2006/relationships/hyperlink" Target="https://healthfacilityguidelines.com.au/hpu/adult-acute-mental-health-inpatient-unit-1"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safetyandquality.gov.au/standards/nsqhs-standards" TargetMode="External"/><Relationship Id="rId32" Type="http://schemas.openxmlformats.org/officeDocument/2006/relationships/hyperlink" Target="https://www.safetyandquality.gov.au/standards/nsqhs-standards" TargetMode="External"/><Relationship Id="rId37" Type="http://schemas.openxmlformats.org/officeDocument/2006/relationships/hyperlink" Target="https://www.safetyandquality.gov.au/our-work/patient-identification/patient-procedure-matching-protocols/surgical-safety-checklist/" TargetMode="External"/><Relationship Id="rId40" Type="http://schemas.openxmlformats.org/officeDocument/2006/relationships/hyperlink" Target="https://www.lifeblood.com.au/sites/default/files/resource-library/2023-08/Blood-Book-ABAH_FINAL-v1.2-AUGUST-2023-SCREEN-WITH-LETTER.pdf" TargetMode="External"/><Relationship Id="rId45" Type="http://schemas.openxmlformats.org/officeDocument/2006/relationships/hyperlink" Target="https://www.health.gov.au/resources/publications/national-practice-standards-for-the-mental-health-workforce-2013"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afetyandquality.gov.au/standards/nsqhs-standards" TargetMode="External"/><Relationship Id="rId23" Type="http://schemas.openxmlformats.org/officeDocument/2006/relationships/hyperlink" Target="http://www.lifeblood.com.au/sites/default/files/resource-library/2023-08/Blood-Book-ABAH_FINAL-v1.2-AUGUST-2023-SCREEN-WITH-LETTER.pdf" TargetMode="External"/><Relationship Id="rId28" Type="http://schemas.openxmlformats.org/officeDocument/2006/relationships/hyperlink" Target="https://www.health.gov.au/resources/publications/national-standards-for-mental-health-services-2010-and-implementation-guidelines" TargetMode="External"/><Relationship Id="rId36" Type="http://schemas.openxmlformats.org/officeDocument/2006/relationships/hyperlink" Target="https://www.safetyandquality.gov.au/publications-and-resources/resource-library/national-safety-and-quality-health-service-standards-second-edition" TargetMode="External"/><Relationship Id="rId49" Type="http://schemas.openxmlformats.org/officeDocument/2006/relationships/header" Target="header1.xml"/><Relationship Id="rId10" Type="http://schemas.openxmlformats.org/officeDocument/2006/relationships/hyperlink" Target="http://creativecommons.org/licenses/by-nc-nd/4.0/" TargetMode="External"/><Relationship Id="rId19" Type="http://schemas.openxmlformats.org/officeDocument/2006/relationships/hyperlink" Target="http://www.safetyandquality.gov.au/our-work/patient-identification/patient-procedure-matching-protocols/surgical-safety-checklist/" TargetMode="External"/><Relationship Id="rId31" Type="http://schemas.openxmlformats.org/officeDocument/2006/relationships/hyperlink" Target="https://www.safetyandquality.gov.au/our-work/medication-safety/" TargetMode="External"/><Relationship Id="rId44" Type="http://schemas.openxmlformats.org/officeDocument/2006/relationships/hyperlink" Target="https://www.health.gov.au/resources/publications/national-standards-for-mental-health-services-2010-and-implementation-guidelines"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afetyandquality.gov.au" TargetMode="External"/><Relationship Id="rId14" Type="http://schemas.openxmlformats.org/officeDocument/2006/relationships/hyperlink" Target="https://www.safetyandquality.gov.au/standards/nsqhs-standards" TargetMode="External"/><Relationship Id="rId22" Type="http://schemas.openxmlformats.org/officeDocument/2006/relationships/hyperlink" Target="https://bloodsafelearning.org.au/resource-centre/links-and-resources/state-and-territory-contacts/" TargetMode="External"/><Relationship Id="rId27" Type="http://schemas.openxmlformats.org/officeDocument/2006/relationships/hyperlink" Target="http://www.lifeinmindaustralia.com.au/" TargetMode="External"/><Relationship Id="rId30" Type="http://schemas.openxmlformats.org/officeDocument/2006/relationships/hyperlink" Target="https://www.safetyandquality.gov.au/standards/nsqhs-standards" TargetMode="External"/><Relationship Id="rId35" Type="http://schemas.openxmlformats.org/officeDocument/2006/relationships/hyperlink" Target="https://www.safetyandquality.gov.au/publications-and-resources/resource-library/national-safety-and-quality-health-service-standards-first-edition" TargetMode="External"/><Relationship Id="rId43" Type="http://schemas.openxmlformats.org/officeDocument/2006/relationships/hyperlink" Target="https://lifeinmind.org.au/splash-page/docs/LIFE-framework-web.pdf" TargetMode="External"/><Relationship Id="rId48" Type="http://schemas.openxmlformats.org/officeDocument/2006/relationships/hyperlink" Target="https://www1.health.nsw.gov.au/pds/ActivePDSDocuments/GL2023_001.pdf"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7E91-F9C3-4BA3-980B-F3F0B2A5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235</TotalTime>
  <Pages>18</Pages>
  <Words>8681</Words>
  <Characters>49485</Characters>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2024-11-04T03:39:00Z</cp:lastPrinted>
  <dcterms:created xsi:type="dcterms:W3CDTF">2020-05-03T22:49:00Z</dcterms:created>
  <dcterms:modified xsi:type="dcterms:W3CDTF">2025-05-16T05:18:00Z</dcterms:modified>
</cp:coreProperties>
</file>