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D8BA" w14:textId="77777777" w:rsidR="004F688C" w:rsidRDefault="002E003F" w:rsidP="004F688C">
      <w:pPr>
        <w:pStyle w:val="FactSheetType"/>
        <w:spacing w:after="0"/>
      </w:pPr>
      <w:r w:rsidRPr="0056304B">
        <w:rPr>
          <w:b/>
          <w:bCs w:val="0"/>
        </w:rPr>
        <w:t>I</w:t>
      </w:r>
      <w:r w:rsidR="00EF6C48">
        <w:rPr>
          <w:b/>
          <w:bCs w:val="0"/>
        </w:rPr>
        <w:t>NFORMATION</w:t>
      </w:r>
      <w:r w:rsidRPr="0056304B">
        <w:br/>
      </w:r>
      <w:r w:rsidR="00842146">
        <w:t>for</w:t>
      </w:r>
      <w:r w:rsidR="00EF6C48">
        <w:t xml:space="preserve"> CMO mental</w:t>
      </w:r>
      <w:r w:rsidR="00842146">
        <w:t xml:space="preserve"> </w:t>
      </w:r>
      <w:r w:rsidR="00321AD9">
        <w:t xml:space="preserve">health </w:t>
      </w:r>
    </w:p>
    <w:p w14:paraId="439734DA" w14:textId="5C6A01A4" w:rsidR="002E003F" w:rsidRPr="00204C47" w:rsidRDefault="00EF6C48" w:rsidP="004F688C">
      <w:pPr>
        <w:pStyle w:val="FactSheetType"/>
      </w:pPr>
      <w:r>
        <w:t>service providers</w:t>
      </w:r>
    </w:p>
    <w:p w14:paraId="5D573CA2" w14:textId="77777777" w:rsidR="00E71483" w:rsidRDefault="00E71483" w:rsidP="00EF6C48">
      <w:pPr>
        <w:pStyle w:val="Title"/>
      </w:pPr>
    </w:p>
    <w:p w14:paraId="686D4FFC" w14:textId="291C3E7A" w:rsidR="00EE2564" w:rsidRDefault="00D866F4" w:rsidP="00EE2564">
      <w:pPr>
        <w:pStyle w:val="PublicationDate"/>
        <w:jc w:val="both"/>
      </w:pPr>
      <w:r>
        <w:rPr>
          <w:rFonts w:ascii="Arial" w:hAnsi="Arial" w:cs="Arial"/>
        </w:rPr>
        <w:t>J</w:t>
      </w:r>
      <w:r w:rsidR="00652633">
        <w:rPr>
          <w:rFonts w:ascii="Arial" w:hAnsi="Arial" w:cs="Arial"/>
        </w:rPr>
        <w:t>uly</w:t>
      </w:r>
      <w:r>
        <w:rPr>
          <w:rFonts w:ascii="Arial" w:hAnsi="Arial" w:cs="Arial"/>
        </w:rPr>
        <w:t xml:space="preserve"> 2025</w:t>
      </w:r>
    </w:p>
    <w:p w14:paraId="38FF34D7" w14:textId="77777777" w:rsidR="00E71483" w:rsidRDefault="00E71483" w:rsidP="00EF6C48">
      <w:pPr>
        <w:pStyle w:val="Title"/>
      </w:pPr>
    </w:p>
    <w:p w14:paraId="0889A03A" w14:textId="099BCC74" w:rsidR="00707D22" w:rsidRPr="00EE2564" w:rsidRDefault="0064008B" w:rsidP="00EF6C48">
      <w:pPr>
        <w:pStyle w:val="Title"/>
        <w:rPr>
          <w:szCs w:val="58"/>
        </w:rPr>
      </w:pPr>
      <w:r w:rsidRPr="00EE2564">
        <w:rPr>
          <w:szCs w:val="58"/>
        </w:rPr>
        <w:t>How-to Guide: s</w:t>
      </w:r>
      <w:r w:rsidR="005F1BD4" w:rsidRPr="00EE2564">
        <w:rPr>
          <w:szCs w:val="58"/>
        </w:rPr>
        <w:t>elf-assessment</w:t>
      </w:r>
      <w:r w:rsidRPr="00EE2564">
        <w:rPr>
          <w:szCs w:val="58"/>
        </w:rPr>
        <w:t xml:space="preserve"> tool</w:t>
      </w:r>
    </w:p>
    <w:p w14:paraId="76BBEDB7" w14:textId="66AE6FD2" w:rsidR="002A0511" w:rsidRDefault="002A0511" w:rsidP="002A0511">
      <w:pPr>
        <w:pStyle w:val="Subtitle"/>
        <w:spacing w:before="240"/>
        <w:rPr>
          <w:lang w:val="en-GB"/>
        </w:rPr>
      </w:pPr>
      <w:r>
        <w:rPr>
          <w:lang w:val="en-GB"/>
        </w:rPr>
        <w:t xml:space="preserve">National Safety and Quality Mental Health Standards for Community Managed </w:t>
      </w:r>
      <w:r w:rsidR="00E71483">
        <w:rPr>
          <w:lang w:val="en-GB"/>
        </w:rPr>
        <w:t>O</w:t>
      </w:r>
      <w:r>
        <w:rPr>
          <w:lang w:val="en-GB"/>
        </w:rPr>
        <w:t>rganisations (NSQMHCMO Standards)</w:t>
      </w:r>
    </w:p>
    <w:p w14:paraId="1E89F13B" w14:textId="45668F8F" w:rsidR="00E71483" w:rsidRPr="00E71483" w:rsidRDefault="00E71483" w:rsidP="00E71483">
      <w:pPr>
        <w:rPr>
          <w:lang w:val="en-GB"/>
        </w:rPr>
      </w:pPr>
    </w:p>
    <w:p w14:paraId="48BDD7F3" w14:textId="0B28FAFA" w:rsidR="00EE2564" w:rsidRDefault="00EE2564">
      <w:pPr>
        <w:spacing w:before="0" w:after="0"/>
        <w:rPr>
          <w:lang w:val="en-GB"/>
        </w:rPr>
      </w:pPr>
      <w:r>
        <w:rPr>
          <w:lang w:val="en-GB"/>
        </w:rPr>
        <w:br w:type="page"/>
      </w:r>
    </w:p>
    <w:sdt>
      <w:sdtPr>
        <w:rPr>
          <w:rFonts w:eastAsia="Times New Roman"/>
          <w:b w:val="0"/>
          <w:bCs w:val="0"/>
          <w:color w:val="auto"/>
          <w:sz w:val="22"/>
          <w:szCs w:val="22"/>
          <w:lang w:val="en-AU" w:eastAsia="en-AU"/>
        </w:rPr>
        <w:id w:val="-247662148"/>
        <w:docPartObj>
          <w:docPartGallery w:val="Table of Contents"/>
          <w:docPartUnique/>
        </w:docPartObj>
      </w:sdtPr>
      <w:sdtEndPr>
        <w:rPr>
          <w:noProof/>
        </w:rPr>
      </w:sdtEndPr>
      <w:sdtContent>
        <w:p w14:paraId="0D6A1AEF" w14:textId="34C159CC" w:rsidR="00EB0D78" w:rsidRDefault="00EB0D78">
          <w:pPr>
            <w:pStyle w:val="TOCHeading"/>
          </w:pPr>
          <w:r>
            <w:t>Contents</w:t>
          </w:r>
        </w:p>
        <w:p w14:paraId="28F02D8F" w14:textId="40DD6090" w:rsidR="00047D3F" w:rsidRDefault="00047D3F">
          <w:pPr>
            <w:pStyle w:val="TOC1"/>
            <w:tabs>
              <w:tab w:val="right" w:leader="dot" w:pos="9628"/>
            </w:tabs>
            <w:rPr>
              <w:rFonts w:asciiTheme="minorHAnsi" w:eastAsiaTheme="minorEastAsia" w:hAnsiTheme="minorHAnsi" w:cstheme="minorBidi"/>
              <w:b w:val="0"/>
              <w:bCs w:val="0"/>
              <w:noProof/>
              <w:color w:val="auto"/>
              <w:kern w:val="2"/>
              <w:szCs w:val="24"/>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90182026" w:history="1">
            <w:r w:rsidRPr="00020272">
              <w:rPr>
                <w:rStyle w:val="Hyperlink"/>
                <w:noProof/>
                <w:lang w:val="en-GB"/>
              </w:rPr>
              <w:t>The NSQMHCMO Standards</w:t>
            </w:r>
            <w:r>
              <w:rPr>
                <w:noProof/>
                <w:webHidden/>
              </w:rPr>
              <w:tab/>
            </w:r>
            <w:r>
              <w:rPr>
                <w:noProof/>
                <w:webHidden/>
              </w:rPr>
              <w:fldChar w:fldCharType="begin"/>
            </w:r>
            <w:r>
              <w:rPr>
                <w:noProof/>
                <w:webHidden/>
              </w:rPr>
              <w:instrText xml:space="preserve"> PAGEREF _Toc190182026 \h </w:instrText>
            </w:r>
            <w:r>
              <w:rPr>
                <w:noProof/>
                <w:webHidden/>
              </w:rPr>
            </w:r>
            <w:r>
              <w:rPr>
                <w:noProof/>
                <w:webHidden/>
              </w:rPr>
              <w:fldChar w:fldCharType="separate"/>
            </w:r>
            <w:r>
              <w:rPr>
                <w:noProof/>
                <w:webHidden/>
              </w:rPr>
              <w:t>3</w:t>
            </w:r>
            <w:r>
              <w:rPr>
                <w:noProof/>
                <w:webHidden/>
              </w:rPr>
              <w:fldChar w:fldCharType="end"/>
            </w:r>
          </w:hyperlink>
        </w:p>
        <w:p w14:paraId="211095A0" w14:textId="064C03AE"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27" w:history="1">
            <w:r w:rsidRPr="00020272">
              <w:rPr>
                <w:rStyle w:val="Hyperlink"/>
                <w:noProof/>
                <w:lang w:val="en-GB"/>
              </w:rPr>
              <w:t>Introduction to the self-assessment tool</w:t>
            </w:r>
            <w:r>
              <w:rPr>
                <w:noProof/>
                <w:webHidden/>
              </w:rPr>
              <w:tab/>
            </w:r>
            <w:r>
              <w:rPr>
                <w:noProof/>
                <w:webHidden/>
              </w:rPr>
              <w:fldChar w:fldCharType="begin"/>
            </w:r>
            <w:r>
              <w:rPr>
                <w:noProof/>
                <w:webHidden/>
              </w:rPr>
              <w:instrText xml:space="preserve"> PAGEREF _Toc190182027 \h </w:instrText>
            </w:r>
            <w:r>
              <w:rPr>
                <w:noProof/>
                <w:webHidden/>
              </w:rPr>
            </w:r>
            <w:r>
              <w:rPr>
                <w:noProof/>
                <w:webHidden/>
              </w:rPr>
              <w:fldChar w:fldCharType="separate"/>
            </w:r>
            <w:r>
              <w:rPr>
                <w:noProof/>
                <w:webHidden/>
              </w:rPr>
              <w:t>3</w:t>
            </w:r>
            <w:r>
              <w:rPr>
                <w:noProof/>
                <w:webHidden/>
              </w:rPr>
              <w:fldChar w:fldCharType="end"/>
            </w:r>
          </w:hyperlink>
        </w:p>
        <w:p w14:paraId="1448EA54" w14:textId="29918AF2"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28" w:history="1">
            <w:r w:rsidRPr="00020272">
              <w:rPr>
                <w:rStyle w:val="Hyperlink"/>
                <w:noProof/>
              </w:rPr>
              <w:t>Using the tool</w:t>
            </w:r>
            <w:r>
              <w:rPr>
                <w:noProof/>
                <w:webHidden/>
              </w:rPr>
              <w:tab/>
            </w:r>
            <w:r>
              <w:rPr>
                <w:noProof/>
                <w:webHidden/>
              </w:rPr>
              <w:fldChar w:fldCharType="begin"/>
            </w:r>
            <w:r>
              <w:rPr>
                <w:noProof/>
                <w:webHidden/>
              </w:rPr>
              <w:instrText xml:space="preserve"> PAGEREF _Toc190182028 \h </w:instrText>
            </w:r>
            <w:r>
              <w:rPr>
                <w:noProof/>
                <w:webHidden/>
              </w:rPr>
            </w:r>
            <w:r>
              <w:rPr>
                <w:noProof/>
                <w:webHidden/>
              </w:rPr>
              <w:fldChar w:fldCharType="separate"/>
            </w:r>
            <w:r>
              <w:rPr>
                <w:noProof/>
                <w:webHidden/>
              </w:rPr>
              <w:t>3</w:t>
            </w:r>
            <w:r>
              <w:rPr>
                <w:noProof/>
                <w:webHidden/>
              </w:rPr>
              <w:fldChar w:fldCharType="end"/>
            </w:r>
          </w:hyperlink>
        </w:p>
        <w:p w14:paraId="4C524BC4" w14:textId="205B85D0"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29" w:history="1">
            <w:r w:rsidRPr="00020272">
              <w:rPr>
                <w:rStyle w:val="Hyperlink"/>
                <w:noProof/>
              </w:rPr>
              <w:t>Overview</w:t>
            </w:r>
            <w:r>
              <w:rPr>
                <w:noProof/>
                <w:webHidden/>
              </w:rPr>
              <w:tab/>
            </w:r>
            <w:r>
              <w:rPr>
                <w:noProof/>
                <w:webHidden/>
              </w:rPr>
              <w:fldChar w:fldCharType="begin"/>
            </w:r>
            <w:r>
              <w:rPr>
                <w:noProof/>
                <w:webHidden/>
              </w:rPr>
              <w:instrText xml:space="preserve"> PAGEREF _Toc190182029 \h </w:instrText>
            </w:r>
            <w:r>
              <w:rPr>
                <w:noProof/>
                <w:webHidden/>
              </w:rPr>
            </w:r>
            <w:r>
              <w:rPr>
                <w:noProof/>
                <w:webHidden/>
              </w:rPr>
              <w:fldChar w:fldCharType="separate"/>
            </w:r>
            <w:r>
              <w:rPr>
                <w:noProof/>
                <w:webHidden/>
              </w:rPr>
              <w:t>4</w:t>
            </w:r>
            <w:r>
              <w:rPr>
                <w:noProof/>
                <w:webHidden/>
              </w:rPr>
              <w:fldChar w:fldCharType="end"/>
            </w:r>
          </w:hyperlink>
        </w:p>
        <w:p w14:paraId="0C318156" w14:textId="04D83CCE"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30" w:history="1">
            <w:r w:rsidRPr="00020272">
              <w:rPr>
                <w:rStyle w:val="Hyperlink"/>
                <w:noProof/>
              </w:rPr>
              <w:t>Printing</w:t>
            </w:r>
            <w:r>
              <w:rPr>
                <w:noProof/>
                <w:webHidden/>
              </w:rPr>
              <w:tab/>
            </w:r>
            <w:r>
              <w:rPr>
                <w:noProof/>
                <w:webHidden/>
              </w:rPr>
              <w:fldChar w:fldCharType="begin"/>
            </w:r>
            <w:r>
              <w:rPr>
                <w:noProof/>
                <w:webHidden/>
              </w:rPr>
              <w:instrText xml:space="preserve"> PAGEREF _Toc190182030 \h </w:instrText>
            </w:r>
            <w:r>
              <w:rPr>
                <w:noProof/>
                <w:webHidden/>
              </w:rPr>
            </w:r>
            <w:r>
              <w:rPr>
                <w:noProof/>
                <w:webHidden/>
              </w:rPr>
              <w:fldChar w:fldCharType="separate"/>
            </w:r>
            <w:r>
              <w:rPr>
                <w:noProof/>
                <w:webHidden/>
              </w:rPr>
              <w:t>9</w:t>
            </w:r>
            <w:r>
              <w:rPr>
                <w:noProof/>
                <w:webHidden/>
              </w:rPr>
              <w:fldChar w:fldCharType="end"/>
            </w:r>
          </w:hyperlink>
        </w:p>
        <w:p w14:paraId="623B7FA1" w14:textId="2839D278"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31" w:history="1">
            <w:r w:rsidRPr="00020272">
              <w:rPr>
                <w:rStyle w:val="Hyperlink"/>
                <w:bCs/>
                <w:noProof/>
                <w:lang w:val="en-GB"/>
              </w:rPr>
              <w:t>Things to avoid when using the self-assessment tool</w:t>
            </w:r>
            <w:r>
              <w:rPr>
                <w:noProof/>
                <w:webHidden/>
              </w:rPr>
              <w:tab/>
            </w:r>
            <w:r>
              <w:rPr>
                <w:noProof/>
                <w:webHidden/>
              </w:rPr>
              <w:fldChar w:fldCharType="begin"/>
            </w:r>
            <w:r>
              <w:rPr>
                <w:noProof/>
                <w:webHidden/>
              </w:rPr>
              <w:instrText xml:space="preserve"> PAGEREF _Toc190182031 \h </w:instrText>
            </w:r>
            <w:r>
              <w:rPr>
                <w:noProof/>
                <w:webHidden/>
              </w:rPr>
            </w:r>
            <w:r>
              <w:rPr>
                <w:noProof/>
                <w:webHidden/>
              </w:rPr>
              <w:fldChar w:fldCharType="separate"/>
            </w:r>
            <w:r>
              <w:rPr>
                <w:noProof/>
                <w:webHidden/>
              </w:rPr>
              <w:t>9</w:t>
            </w:r>
            <w:r>
              <w:rPr>
                <w:noProof/>
                <w:webHidden/>
              </w:rPr>
              <w:fldChar w:fldCharType="end"/>
            </w:r>
          </w:hyperlink>
        </w:p>
        <w:p w14:paraId="1F9C36F5" w14:textId="29A38C52" w:rsidR="00047D3F" w:rsidRDefault="00047D3F">
          <w:pPr>
            <w:pStyle w:val="TOC2"/>
            <w:rPr>
              <w:rFonts w:asciiTheme="minorHAnsi" w:eastAsiaTheme="minorEastAsia" w:hAnsiTheme="minorHAnsi" w:cstheme="minorBidi"/>
              <w:noProof/>
              <w:kern w:val="2"/>
              <w:sz w:val="24"/>
              <w:szCs w:val="24"/>
              <w14:ligatures w14:val="standardContextual"/>
            </w:rPr>
          </w:pPr>
          <w:hyperlink w:anchor="_Toc190182032" w:history="1">
            <w:r w:rsidRPr="00020272">
              <w:rPr>
                <w:rStyle w:val="Hyperlink"/>
                <w:noProof/>
              </w:rPr>
              <w:t>Further information</w:t>
            </w:r>
            <w:r>
              <w:rPr>
                <w:noProof/>
                <w:webHidden/>
              </w:rPr>
              <w:tab/>
            </w:r>
            <w:r>
              <w:rPr>
                <w:noProof/>
                <w:webHidden/>
              </w:rPr>
              <w:fldChar w:fldCharType="begin"/>
            </w:r>
            <w:r>
              <w:rPr>
                <w:noProof/>
                <w:webHidden/>
              </w:rPr>
              <w:instrText xml:space="preserve"> PAGEREF _Toc190182032 \h </w:instrText>
            </w:r>
            <w:r>
              <w:rPr>
                <w:noProof/>
                <w:webHidden/>
              </w:rPr>
            </w:r>
            <w:r>
              <w:rPr>
                <w:noProof/>
                <w:webHidden/>
              </w:rPr>
              <w:fldChar w:fldCharType="separate"/>
            </w:r>
            <w:r>
              <w:rPr>
                <w:noProof/>
                <w:webHidden/>
              </w:rPr>
              <w:t>9</w:t>
            </w:r>
            <w:r>
              <w:rPr>
                <w:noProof/>
                <w:webHidden/>
              </w:rPr>
              <w:fldChar w:fldCharType="end"/>
            </w:r>
          </w:hyperlink>
        </w:p>
        <w:p w14:paraId="3A97F4F4" w14:textId="46F504F5" w:rsidR="00EB0D78" w:rsidRDefault="00047D3F">
          <w:r>
            <w:rPr>
              <w:rFonts w:cs="Arial"/>
              <w:b/>
              <w:bCs/>
              <w:color w:val="005370"/>
              <w:sz w:val="24"/>
              <w:szCs w:val="20"/>
            </w:rPr>
            <w:fldChar w:fldCharType="end"/>
          </w:r>
        </w:p>
      </w:sdtContent>
    </w:sdt>
    <w:p w14:paraId="4A7BD1B5" w14:textId="77777777" w:rsidR="00EE2564" w:rsidRDefault="00EE2564">
      <w:pPr>
        <w:spacing w:before="0" w:after="0"/>
        <w:rPr>
          <w:rFonts w:cs="Arial"/>
          <w:b/>
          <w:bCs/>
          <w:iCs/>
          <w:color w:val="005370"/>
          <w:kern w:val="28"/>
          <w:sz w:val="32"/>
          <w:szCs w:val="28"/>
          <w:lang w:val="en-GB"/>
        </w:rPr>
      </w:pPr>
      <w:r>
        <w:rPr>
          <w:bCs/>
          <w:lang w:val="en-GB"/>
        </w:rPr>
        <w:br w:type="page"/>
      </w:r>
    </w:p>
    <w:p w14:paraId="0425E615" w14:textId="1594B37B" w:rsidR="00E71483" w:rsidRPr="00E71483" w:rsidRDefault="00047D3F" w:rsidP="00EE2564">
      <w:pPr>
        <w:pStyle w:val="Heading1"/>
        <w:rPr>
          <w:lang w:val="en-GB"/>
        </w:rPr>
      </w:pPr>
      <w:bookmarkStart w:id="0" w:name="_Toc190182026"/>
      <w:r>
        <w:rPr>
          <w:lang w:val="en-GB"/>
        </w:rPr>
        <w:lastRenderedPageBreak/>
        <w:t>The</w:t>
      </w:r>
      <w:r w:rsidR="00E71483">
        <w:rPr>
          <w:lang w:val="en-GB"/>
        </w:rPr>
        <w:t xml:space="preserve"> NSQMHCMO Standards</w:t>
      </w:r>
      <w:bookmarkEnd w:id="0"/>
    </w:p>
    <w:p w14:paraId="26EFB830" w14:textId="77777777" w:rsidR="005F1BD4" w:rsidRDefault="005F1BD4" w:rsidP="005F1BD4">
      <w:r>
        <w:t xml:space="preserve">The National Safety and Quality Mental Health Standards for Community Managed Organisations (NSQMHCMO Standards) aim to improve the quality of mental health service provision, and to protect consumers, their families and carers from harm. </w:t>
      </w:r>
    </w:p>
    <w:p w14:paraId="5579C095" w14:textId="77777777" w:rsidR="005F1BD4" w:rsidRDefault="005F1BD4" w:rsidP="005F1BD4">
      <w:r>
        <w:t>The three NSQMHCMO Standards include 82 actions related to delivery of mental health services by Community Managed Organisations (CMOs). They describe the level of care and the safeguards that a CMO should provide.</w:t>
      </w:r>
    </w:p>
    <w:p w14:paraId="3ADE0858" w14:textId="024AE28F" w:rsidR="005F1BD4" w:rsidRDefault="005F1BD4" w:rsidP="005F1BD4">
      <w:r>
        <w:t xml:space="preserve">Service providers using the NSQMHCMO Standards should have systems and processes in place to reduce the risk of harm, protect privacy and increase confidence and assurance in the quality of their mental health services. </w:t>
      </w:r>
    </w:p>
    <w:p w14:paraId="1DED0BCE" w14:textId="77777777" w:rsidR="00EB0D78" w:rsidRDefault="005F1BD4" w:rsidP="00EB0D78">
      <w:r>
        <w:t xml:space="preserve">By conducting a self-assessment, you can identify both areas where your organisation meets the standards and areas where improvement is required. </w:t>
      </w:r>
    </w:p>
    <w:p w14:paraId="03461450" w14:textId="3FC2596A" w:rsidR="00EF6C48" w:rsidRPr="00707D22" w:rsidRDefault="0064008B" w:rsidP="0063717B">
      <w:pPr>
        <w:pStyle w:val="Heading2"/>
        <w:rPr>
          <w:lang w:val="en-GB"/>
        </w:rPr>
      </w:pPr>
      <w:bookmarkStart w:id="1" w:name="_Toc190182027"/>
      <w:r>
        <w:rPr>
          <w:lang w:val="en-GB"/>
        </w:rPr>
        <w:t>Introduction to the</w:t>
      </w:r>
      <w:r w:rsidR="009037F0">
        <w:rPr>
          <w:lang w:val="en-GB"/>
        </w:rPr>
        <w:t xml:space="preserve"> self-assessment tool</w:t>
      </w:r>
      <w:bookmarkEnd w:id="1"/>
    </w:p>
    <w:p w14:paraId="66C7C180" w14:textId="41DC0E83" w:rsidR="0064008B" w:rsidRDefault="009037F0" w:rsidP="009037F0">
      <w:r>
        <w:t xml:space="preserve">The </w:t>
      </w:r>
      <w:r w:rsidR="0064008B">
        <w:t xml:space="preserve">Commission has developed the </w:t>
      </w:r>
      <w:hyperlink r:id="rId10" w:history="1">
        <w:r w:rsidRPr="009037F0">
          <w:rPr>
            <w:rStyle w:val="Hyperlink"/>
          </w:rPr>
          <w:t>self-assessment tool</w:t>
        </w:r>
      </w:hyperlink>
      <w:r>
        <w:t xml:space="preserve"> </w:t>
      </w:r>
      <w:r w:rsidR="0064008B">
        <w:t>a</w:t>
      </w:r>
      <w:r>
        <w:t xml:space="preserve">s </w:t>
      </w:r>
      <w:r w:rsidR="0064008B">
        <w:t>part of a suite of resources to assist community-managed mental health service providers to implement the NSQMHCMO Standards.</w:t>
      </w:r>
    </w:p>
    <w:p w14:paraId="13BAEF47" w14:textId="039E8947" w:rsidR="009037F0" w:rsidRDefault="0064008B" w:rsidP="009037F0">
      <w:r w:rsidRPr="0064008B">
        <w:t>The self-assessment tool is a resource that initially helps you to determine how well you meet the NSQMHCMO Standards</w:t>
      </w:r>
      <w:r>
        <w:t xml:space="preserve"> </w:t>
      </w:r>
      <w:r w:rsidRPr="0064008B">
        <w:t>and monitor progress towards full implementation. You are encouraged to review the NSQMHCMO Standards and assess and record your progress using the self-assessment tool.</w:t>
      </w:r>
    </w:p>
    <w:p w14:paraId="057A4313" w14:textId="77777777" w:rsidR="009037F0" w:rsidRDefault="009037F0" w:rsidP="009037F0">
      <w:r>
        <w:t xml:space="preserve">Each of the 82 actions in the NSQMHCMO Standards is listed in the self-assessment tool, along with reflective questions that help you to focus on the key </w:t>
      </w:r>
      <w:r>
        <w:rPr>
          <w:spacing w:val="-2"/>
        </w:rPr>
        <w:t xml:space="preserve">requirements of each action. Each of the three standards </w:t>
      </w:r>
      <w:r>
        <w:t>has its own worksheet in the self-assessment tool.</w:t>
      </w:r>
    </w:p>
    <w:p w14:paraId="7328E780" w14:textId="2FE74C72" w:rsidR="00EF6C48" w:rsidRDefault="009037F0" w:rsidP="00EF6C48">
      <w:r>
        <w:t>The tool allows you to assess and decide which, if any, actions do not apply in the type of mental health services that you provide.</w:t>
      </w:r>
    </w:p>
    <w:p w14:paraId="35A57C38" w14:textId="77777777" w:rsidR="0064008B" w:rsidRDefault="0064008B" w:rsidP="0064008B">
      <w:r>
        <w:t>The self-assessment tool allows service providers to track the progress of implementing each standard. It should be used together with the NSQMHCMO Standards and the Guide for service providers.</w:t>
      </w:r>
    </w:p>
    <w:p w14:paraId="50AE4358" w14:textId="289B4CCF" w:rsidR="0064008B" w:rsidRDefault="0064008B" w:rsidP="0064008B">
      <w:r>
        <w:t>Service providers will use the tool to:</w:t>
      </w:r>
    </w:p>
    <w:p w14:paraId="3537F8F3" w14:textId="0F0DF0D2" w:rsidR="0064008B" w:rsidRDefault="0064008B" w:rsidP="0064008B">
      <w:pPr>
        <w:pStyle w:val="ListParagraph"/>
        <w:numPr>
          <w:ilvl w:val="0"/>
          <w:numId w:val="40"/>
        </w:numPr>
      </w:pPr>
      <w:r>
        <w:t>Rate their performance against each action</w:t>
      </w:r>
    </w:p>
    <w:p w14:paraId="7DA5042C" w14:textId="46500665" w:rsidR="0064008B" w:rsidRDefault="0064008B" w:rsidP="0064008B">
      <w:pPr>
        <w:pStyle w:val="ListParagraph"/>
        <w:numPr>
          <w:ilvl w:val="0"/>
          <w:numId w:val="40"/>
        </w:numPr>
      </w:pPr>
      <w:r>
        <w:t>List examples of evidence that support the performance rating for each action</w:t>
      </w:r>
    </w:p>
    <w:p w14:paraId="79CB264E" w14:textId="2FA7894F" w:rsidR="0064008B" w:rsidRDefault="0064008B" w:rsidP="0064008B">
      <w:pPr>
        <w:pStyle w:val="ListParagraph"/>
        <w:numPr>
          <w:ilvl w:val="0"/>
          <w:numId w:val="40"/>
        </w:numPr>
      </w:pPr>
      <w:r>
        <w:t xml:space="preserve">Identify actions, or parts of actions, that are not applicable to services provided and list a rationale supporting this claim. </w:t>
      </w:r>
    </w:p>
    <w:p w14:paraId="4B28B071" w14:textId="77777777" w:rsidR="0064008B" w:rsidRDefault="0064008B" w:rsidP="0064008B">
      <w:r>
        <w:t>This guide provides step-by-step instructions for completing the self-assessment tool.</w:t>
      </w:r>
    </w:p>
    <w:p w14:paraId="7972F032" w14:textId="353F05CD" w:rsidR="0064008B" w:rsidRDefault="0064008B" w:rsidP="0064008B">
      <w:r>
        <w:t xml:space="preserve">You can download the self-assessment tool from </w:t>
      </w:r>
      <w:hyperlink r:id="rId11" w:history="1">
        <w:r w:rsidRPr="00303B06">
          <w:rPr>
            <w:rStyle w:val="Hyperlink"/>
          </w:rPr>
          <w:t>http://www.safetyandquality.gov.au/mh-cmos</w:t>
        </w:r>
      </w:hyperlink>
      <w:r w:rsidR="009E1EF0">
        <w:t>.</w:t>
      </w:r>
    </w:p>
    <w:p w14:paraId="6AECB958" w14:textId="143A53DB" w:rsidR="009037F0" w:rsidRPr="00EB0D78" w:rsidRDefault="009037F0" w:rsidP="00EB0D78">
      <w:pPr>
        <w:pStyle w:val="Heading2"/>
      </w:pPr>
      <w:bookmarkStart w:id="2" w:name="_Toc190182028"/>
      <w:r w:rsidRPr="00EB0D78">
        <w:t>Using the tool</w:t>
      </w:r>
      <w:bookmarkEnd w:id="2"/>
    </w:p>
    <w:p w14:paraId="7F2DA11F" w14:textId="77777777" w:rsidR="009037F0" w:rsidRDefault="009037F0" w:rsidP="009037F0">
      <w:r>
        <w:t xml:space="preserve">The self-assessment tool is a good place to record your plan for improvement for each applicable NSQMHCMO Standards action. It allows you to assign tasks to a specific person or team, and to set a timeframe for completing tasks. </w:t>
      </w:r>
    </w:p>
    <w:p w14:paraId="148B1EF2" w14:textId="77777777" w:rsidR="009037F0" w:rsidRDefault="009037F0" w:rsidP="009037F0">
      <w:r>
        <w:lastRenderedPageBreak/>
        <w:t xml:space="preserve">When you implement the actions, you will need to apply a risk management approach </w:t>
      </w:r>
      <w:r w:rsidRPr="003932B2">
        <w:t xml:space="preserve">(see the </w:t>
      </w:r>
      <w:r w:rsidRPr="003932B2">
        <w:rPr>
          <w:rStyle w:val="Italic"/>
        </w:rPr>
        <w:t>Using a risk management approach</w:t>
      </w:r>
      <w:r w:rsidRPr="003932B2">
        <w:t xml:space="preserve"> fact sheet</w:t>
      </w:r>
      <w:r>
        <w:t>). You can then estimate the extent to which each action is met and record these estimates as percentages in the self-assessment tool. The tool will then auto-populate the ‘performance rating’ column to match the ‘estimate of percentage complete’ for each action.</w:t>
      </w:r>
    </w:p>
    <w:p w14:paraId="382EE6FB" w14:textId="77777777" w:rsidR="009037F0" w:rsidRDefault="009037F0" w:rsidP="009037F0">
      <w:r>
        <w:t xml:space="preserve">The self-assessment tool allows you to list or link the documents, policies and reports that show your progress on the implementation of each action. The documents that are included should: </w:t>
      </w:r>
    </w:p>
    <w:p w14:paraId="7A600671" w14:textId="77777777" w:rsidR="009037F0" w:rsidRDefault="009037F0" w:rsidP="009037F0">
      <w:pPr>
        <w:pStyle w:val="ListParagraph"/>
        <w:numPr>
          <w:ilvl w:val="0"/>
          <w:numId w:val="39"/>
        </w:numPr>
      </w:pPr>
      <w:r>
        <w:t>Align with your assessed risk for that action</w:t>
      </w:r>
    </w:p>
    <w:p w14:paraId="50E42665" w14:textId="77777777" w:rsidR="009037F0" w:rsidRDefault="009037F0" w:rsidP="009037F0">
      <w:pPr>
        <w:pStyle w:val="ListParagraph"/>
        <w:numPr>
          <w:ilvl w:val="0"/>
          <w:numId w:val="39"/>
        </w:numPr>
      </w:pPr>
      <w:r>
        <w:t>Reflect the variety and types of mental health services that your organisation offers.</w:t>
      </w:r>
    </w:p>
    <w:p w14:paraId="5BA1C895" w14:textId="77777777" w:rsidR="009037F0" w:rsidRDefault="009037F0" w:rsidP="009037F0">
      <w:r>
        <w:t xml:space="preserve">The tool lists the types of documents or evidence that can demonstrate you are meeting the requirements in the standards. The list is not exhaustive, and you do not need to include all of the examples given (or any at all) if you have other examples that support your assessment. </w:t>
      </w:r>
    </w:p>
    <w:p w14:paraId="53B9CA06" w14:textId="77777777" w:rsidR="0063717B" w:rsidRDefault="0063717B" w:rsidP="009037F0"/>
    <w:p w14:paraId="4BB1E85B" w14:textId="1332B772" w:rsidR="009E1EF0" w:rsidRPr="00707D22" w:rsidRDefault="00616330" w:rsidP="009E1EF0">
      <w:pPr>
        <w:pStyle w:val="PulloutTextHead"/>
        <w:jc w:val="both"/>
      </w:pPr>
      <w:r>
        <w:t>A</w:t>
      </w:r>
      <w:r w:rsidR="009E1EF0">
        <w:t xml:space="preserve"> note on accreditation</w:t>
      </w:r>
    </w:p>
    <w:p w14:paraId="032BBA43" w14:textId="4F0CD2F9" w:rsidR="009E1EF0" w:rsidRPr="00C12706" w:rsidRDefault="009E1EF0" w:rsidP="009E1EF0">
      <w:pPr>
        <w:pStyle w:val="PulloutTextBody"/>
        <w:rPr>
          <w:color w:val="005370"/>
          <w:u w:val="single"/>
        </w:rPr>
      </w:pPr>
      <w:r>
        <w:rPr>
          <w:lang w:val="en-GB"/>
        </w:rPr>
        <w:t xml:space="preserve">Service providers must not declare that they meet the NSQMHCMO Standards until they have successfully completed an independent assessment with </w:t>
      </w:r>
      <w:r w:rsidR="0063717B">
        <w:rPr>
          <w:lang w:val="en-GB"/>
        </w:rPr>
        <w:t xml:space="preserve">an </w:t>
      </w:r>
      <w:r>
        <w:rPr>
          <w:lang w:val="en-GB"/>
        </w:rPr>
        <w:t>approved accrediting agency.</w:t>
      </w:r>
      <w:r w:rsidR="0063717B">
        <w:rPr>
          <w:lang w:val="en-GB"/>
        </w:rPr>
        <w:t xml:space="preserve"> Contact details of Commission approved accrediting agencies are located </w:t>
      </w:r>
      <w:hyperlink r:id="rId12" w:anchor="approved-accrediting-agencies" w:history="1">
        <w:r w:rsidR="0063717B" w:rsidRPr="0063717B">
          <w:rPr>
            <w:rStyle w:val="Hyperlink"/>
            <w:lang w:val="en-GB"/>
          </w:rPr>
          <w:t>here</w:t>
        </w:r>
      </w:hyperlink>
      <w:r w:rsidR="0063717B">
        <w:rPr>
          <w:lang w:val="en-GB"/>
        </w:rPr>
        <w:t>.</w:t>
      </w:r>
    </w:p>
    <w:p w14:paraId="5055DAD6" w14:textId="0D6459B3" w:rsidR="00E71483" w:rsidRPr="00EB0D78" w:rsidRDefault="00E71483" w:rsidP="00EB0D78">
      <w:pPr>
        <w:pStyle w:val="Heading2"/>
      </w:pPr>
      <w:bookmarkStart w:id="3" w:name="_Toc190182029"/>
      <w:r w:rsidRPr="00EB0D78">
        <w:t>Overview</w:t>
      </w:r>
      <w:bookmarkEnd w:id="3"/>
    </w:p>
    <w:p w14:paraId="5585C50E" w14:textId="1249DC78" w:rsidR="00E71483" w:rsidRDefault="00E71483" w:rsidP="00E71483">
      <w:pPr>
        <w:rPr>
          <w:lang w:val="en-GB"/>
        </w:rPr>
      </w:pPr>
      <w:r>
        <w:rPr>
          <w:lang w:val="en-GB"/>
        </w:rPr>
        <w:t>There is a worksheet for each of the three NSQMHCMO Standards:</w:t>
      </w:r>
    </w:p>
    <w:p w14:paraId="6250CD2B" w14:textId="77777777" w:rsidR="00E71483" w:rsidRDefault="00E71483" w:rsidP="00E71483">
      <w:pPr>
        <w:pStyle w:val="ListParagraph"/>
        <w:numPr>
          <w:ilvl w:val="0"/>
          <w:numId w:val="41"/>
        </w:numPr>
        <w:rPr>
          <w:lang w:val="en-GB"/>
        </w:rPr>
      </w:pPr>
      <w:r>
        <w:rPr>
          <w:lang w:val="en-GB"/>
        </w:rPr>
        <w:t>Practice Governance</w:t>
      </w:r>
    </w:p>
    <w:p w14:paraId="120F4AC6" w14:textId="1F964138" w:rsidR="00E71483" w:rsidRPr="00E71483" w:rsidRDefault="00E71483" w:rsidP="00E71483">
      <w:pPr>
        <w:pStyle w:val="ListParagraph"/>
        <w:numPr>
          <w:ilvl w:val="0"/>
          <w:numId w:val="41"/>
        </w:numPr>
        <w:rPr>
          <w:lang w:val="en-GB"/>
        </w:rPr>
      </w:pPr>
      <w:r w:rsidRPr="00292429">
        <w:t>Partnering</w:t>
      </w:r>
      <w:r w:rsidRPr="00E71483">
        <w:rPr>
          <w:spacing w:val="-7"/>
        </w:rPr>
        <w:t xml:space="preserve"> </w:t>
      </w:r>
      <w:r w:rsidRPr="00292429">
        <w:t>with</w:t>
      </w:r>
      <w:r w:rsidRPr="00E71483">
        <w:rPr>
          <w:spacing w:val="-5"/>
        </w:rPr>
        <w:t xml:space="preserve"> </w:t>
      </w:r>
      <w:r w:rsidRPr="00E71483">
        <w:rPr>
          <w:spacing w:val="-2"/>
        </w:rPr>
        <w:t>Consumers, Families and Carers</w:t>
      </w:r>
    </w:p>
    <w:p w14:paraId="7ED1A1E2" w14:textId="50DBE3EE" w:rsidR="00E71483" w:rsidRPr="00E71483" w:rsidRDefault="00E71483" w:rsidP="00E71483">
      <w:pPr>
        <w:pStyle w:val="ListParagraph"/>
        <w:numPr>
          <w:ilvl w:val="0"/>
          <w:numId w:val="41"/>
        </w:numPr>
        <w:rPr>
          <w:lang w:val="en-GB"/>
        </w:rPr>
      </w:pPr>
      <w:r w:rsidRPr="00292429">
        <w:t>Model</w:t>
      </w:r>
      <w:r w:rsidRPr="00292429">
        <w:rPr>
          <w:spacing w:val="-4"/>
        </w:rPr>
        <w:t xml:space="preserve"> </w:t>
      </w:r>
      <w:r w:rsidRPr="00292429">
        <w:t>of</w:t>
      </w:r>
      <w:r w:rsidRPr="00292429">
        <w:rPr>
          <w:spacing w:val="-1"/>
        </w:rPr>
        <w:t xml:space="preserve"> </w:t>
      </w:r>
      <w:r w:rsidRPr="00292429">
        <w:rPr>
          <w:spacing w:val="-4"/>
        </w:rPr>
        <w:t>Care</w:t>
      </w:r>
      <w:r>
        <w:rPr>
          <w:spacing w:val="-4"/>
        </w:rPr>
        <w:t>.</w:t>
      </w:r>
    </w:p>
    <w:p w14:paraId="2666114A" w14:textId="2F17204C" w:rsidR="00E71483" w:rsidRPr="00E71483" w:rsidRDefault="00E71483" w:rsidP="00E71483">
      <w:pPr>
        <w:rPr>
          <w:lang w:val="en-GB"/>
        </w:rPr>
      </w:pPr>
      <w:r>
        <w:rPr>
          <w:lang w:val="en-GB"/>
        </w:rPr>
        <w:t>The worksheet includes columns</w:t>
      </w:r>
      <w:r w:rsidRPr="00E71483">
        <w:t xml:space="preserve"> </w:t>
      </w:r>
      <w:r w:rsidRPr="00E71483">
        <w:rPr>
          <w:lang w:val="en-GB"/>
        </w:rPr>
        <w:t>for the actions, reflective questions, examples of evidence, performance rating, estimate of percentage complete, action plan or comments, responsible person or area, due date and priority rating.</w:t>
      </w:r>
    </w:p>
    <w:p w14:paraId="5FFCA599" w14:textId="0D7281B4" w:rsidR="00E71483" w:rsidRDefault="00E71483" w:rsidP="00E71483">
      <w:pPr>
        <w:rPr>
          <w:lang w:val="en-GB"/>
        </w:rPr>
      </w:pPr>
      <w:r w:rsidRPr="00E71483">
        <w:rPr>
          <w:lang w:val="en-GB"/>
        </w:rPr>
        <w:t xml:space="preserve">There is a row for each action in the NSQMHCMO Standards. </w:t>
      </w:r>
      <w:r w:rsidRPr="00E71483">
        <w:rPr>
          <w:b/>
          <w:bCs/>
          <w:lang w:val="en-GB"/>
        </w:rPr>
        <w:t>Actions (columns A and B)</w:t>
      </w:r>
      <w:r w:rsidRPr="00E71483">
        <w:rPr>
          <w:lang w:val="en-GB"/>
        </w:rPr>
        <w:t xml:space="preserve"> list action number</w:t>
      </w:r>
      <w:r>
        <w:rPr>
          <w:lang w:val="en-GB"/>
        </w:rPr>
        <w:t>s</w:t>
      </w:r>
      <w:r w:rsidRPr="00E71483">
        <w:rPr>
          <w:lang w:val="en-GB"/>
        </w:rPr>
        <w:t xml:space="preserve"> and requirements.</w:t>
      </w:r>
      <w:r>
        <w:rPr>
          <w:lang w:val="en-GB"/>
        </w:rPr>
        <w:t xml:space="preserve"> </w:t>
      </w:r>
    </w:p>
    <w:p w14:paraId="3DAD3A6C" w14:textId="73A62842" w:rsidR="00E71483" w:rsidRDefault="005951CF" w:rsidP="00E71483">
      <w:pPr>
        <w:rPr>
          <w:lang w:val="en-GB"/>
        </w:rPr>
      </w:pPr>
      <w:r>
        <w:rPr>
          <w:b/>
          <w:bCs/>
          <w:lang w:val="en-GB"/>
        </w:rPr>
        <w:t>Image</w:t>
      </w:r>
      <w:r w:rsidR="00E71483" w:rsidRPr="00E71483">
        <w:rPr>
          <w:b/>
          <w:bCs/>
          <w:lang w:val="en-GB"/>
        </w:rPr>
        <w:t xml:space="preserve"> 1</w:t>
      </w:r>
      <w:r w:rsidR="00E71483" w:rsidRPr="00E71483">
        <w:rPr>
          <w:lang w:val="en-GB"/>
        </w:rPr>
        <w:t xml:space="preserve"> shows the worksheet for the Practice Governance Standard:</w:t>
      </w:r>
    </w:p>
    <w:p w14:paraId="69998076" w14:textId="40E22C2E" w:rsidR="00E71483" w:rsidRPr="00E71483" w:rsidRDefault="00E71483" w:rsidP="00E71483">
      <w:pPr>
        <w:rPr>
          <w:lang w:val="en-GB"/>
        </w:rPr>
      </w:pPr>
      <w:r>
        <w:rPr>
          <w:noProof/>
        </w:rPr>
        <w:lastRenderedPageBreak/>
        <w:drawing>
          <wp:inline distT="0" distB="0" distL="0" distR="0" wp14:anchorId="3FC5BE39" wp14:editId="274BBBB6">
            <wp:extent cx="6120130" cy="3323236"/>
            <wp:effectExtent l="0" t="0" r="0" b="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3"/>
                    <a:stretch>
                      <a:fillRect/>
                    </a:stretch>
                  </pic:blipFill>
                  <pic:spPr>
                    <a:xfrm>
                      <a:off x="0" y="0"/>
                      <a:ext cx="6120130" cy="3323236"/>
                    </a:xfrm>
                    <a:prstGeom prst="rect">
                      <a:avLst/>
                    </a:prstGeom>
                  </pic:spPr>
                </pic:pic>
              </a:graphicData>
            </a:graphic>
          </wp:inline>
        </w:drawing>
      </w:r>
    </w:p>
    <w:p w14:paraId="607DACAA" w14:textId="70EF992C" w:rsidR="00E71483" w:rsidRPr="005951CF" w:rsidRDefault="005951CF" w:rsidP="00EF6C48">
      <w:pPr>
        <w:rPr>
          <w:b/>
          <w:bCs/>
          <w:sz w:val="20"/>
          <w:szCs w:val="20"/>
        </w:rPr>
      </w:pPr>
      <w:r w:rsidRPr="005951CF">
        <w:rPr>
          <w:b/>
          <w:bCs/>
          <w:sz w:val="20"/>
          <w:szCs w:val="20"/>
        </w:rPr>
        <w:t>Image</w:t>
      </w:r>
      <w:r w:rsidR="00E71483" w:rsidRPr="005951CF">
        <w:rPr>
          <w:b/>
          <w:bCs/>
          <w:sz w:val="20"/>
          <w:szCs w:val="20"/>
        </w:rPr>
        <w:t xml:space="preserve"> 1</w:t>
      </w:r>
      <w:r w:rsidRPr="005951CF">
        <w:rPr>
          <w:b/>
          <w:bCs/>
          <w:sz w:val="20"/>
          <w:szCs w:val="20"/>
        </w:rPr>
        <w:t>: Practice Governance Standard worksheet</w:t>
      </w:r>
    </w:p>
    <w:p w14:paraId="44B085A5" w14:textId="3A2C372A" w:rsidR="00E71483" w:rsidRPr="00EB0D78" w:rsidRDefault="00303D4E" w:rsidP="00EB0D78">
      <w:pPr>
        <w:pStyle w:val="Heading3"/>
      </w:pPr>
      <w:r w:rsidRPr="00EB0D78">
        <w:t>Listing your examples of evidence</w:t>
      </w:r>
    </w:p>
    <w:p w14:paraId="04BEB26B" w14:textId="770F5CEB" w:rsidR="000D1722" w:rsidRPr="00707D22" w:rsidRDefault="000D1722" w:rsidP="000D1722">
      <w:pPr>
        <w:pStyle w:val="Heading4"/>
        <w:rPr>
          <w:lang w:val="en-GB"/>
        </w:rPr>
      </w:pPr>
      <w:bookmarkStart w:id="4" w:name="_Hlk180761595"/>
      <w:r>
        <w:rPr>
          <w:lang w:val="en-GB"/>
        </w:rPr>
        <w:t>Reflective questions</w:t>
      </w:r>
    </w:p>
    <w:bookmarkEnd w:id="4"/>
    <w:p w14:paraId="17692359" w14:textId="77777777" w:rsidR="00303D4E" w:rsidRPr="00303D4E" w:rsidRDefault="00303D4E" w:rsidP="00303D4E">
      <w:pPr>
        <w:rPr>
          <w:lang w:val="en-GB"/>
        </w:rPr>
      </w:pPr>
      <w:r w:rsidRPr="000D1722">
        <w:rPr>
          <w:lang w:val="en-GB"/>
        </w:rPr>
        <w:t xml:space="preserve">Reflective questions </w:t>
      </w:r>
      <w:r w:rsidRPr="000D1722">
        <w:rPr>
          <w:b/>
          <w:bCs/>
          <w:lang w:val="en-GB"/>
        </w:rPr>
        <w:t>(column C)</w:t>
      </w:r>
      <w:r w:rsidRPr="00303D4E">
        <w:rPr>
          <w:b/>
          <w:bCs/>
          <w:lang w:val="en-GB"/>
        </w:rPr>
        <w:t xml:space="preserve"> </w:t>
      </w:r>
      <w:r w:rsidRPr="00303D4E">
        <w:rPr>
          <w:lang w:val="en-GB"/>
        </w:rPr>
        <w:t>assist in helping you consider the intent of the action.</w:t>
      </w:r>
    </w:p>
    <w:p w14:paraId="377DBBA3" w14:textId="77777777" w:rsidR="00303D4E" w:rsidRDefault="00303D4E" w:rsidP="00303D4E">
      <w:pPr>
        <w:rPr>
          <w:lang w:val="en-GB"/>
        </w:rPr>
      </w:pPr>
      <w:r w:rsidRPr="00303D4E">
        <w:rPr>
          <w:lang w:val="en-GB"/>
        </w:rPr>
        <w:t>If you are familiar with the purpose of the action, you may choose to hide this column by clicking on the Hide Button located above column D. The button looks like a minus sign. If the column is hidden and you need it displayed, click on the Show Button located above column D. The button looks like a plus sign.</w:t>
      </w:r>
    </w:p>
    <w:p w14:paraId="012CBF83" w14:textId="2B299C0E" w:rsidR="000D1722" w:rsidRPr="00707D22" w:rsidRDefault="000D1722" w:rsidP="000D1722">
      <w:pPr>
        <w:pStyle w:val="Heading4"/>
        <w:rPr>
          <w:lang w:val="en-GB"/>
        </w:rPr>
      </w:pPr>
      <w:r>
        <w:rPr>
          <w:lang w:val="en-GB"/>
        </w:rPr>
        <w:t>Examples of evidence</w:t>
      </w:r>
    </w:p>
    <w:p w14:paraId="6D943FCB" w14:textId="77777777" w:rsidR="00303D4E" w:rsidRPr="00303D4E" w:rsidRDefault="00303D4E" w:rsidP="00303D4E">
      <w:pPr>
        <w:rPr>
          <w:lang w:val="en-GB"/>
        </w:rPr>
      </w:pPr>
      <w:r w:rsidRPr="000D1722">
        <w:rPr>
          <w:lang w:val="en-GB"/>
        </w:rPr>
        <w:t>Examples of evidence</w:t>
      </w:r>
      <w:r w:rsidRPr="00303D4E">
        <w:rPr>
          <w:b/>
          <w:bCs/>
          <w:lang w:val="en-GB"/>
        </w:rPr>
        <w:t xml:space="preserve"> (column D)</w:t>
      </w:r>
      <w:r w:rsidRPr="00303D4E">
        <w:rPr>
          <w:lang w:val="en-GB"/>
        </w:rPr>
        <w:t xml:space="preserve"> are given as a guide only. You do not need to produce </w:t>
      </w:r>
      <w:proofErr w:type="gramStart"/>
      <w:r w:rsidRPr="00303D4E">
        <w:rPr>
          <w:lang w:val="en-GB"/>
        </w:rPr>
        <w:t>all of</w:t>
      </w:r>
      <w:proofErr w:type="gramEnd"/>
      <w:r w:rsidRPr="00303D4E">
        <w:rPr>
          <w:lang w:val="en-GB"/>
        </w:rPr>
        <w:t xml:space="preserve"> the examples of evidence listed: you can produce one, some or none if you have other forms of evidence that demonstrates conformance with the action.</w:t>
      </w:r>
    </w:p>
    <w:p w14:paraId="72D5E016" w14:textId="02B8C087" w:rsidR="000D1722" w:rsidRPr="00707D22" w:rsidRDefault="000D1722" w:rsidP="000D1722">
      <w:pPr>
        <w:pStyle w:val="Heading4"/>
        <w:rPr>
          <w:lang w:val="en-GB"/>
        </w:rPr>
      </w:pPr>
      <w:r>
        <w:rPr>
          <w:lang w:val="en-GB"/>
        </w:rPr>
        <w:t xml:space="preserve">Link to evidence </w:t>
      </w:r>
    </w:p>
    <w:p w14:paraId="6B6037F1" w14:textId="1B82D2D6" w:rsidR="00303D4E" w:rsidRPr="00303D4E" w:rsidRDefault="00303D4E" w:rsidP="00303D4E">
      <w:pPr>
        <w:rPr>
          <w:lang w:val="en-GB"/>
        </w:rPr>
      </w:pPr>
      <w:r w:rsidRPr="000D1722">
        <w:rPr>
          <w:lang w:val="en-GB"/>
        </w:rPr>
        <w:t>Link to evidence</w:t>
      </w:r>
      <w:r w:rsidRPr="00303D4E">
        <w:rPr>
          <w:b/>
          <w:bCs/>
          <w:lang w:val="en-GB"/>
        </w:rPr>
        <w:t xml:space="preserve"> (column E)</w:t>
      </w:r>
      <w:r w:rsidRPr="00303D4E">
        <w:rPr>
          <w:lang w:val="en-GB"/>
        </w:rPr>
        <w:t xml:space="preserve"> lists hyperlinks to the evidence list worksheet. Hyperlink cells are shaded with a </w:t>
      </w:r>
      <w:r w:rsidR="00D82979" w:rsidRPr="00303D4E">
        <w:rPr>
          <w:lang w:val="en-GB"/>
        </w:rPr>
        <w:t>pale-yellow</w:t>
      </w:r>
      <w:r w:rsidRPr="00303D4E">
        <w:rPr>
          <w:lang w:val="en-GB"/>
        </w:rPr>
        <w:t xml:space="preserve"> colour.</w:t>
      </w:r>
    </w:p>
    <w:p w14:paraId="654F19A6" w14:textId="77777777" w:rsidR="00303D4E" w:rsidRPr="00303D4E" w:rsidRDefault="00303D4E" w:rsidP="00303D4E">
      <w:pPr>
        <w:rPr>
          <w:lang w:val="en-GB"/>
        </w:rPr>
      </w:pPr>
      <w:r w:rsidRPr="00303D4E">
        <w:rPr>
          <w:lang w:val="en-GB"/>
        </w:rPr>
        <w:t>Use the hyperlinks in column E to navigate to the corresponding evidence list worksheet (e.g., Gov-EL). The evidence list worksheet has the following columns:</w:t>
      </w:r>
    </w:p>
    <w:p w14:paraId="2117EF84" w14:textId="3A76CE75" w:rsidR="00303D4E" w:rsidRDefault="00303D4E" w:rsidP="00303D4E">
      <w:pPr>
        <w:pStyle w:val="ListParagraph"/>
        <w:numPr>
          <w:ilvl w:val="0"/>
          <w:numId w:val="43"/>
        </w:numPr>
        <w:rPr>
          <w:lang w:val="en-GB"/>
        </w:rPr>
      </w:pPr>
      <w:r w:rsidRPr="000D1722">
        <w:rPr>
          <w:i/>
          <w:iCs/>
          <w:lang w:val="en-GB"/>
        </w:rPr>
        <w:t>No</w:t>
      </w:r>
      <w:r w:rsidRPr="00303D4E">
        <w:rPr>
          <w:lang w:val="en-GB"/>
        </w:rPr>
        <w:t xml:space="preserve">. (column B) </w:t>
      </w:r>
      <w:r w:rsidR="00D82979">
        <w:rPr>
          <w:lang w:val="en-GB"/>
        </w:rPr>
        <w:t xml:space="preserve">- </w:t>
      </w:r>
      <w:r w:rsidRPr="00303D4E">
        <w:rPr>
          <w:lang w:val="en-GB"/>
        </w:rPr>
        <w:t xml:space="preserve">lists the action numbers, which are hyperlinks to the </w:t>
      </w:r>
      <w:r w:rsidR="00D82979">
        <w:rPr>
          <w:lang w:val="en-GB"/>
        </w:rPr>
        <w:t>respective S</w:t>
      </w:r>
      <w:r w:rsidRPr="00303D4E">
        <w:rPr>
          <w:lang w:val="en-GB"/>
        </w:rPr>
        <w:t xml:space="preserve">tandard worksheet. Hyperlink cells are shaded with a </w:t>
      </w:r>
      <w:r w:rsidR="00D82979" w:rsidRPr="00303D4E">
        <w:rPr>
          <w:lang w:val="en-GB"/>
        </w:rPr>
        <w:t>pale-yellow</w:t>
      </w:r>
      <w:r w:rsidRPr="00303D4E">
        <w:rPr>
          <w:lang w:val="en-GB"/>
        </w:rPr>
        <w:t xml:space="preserve"> colour</w:t>
      </w:r>
    </w:p>
    <w:p w14:paraId="6311BC6F" w14:textId="77777777" w:rsidR="00D82979" w:rsidRDefault="00303D4E" w:rsidP="00D82979">
      <w:pPr>
        <w:pStyle w:val="ListParagraph"/>
        <w:numPr>
          <w:ilvl w:val="0"/>
          <w:numId w:val="43"/>
        </w:numPr>
        <w:rPr>
          <w:lang w:val="en-GB"/>
        </w:rPr>
      </w:pPr>
      <w:r w:rsidRPr="000D1722">
        <w:rPr>
          <w:i/>
          <w:iCs/>
          <w:lang w:val="en-GB"/>
        </w:rPr>
        <w:t>Evidence</w:t>
      </w:r>
      <w:r w:rsidRPr="00303D4E">
        <w:rPr>
          <w:lang w:val="en-GB"/>
        </w:rPr>
        <w:t xml:space="preserve"> (column C) </w:t>
      </w:r>
      <w:r w:rsidR="00D82979">
        <w:rPr>
          <w:lang w:val="en-GB"/>
        </w:rPr>
        <w:t>-</w:t>
      </w:r>
      <w:r w:rsidRPr="00303D4E">
        <w:rPr>
          <w:lang w:val="en-GB"/>
        </w:rPr>
        <w:t xml:space="preserve"> a free text column to list evidence</w:t>
      </w:r>
    </w:p>
    <w:p w14:paraId="24FCABB2" w14:textId="7356C6B3" w:rsidR="00303D4E" w:rsidRPr="00D82979" w:rsidRDefault="00303D4E" w:rsidP="00D82979">
      <w:pPr>
        <w:pStyle w:val="ListParagraph"/>
        <w:numPr>
          <w:ilvl w:val="0"/>
          <w:numId w:val="43"/>
        </w:numPr>
        <w:rPr>
          <w:lang w:val="en-GB"/>
        </w:rPr>
      </w:pPr>
      <w:r w:rsidRPr="00D82979">
        <w:rPr>
          <w:i/>
          <w:iCs/>
          <w:lang w:val="en-GB"/>
        </w:rPr>
        <w:t>Comments</w:t>
      </w:r>
      <w:r w:rsidRPr="00D82979">
        <w:rPr>
          <w:lang w:val="en-GB"/>
        </w:rPr>
        <w:t xml:space="preserve"> (column D) </w:t>
      </w:r>
      <w:r w:rsidR="00D82979" w:rsidRPr="00D82979">
        <w:rPr>
          <w:lang w:val="en-GB"/>
        </w:rPr>
        <w:t>-</w:t>
      </w:r>
      <w:r w:rsidRPr="00D82979">
        <w:rPr>
          <w:lang w:val="en-GB"/>
        </w:rPr>
        <w:t xml:space="preserve"> a free text column to list additional information about the evidence, such as validity dates, or status and location of a document.</w:t>
      </w:r>
    </w:p>
    <w:p w14:paraId="553D87AF" w14:textId="06628EBB" w:rsidR="00D82979" w:rsidRPr="00616330" w:rsidRDefault="00D82979" w:rsidP="00D82979">
      <w:pPr>
        <w:rPr>
          <w:i/>
          <w:iCs/>
          <w:lang w:val="en-GB"/>
        </w:rPr>
      </w:pPr>
      <w:r>
        <w:rPr>
          <w:lang w:val="en-GB"/>
        </w:rPr>
        <w:lastRenderedPageBreak/>
        <w:t>E</w:t>
      </w:r>
      <w:r w:rsidR="00303D4E" w:rsidRPr="00303D4E">
        <w:rPr>
          <w:lang w:val="en-GB"/>
        </w:rPr>
        <w:t xml:space="preserve">vidence </w:t>
      </w:r>
      <w:r>
        <w:rPr>
          <w:lang w:val="en-GB"/>
        </w:rPr>
        <w:t xml:space="preserve">can be listed </w:t>
      </w:r>
      <w:r w:rsidR="00303D4E" w:rsidRPr="00303D4E">
        <w:rPr>
          <w:lang w:val="en-GB"/>
        </w:rPr>
        <w:t>in separate rows</w:t>
      </w:r>
      <w:r>
        <w:rPr>
          <w:lang w:val="en-GB"/>
        </w:rPr>
        <w:t xml:space="preserve"> and more</w:t>
      </w:r>
      <w:r w:rsidR="00303D4E" w:rsidRPr="00303D4E">
        <w:rPr>
          <w:lang w:val="en-GB"/>
        </w:rPr>
        <w:t xml:space="preserve"> rows </w:t>
      </w:r>
      <w:r>
        <w:rPr>
          <w:lang w:val="en-GB"/>
        </w:rPr>
        <w:t xml:space="preserve">can be added, </w:t>
      </w:r>
      <w:r w:rsidR="00303D4E" w:rsidRPr="00303D4E">
        <w:rPr>
          <w:lang w:val="en-GB"/>
        </w:rPr>
        <w:t>if needed. To do this</w:t>
      </w:r>
      <w:r>
        <w:rPr>
          <w:lang w:val="en-GB"/>
        </w:rPr>
        <w:t xml:space="preserve"> </w:t>
      </w:r>
      <w:r w:rsidR="00303D4E" w:rsidRPr="00D82979">
        <w:rPr>
          <w:lang w:val="en-GB"/>
        </w:rPr>
        <w:t xml:space="preserve">select the row/s below where you want the </w:t>
      </w:r>
      <w:r>
        <w:rPr>
          <w:lang w:val="en-GB"/>
        </w:rPr>
        <w:t>additional</w:t>
      </w:r>
      <w:r w:rsidR="00303D4E" w:rsidRPr="00D82979">
        <w:rPr>
          <w:lang w:val="en-GB"/>
        </w:rPr>
        <w:t xml:space="preserve"> row/s to appear, right click on your mouse and </w:t>
      </w:r>
      <w:r w:rsidR="00303D4E" w:rsidRPr="00616330">
        <w:rPr>
          <w:lang w:val="en-GB"/>
        </w:rPr>
        <w:t>selec</w:t>
      </w:r>
      <w:r w:rsidR="00616330">
        <w:rPr>
          <w:lang w:val="en-GB"/>
        </w:rPr>
        <w:t xml:space="preserve">t </w:t>
      </w:r>
      <w:r w:rsidR="00616330" w:rsidRPr="00616330">
        <w:rPr>
          <w:i/>
          <w:iCs/>
          <w:lang w:val="en-GB"/>
        </w:rPr>
        <w:t>‘Insert’.</w:t>
      </w:r>
    </w:p>
    <w:p w14:paraId="23CF4581" w14:textId="5B9F3D01" w:rsidR="00303D4E" w:rsidRPr="00D82979" w:rsidRDefault="00303D4E" w:rsidP="00D82979">
      <w:pPr>
        <w:rPr>
          <w:lang w:val="en-GB"/>
        </w:rPr>
      </w:pPr>
      <w:r w:rsidRPr="00616330">
        <w:rPr>
          <w:lang w:val="en-GB"/>
        </w:rPr>
        <w:t>To remove rows that are no longer required, select the relevant row/s right click on the mouse and sele</w:t>
      </w:r>
      <w:r w:rsidR="00616330">
        <w:rPr>
          <w:lang w:val="en-GB"/>
        </w:rPr>
        <w:t xml:space="preserve">ct </w:t>
      </w:r>
      <w:r w:rsidR="00616330" w:rsidRPr="00B051EB">
        <w:rPr>
          <w:i/>
          <w:iCs/>
          <w:lang w:val="en-GB"/>
        </w:rPr>
        <w:t>‘De</w:t>
      </w:r>
      <w:r w:rsidR="00B051EB" w:rsidRPr="00B051EB">
        <w:rPr>
          <w:i/>
          <w:iCs/>
          <w:lang w:val="en-GB"/>
        </w:rPr>
        <w:t>le</w:t>
      </w:r>
      <w:r w:rsidR="00616330" w:rsidRPr="00B051EB">
        <w:rPr>
          <w:i/>
          <w:iCs/>
          <w:lang w:val="en-GB"/>
        </w:rPr>
        <w:t>t</w:t>
      </w:r>
      <w:r w:rsidR="00B051EB" w:rsidRPr="00B051EB">
        <w:rPr>
          <w:i/>
          <w:iCs/>
          <w:lang w:val="en-GB"/>
        </w:rPr>
        <w:t>e</w:t>
      </w:r>
      <w:r w:rsidR="00616330" w:rsidRPr="00B051EB">
        <w:rPr>
          <w:i/>
          <w:iCs/>
          <w:lang w:val="en-GB"/>
        </w:rPr>
        <w:t>’.</w:t>
      </w:r>
    </w:p>
    <w:p w14:paraId="74B161C4" w14:textId="02FE5A2B" w:rsidR="000D1722" w:rsidRPr="00707D22" w:rsidRDefault="000D1722" w:rsidP="000D1722">
      <w:pPr>
        <w:pStyle w:val="Heading4"/>
        <w:rPr>
          <w:lang w:val="en-GB"/>
        </w:rPr>
      </w:pPr>
      <w:r>
        <w:rPr>
          <w:lang w:val="en-GB"/>
        </w:rPr>
        <w:t>Add a hyperlink</w:t>
      </w:r>
    </w:p>
    <w:p w14:paraId="11D7B1B4" w14:textId="61BD5A24" w:rsidR="000D1722" w:rsidRPr="000D1722" w:rsidRDefault="000D1722" w:rsidP="000D1722">
      <w:pPr>
        <w:rPr>
          <w:lang w:val="en-GB"/>
        </w:rPr>
      </w:pPr>
      <w:r w:rsidRPr="000D1722">
        <w:rPr>
          <w:lang w:val="en-GB"/>
        </w:rPr>
        <w:t>If you want to provide a hyperlink for one of your examples of evidence, select the relevant cell, right click on your mouse and select</w:t>
      </w:r>
      <w:r w:rsidR="00B051EB">
        <w:rPr>
          <w:lang w:val="en-GB"/>
        </w:rPr>
        <w:t xml:space="preserve"> the </w:t>
      </w:r>
      <w:r w:rsidR="00B051EB" w:rsidRPr="00B051EB">
        <w:rPr>
          <w:i/>
          <w:iCs/>
          <w:lang w:val="en-GB"/>
        </w:rPr>
        <w:t xml:space="preserve">‘Link’ </w:t>
      </w:r>
      <w:r w:rsidR="00B051EB">
        <w:rPr>
          <w:lang w:val="en-GB"/>
        </w:rPr>
        <w:t>function</w:t>
      </w:r>
      <w:r w:rsidRPr="000D1722">
        <w:rPr>
          <w:lang w:val="en-GB"/>
        </w:rPr>
        <w:t xml:space="preserve">. </w:t>
      </w:r>
      <w:r w:rsidR="00B051EB">
        <w:rPr>
          <w:lang w:val="en-GB"/>
        </w:rPr>
        <w:t xml:space="preserve">A dialogue box titled </w:t>
      </w:r>
      <w:r w:rsidR="00B051EB" w:rsidRPr="00B051EB">
        <w:rPr>
          <w:lang w:val="en-GB"/>
        </w:rPr>
        <w:t xml:space="preserve">‘Insert Hyperlink’ </w:t>
      </w:r>
      <w:r w:rsidR="00B051EB">
        <w:rPr>
          <w:lang w:val="en-GB"/>
        </w:rPr>
        <w:t>will open, n</w:t>
      </w:r>
      <w:r w:rsidRPr="000D1722">
        <w:rPr>
          <w:lang w:val="en-GB"/>
        </w:rPr>
        <w:t>avigate and select the relevant document you want to link to.</w:t>
      </w:r>
    </w:p>
    <w:p w14:paraId="513C9B7E" w14:textId="77777777" w:rsidR="00B051EB" w:rsidRDefault="000D1722" w:rsidP="000D1722">
      <w:pPr>
        <w:rPr>
          <w:lang w:val="en-GB"/>
        </w:rPr>
      </w:pPr>
      <w:r w:rsidRPr="000D1722">
        <w:rPr>
          <w:lang w:val="en-GB"/>
        </w:rPr>
        <w:t xml:space="preserve">Notice that the contents of your cell have changed to a blue-coloured font to show that is now a hyperlink. Click on the hyperlink to open the linked file. </w:t>
      </w:r>
    </w:p>
    <w:p w14:paraId="1081D1F5" w14:textId="660F4D71" w:rsidR="00303D4E" w:rsidRDefault="000D1722" w:rsidP="000D1722">
      <w:pPr>
        <w:rPr>
          <w:lang w:val="en-GB"/>
        </w:rPr>
      </w:pPr>
      <w:r w:rsidRPr="000D1722">
        <w:rPr>
          <w:lang w:val="en-GB"/>
        </w:rPr>
        <w:t xml:space="preserve">You can also hyperlink to a web page, such as your organisation's intranet page. In the </w:t>
      </w:r>
      <w:r w:rsidR="00B051EB">
        <w:rPr>
          <w:lang w:val="en-GB"/>
        </w:rPr>
        <w:t>‘</w:t>
      </w:r>
      <w:r w:rsidRPr="000D1722">
        <w:rPr>
          <w:lang w:val="en-GB"/>
        </w:rPr>
        <w:t>Insert Hyperlink</w:t>
      </w:r>
      <w:r w:rsidR="00B051EB">
        <w:rPr>
          <w:lang w:val="en-GB"/>
        </w:rPr>
        <w:t>’</w:t>
      </w:r>
      <w:r w:rsidRPr="000D1722">
        <w:rPr>
          <w:lang w:val="en-GB"/>
        </w:rPr>
        <w:t xml:space="preserve"> </w:t>
      </w:r>
      <w:r w:rsidR="00B051EB">
        <w:rPr>
          <w:lang w:val="en-GB"/>
        </w:rPr>
        <w:t>d</w:t>
      </w:r>
      <w:r w:rsidRPr="000D1722">
        <w:rPr>
          <w:lang w:val="en-GB"/>
        </w:rPr>
        <w:t xml:space="preserve">ialogue </w:t>
      </w:r>
      <w:r w:rsidR="00B051EB">
        <w:rPr>
          <w:lang w:val="en-GB"/>
        </w:rPr>
        <w:t>b</w:t>
      </w:r>
      <w:r w:rsidRPr="000D1722">
        <w:rPr>
          <w:lang w:val="en-GB"/>
        </w:rPr>
        <w:t xml:space="preserve">ox, enter the web address in the </w:t>
      </w:r>
      <w:r w:rsidR="00B051EB">
        <w:rPr>
          <w:lang w:val="en-GB"/>
        </w:rPr>
        <w:t>‘</w:t>
      </w:r>
      <w:r w:rsidRPr="000D1722">
        <w:rPr>
          <w:lang w:val="en-GB"/>
        </w:rPr>
        <w:t>Address</w:t>
      </w:r>
      <w:r w:rsidR="00B051EB">
        <w:rPr>
          <w:lang w:val="en-GB"/>
        </w:rPr>
        <w:t>’</w:t>
      </w:r>
      <w:r w:rsidRPr="000D1722">
        <w:rPr>
          <w:lang w:val="en-GB"/>
        </w:rPr>
        <w:t xml:space="preserve"> </w:t>
      </w:r>
      <w:r w:rsidR="00B051EB">
        <w:rPr>
          <w:lang w:val="en-GB"/>
        </w:rPr>
        <w:t>f</w:t>
      </w:r>
      <w:r w:rsidRPr="000D1722">
        <w:rPr>
          <w:lang w:val="en-GB"/>
        </w:rPr>
        <w:t>ield located at the bottom of the dialogue box.</w:t>
      </w:r>
    </w:p>
    <w:p w14:paraId="5A177B81" w14:textId="1C174E78" w:rsidR="00303D4E" w:rsidRPr="00EB0D78" w:rsidRDefault="00303D4E" w:rsidP="00EB0D78">
      <w:pPr>
        <w:pStyle w:val="Heading3"/>
      </w:pPr>
      <w:r w:rsidRPr="00EB0D78">
        <w:t xml:space="preserve">Rate your performance </w:t>
      </w:r>
    </w:p>
    <w:p w14:paraId="019362F3" w14:textId="76C6502B" w:rsidR="00D82979" w:rsidRPr="00707D22" w:rsidRDefault="00D82979" w:rsidP="00D82979">
      <w:pPr>
        <w:pStyle w:val="Heading4"/>
        <w:rPr>
          <w:lang w:val="en-GB"/>
        </w:rPr>
      </w:pPr>
      <w:r>
        <w:rPr>
          <w:lang w:val="en-GB"/>
        </w:rPr>
        <w:t>How do you rate your performance</w:t>
      </w:r>
    </w:p>
    <w:p w14:paraId="4C196FA3" w14:textId="77777777" w:rsidR="00D82979" w:rsidRPr="00D82979" w:rsidRDefault="00D82979" w:rsidP="00D82979">
      <w:r w:rsidRPr="00D82979">
        <w:t xml:space="preserve">How do you rate your performance </w:t>
      </w:r>
      <w:r w:rsidRPr="00D82979">
        <w:rPr>
          <w:b/>
          <w:bCs/>
        </w:rPr>
        <w:t>(column F)</w:t>
      </w:r>
      <w:r w:rsidRPr="00D82979">
        <w:t xml:space="preserve"> requires you to rate the performance of your services in meeting the requirements of each action. The available evidence should assist you with determining the ratings in this column.</w:t>
      </w:r>
    </w:p>
    <w:p w14:paraId="06DCA812" w14:textId="7CEE3E06" w:rsidR="00D82979" w:rsidRDefault="00D82979" w:rsidP="00D82979">
      <w:pPr>
        <w:rPr>
          <w:i/>
          <w:iCs/>
        </w:rPr>
      </w:pPr>
      <w:r w:rsidRPr="00D82979">
        <w:t xml:space="preserve">Use the drop-down list for the relevant cell in column F to choose the applicable rating for each action (see </w:t>
      </w:r>
      <w:r w:rsidR="005951CF" w:rsidRPr="005951CF">
        <w:t>Images</w:t>
      </w:r>
      <w:r w:rsidRPr="005951CF">
        <w:t xml:space="preserve"> 2 and 3</w:t>
      </w:r>
      <w:r w:rsidRPr="00D82979">
        <w:rPr>
          <w:i/>
          <w:iCs/>
        </w:rPr>
        <w:t>).</w:t>
      </w:r>
    </w:p>
    <w:p w14:paraId="0C70C6C5" w14:textId="77777777" w:rsidR="00492779" w:rsidRDefault="00492779" w:rsidP="00D82979">
      <w:pPr>
        <w:rPr>
          <w:i/>
          <w:iCs/>
        </w:rPr>
      </w:pPr>
    </w:p>
    <w:p w14:paraId="71DBA13C" w14:textId="2228105C" w:rsidR="00492779" w:rsidRPr="005951CF" w:rsidRDefault="00492779" w:rsidP="00492779">
      <w:pPr>
        <w:rPr>
          <w:rFonts w:cs="Arial"/>
          <w:b/>
          <w:bCs/>
          <w:sz w:val="20"/>
          <w:szCs w:val="20"/>
        </w:rPr>
      </w:pPr>
      <w:r w:rsidRPr="005951CF">
        <w:rPr>
          <w:rFonts w:cs="Arial"/>
          <w:b/>
          <w:bCs/>
          <w:noProof/>
          <w:sz w:val="20"/>
          <w:szCs w:val="20"/>
        </w:rPr>
        <w:drawing>
          <wp:inline distT="0" distB="0" distL="0" distR="0" wp14:anchorId="3F62AB9A" wp14:editId="4C8543E3">
            <wp:extent cx="1828800" cy="2999232"/>
            <wp:effectExtent l="0" t="0" r="0" b="0"/>
            <wp:docPr id="15" name="Picture 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 screen&#10;&#10;Description automatically generated"/>
                    <pic:cNvPicPr/>
                  </pic:nvPicPr>
                  <pic:blipFill>
                    <a:blip r:embed="rId14"/>
                    <a:stretch>
                      <a:fillRect/>
                    </a:stretch>
                  </pic:blipFill>
                  <pic:spPr>
                    <a:xfrm>
                      <a:off x="0" y="0"/>
                      <a:ext cx="1848783" cy="3032003"/>
                    </a:xfrm>
                    <a:prstGeom prst="rect">
                      <a:avLst/>
                    </a:prstGeom>
                  </pic:spPr>
                </pic:pic>
              </a:graphicData>
            </a:graphic>
          </wp:inline>
        </w:drawing>
      </w:r>
      <w:r w:rsidRPr="005951CF">
        <w:rPr>
          <w:rFonts w:cs="Arial"/>
          <w:b/>
          <w:bCs/>
          <w:noProof/>
          <w:sz w:val="20"/>
          <w:szCs w:val="20"/>
        </w:rPr>
        <w:t xml:space="preserve"> </w:t>
      </w:r>
      <w:r w:rsidR="005951CF" w:rsidRPr="005951CF">
        <w:rPr>
          <w:rFonts w:cs="Arial"/>
          <w:b/>
          <w:bCs/>
          <w:noProof/>
          <w:sz w:val="20"/>
          <w:szCs w:val="20"/>
        </w:rPr>
        <w:t>Image</w:t>
      </w:r>
      <w:r w:rsidRPr="005951CF">
        <w:rPr>
          <w:rFonts w:cs="Arial"/>
          <w:b/>
          <w:bCs/>
          <w:noProof/>
          <w:sz w:val="20"/>
          <w:szCs w:val="20"/>
        </w:rPr>
        <w:t xml:space="preserve"> 2</w:t>
      </w:r>
      <w:r w:rsidRPr="005951CF">
        <w:rPr>
          <w:rFonts w:cs="Arial"/>
          <w:b/>
          <w:bCs/>
          <w:noProof/>
          <w:sz w:val="20"/>
          <w:szCs w:val="20"/>
        </w:rPr>
        <w:tab/>
      </w:r>
      <w:r w:rsidR="005951CF" w:rsidRPr="005951CF">
        <w:rPr>
          <w:rFonts w:cs="Arial"/>
          <w:b/>
          <w:bCs/>
          <w:noProof/>
          <w:sz w:val="20"/>
          <w:szCs w:val="20"/>
        </w:rPr>
        <w:tab/>
      </w:r>
      <w:r w:rsidRPr="005951CF">
        <w:rPr>
          <w:rFonts w:cs="Arial"/>
          <w:b/>
          <w:bCs/>
          <w:noProof/>
          <w:sz w:val="20"/>
          <w:szCs w:val="20"/>
        </w:rPr>
        <w:t xml:space="preserve"> </w:t>
      </w:r>
      <w:r w:rsidRPr="005951CF">
        <w:rPr>
          <w:rFonts w:cs="Arial"/>
          <w:b/>
          <w:bCs/>
          <w:noProof/>
          <w:sz w:val="20"/>
          <w:szCs w:val="20"/>
        </w:rPr>
        <w:drawing>
          <wp:inline distT="0" distB="0" distL="0" distR="0" wp14:anchorId="5E4EF4B7" wp14:editId="28936731">
            <wp:extent cx="1793578" cy="3005455"/>
            <wp:effectExtent l="0" t="0" r="0" b="4445"/>
            <wp:docPr id="793380625" name="Picture 7933806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5"/>
                    <a:stretch>
                      <a:fillRect/>
                    </a:stretch>
                  </pic:blipFill>
                  <pic:spPr>
                    <a:xfrm>
                      <a:off x="0" y="0"/>
                      <a:ext cx="1813113" cy="3038189"/>
                    </a:xfrm>
                    <a:prstGeom prst="rect">
                      <a:avLst/>
                    </a:prstGeom>
                  </pic:spPr>
                </pic:pic>
              </a:graphicData>
            </a:graphic>
          </wp:inline>
        </w:drawing>
      </w:r>
      <w:r w:rsidR="005951CF" w:rsidRPr="005951CF">
        <w:rPr>
          <w:rFonts w:cs="Arial"/>
          <w:b/>
          <w:bCs/>
          <w:noProof/>
          <w:sz w:val="20"/>
          <w:szCs w:val="20"/>
        </w:rPr>
        <w:t>Image</w:t>
      </w:r>
      <w:r w:rsidRPr="005951CF">
        <w:rPr>
          <w:rFonts w:cs="Arial"/>
          <w:b/>
          <w:bCs/>
          <w:noProof/>
          <w:sz w:val="20"/>
          <w:szCs w:val="20"/>
        </w:rPr>
        <w:t xml:space="preserve"> 3</w:t>
      </w:r>
    </w:p>
    <w:p w14:paraId="7E29C1C5" w14:textId="741AD166" w:rsidR="00D82979" w:rsidRPr="00707D22" w:rsidRDefault="00D82979" w:rsidP="00D82979">
      <w:pPr>
        <w:pStyle w:val="Heading4"/>
        <w:rPr>
          <w:lang w:val="en-GB"/>
        </w:rPr>
      </w:pPr>
      <w:r>
        <w:rPr>
          <w:lang w:val="en-GB"/>
        </w:rPr>
        <w:lastRenderedPageBreak/>
        <w:t>Estimate of percentage complete</w:t>
      </w:r>
    </w:p>
    <w:p w14:paraId="5A286493" w14:textId="1A89ADA5" w:rsidR="00D82979" w:rsidRDefault="00D82979" w:rsidP="00D82979">
      <w:r w:rsidRPr="00D82979">
        <w:t xml:space="preserve">Estimate of percentage complete </w:t>
      </w:r>
      <w:r w:rsidRPr="00D82979">
        <w:rPr>
          <w:b/>
          <w:bCs/>
        </w:rPr>
        <w:t>(column G)</w:t>
      </w:r>
      <w:r w:rsidRPr="00D82979">
        <w:t xml:space="preserve"> </w:t>
      </w:r>
      <w:r>
        <w:t xml:space="preserve">is </w:t>
      </w:r>
      <w:r w:rsidRPr="00D82979">
        <w:t>a percentage</w:t>
      </w:r>
      <w:r>
        <w:t xml:space="preserve"> which</w:t>
      </w:r>
      <w:r w:rsidRPr="00D82979">
        <w:t xml:space="preserve"> should appear automatically when you enter a rating in column F (see </w:t>
      </w:r>
      <w:r w:rsidR="005951CF" w:rsidRPr="000368D0">
        <w:t>Images</w:t>
      </w:r>
      <w:r w:rsidRPr="000368D0">
        <w:t xml:space="preserve"> 4 and 5</w:t>
      </w:r>
      <w:r w:rsidRPr="00D82979">
        <w:t>).</w:t>
      </w:r>
    </w:p>
    <w:p w14:paraId="49DCF141" w14:textId="77777777" w:rsidR="00D82979" w:rsidRDefault="00D82979" w:rsidP="008722B0">
      <w:pPr>
        <w:pStyle w:val="ListParagraph"/>
        <w:numPr>
          <w:ilvl w:val="0"/>
          <w:numId w:val="47"/>
        </w:numPr>
      </w:pPr>
      <w:r w:rsidRPr="00D82979">
        <w:t>Met – 100%</w:t>
      </w:r>
    </w:p>
    <w:p w14:paraId="1EE9B5B3" w14:textId="77777777" w:rsidR="00D82979" w:rsidRDefault="00D82979" w:rsidP="008722B0">
      <w:pPr>
        <w:pStyle w:val="ListParagraph"/>
        <w:numPr>
          <w:ilvl w:val="0"/>
          <w:numId w:val="47"/>
        </w:numPr>
      </w:pPr>
      <w:r w:rsidRPr="00D82979">
        <w:t>Mostly met with some exceptions – 80%</w:t>
      </w:r>
    </w:p>
    <w:p w14:paraId="23A58880" w14:textId="77777777" w:rsidR="00D82979" w:rsidRDefault="00D82979" w:rsidP="008722B0">
      <w:pPr>
        <w:pStyle w:val="ListParagraph"/>
        <w:numPr>
          <w:ilvl w:val="0"/>
          <w:numId w:val="47"/>
        </w:numPr>
      </w:pPr>
      <w:r w:rsidRPr="00D82979">
        <w:t>Partially met – 50%</w:t>
      </w:r>
    </w:p>
    <w:p w14:paraId="68985E07" w14:textId="77777777" w:rsidR="00D82979" w:rsidRDefault="00D82979" w:rsidP="008722B0">
      <w:pPr>
        <w:pStyle w:val="ListParagraph"/>
        <w:numPr>
          <w:ilvl w:val="0"/>
          <w:numId w:val="47"/>
        </w:numPr>
      </w:pPr>
      <w:r w:rsidRPr="00D82979">
        <w:t>Substantially not met – 20%</w:t>
      </w:r>
    </w:p>
    <w:p w14:paraId="5E497F96" w14:textId="1518844E" w:rsidR="00E71483" w:rsidRDefault="00D82979" w:rsidP="008722B0">
      <w:pPr>
        <w:pStyle w:val="ListParagraph"/>
        <w:numPr>
          <w:ilvl w:val="0"/>
          <w:numId w:val="47"/>
        </w:numPr>
      </w:pPr>
      <w:r w:rsidRPr="00D82979">
        <w:t>Not applicable – N/A.</w:t>
      </w:r>
    </w:p>
    <w:p w14:paraId="0193BC85" w14:textId="3FE10ABC" w:rsidR="00506876" w:rsidRDefault="00D82979" w:rsidP="00D82979">
      <w:r w:rsidRPr="00D82979">
        <w:t>NB: do not delete the percentage is this column as this will clear the formula. Changing the rating in column F should automatically update the percentage.</w:t>
      </w:r>
    </w:p>
    <w:p w14:paraId="27209295" w14:textId="77777777" w:rsidR="000368D0" w:rsidRDefault="000368D0" w:rsidP="00D82979"/>
    <w:p w14:paraId="6808692F" w14:textId="1EDAB052" w:rsidR="000368D0" w:rsidRPr="005951CF" w:rsidRDefault="000368D0" w:rsidP="000368D0">
      <w:pPr>
        <w:rPr>
          <w:rFonts w:cs="Arial"/>
          <w:b/>
          <w:bCs/>
          <w:sz w:val="20"/>
          <w:szCs w:val="20"/>
        </w:rPr>
      </w:pPr>
      <w:r>
        <w:rPr>
          <w:noProof/>
        </w:rPr>
        <w:drawing>
          <wp:inline distT="0" distB="0" distL="0" distR="0" wp14:anchorId="6C0E6585" wp14:editId="10449D86">
            <wp:extent cx="2155264" cy="2343266"/>
            <wp:effectExtent l="0" t="0" r="0" b="0"/>
            <wp:docPr id="1730653915" name="Picture 17306539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pic:cNvPicPr/>
                  </pic:nvPicPr>
                  <pic:blipFill>
                    <a:blip r:embed="rId16"/>
                    <a:stretch>
                      <a:fillRect/>
                    </a:stretch>
                  </pic:blipFill>
                  <pic:spPr>
                    <a:xfrm>
                      <a:off x="0" y="0"/>
                      <a:ext cx="2222495" cy="2416362"/>
                    </a:xfrm>
                    <a:prstGeom prst="rect">
                      <a:avLst/>
                    </a:prstGeom>
                  </pic:spPr>
                </pic:pic>
              </a:graphicData>
            </a:graphic>
          </wp:inline>
        </w:drawing>
      </w:r>
      <w:r w:rsidRPr="005951CF">
        <w:rPr>
          <w:rFonts w:cs="Arial"/>
          <w:b/>
          <w:bCs/>
          <w:noProof/>
          <w:sz w:val="20"/>
          <w:szCs w:val="20"/>
        </w:rPr>
        <w:t xml:space="preserve"> Image </w:t>
      </w:r>
      <w:r>
        <w:rPr>
          <w:rFonts w:cs="Arial"/>
          <w:b/>
          <w:bCs/>
          <w:noProof/>
          <w:sz w:val="20"/>
          <w:szCs w:val="20"/>
        </w:rPr>
        <w:t>4</w:t>
      </w:r>
      <w:r w:rsidRPr="005951CF">
        <w:rPr>
          <w:rFonts w:cs="Arial"/>
          <w:b/>
          <w:bCs/>
          <w:noProof/>
          <w:sz w:val="20"/>
          <w:szCs w:val="20"/>
        </w:rPr>
        <w:tab/>
      </w:r>
      <w:r w:rsidRPr="005951CF">
        <w:rPr>
          <w:rFonts w:cs="Arial"/>
          <w:b/>
          <w:bCs/>
          <w:noProof/>
          <w:sz w:val="20"/>
          <w:szCs w:val="20"/>
        </w:rPr>
        <w:tab/>
        <w:t xml:space="preserve"> </w:t>
      </w:r>
      <w:r w:rsidRPr="005951CF">
        <w:rPr>
          <w:b/>
          <w:bCs/>
          <w:noProof/>
          <w:sz w:val="20"/>
          <w:szCs w:val="20"/>
        </w:rPr>
        <w:drawing>
          <wp:inline distT="0" distB="0" distL="0" distR="0" wp14:anchorId="0BB78163" wp14:editId="6F0B481F">
            <wp:extent cx="2095500" cy="2358868"/>
            <wp:effectExtent l="0" t="0" r="0" b="3810"/>
            <wp:docPr id="1255614019" name="Picture 12556140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pic:nvPicPr>
                  <pic:blipFill>
                    <a:blip r:embed="rId17"/>
                    <a:stretch>
                      <a:fillRect/>
                    </a:stretch>
                  </pic:blipFill>
                  <pic:spPr>
                    <a:xfrm>
                      <a:off x="0" y="0"/>
                      <a:ext cx="2104534" cy="2369037"/>
                    </a:xfrm>
                    <a:prstGeom prst="rect">
                      <a:avLst/>
                    </a:prstGeom>
                  </pic:spPr>
                </pic:pic>
              </a:graphicData>
            </a:graphic>
          </wp:inline>
        </w:drawing>
      </w:r>
      <w:r>
        <w:rPr>
          <w:rFonts w:cs="Arial"/>
          <w:b/>
          <w:bCs/>
          <w:noProof/>
          <w:sz w:val="20"/>
          <w:szCs w:val="20"/>
        </w:rPr>
        <w:t xml:space="preserve"> </w:t>
      </w:r>
      <w:r w:rsidRPr="005951CF">
        <w:rPr>
          <w:rFonts w:cs="Arial"/>
          <w:b/>
          <w:bCs/>
          <w:noProof/>
          <w:sz w:val="20"/>
          <w:szCs w:val="20"/>
        </w:rPr>
        <w:t xml:space="preserve">Image </w:t>
      </w:r>
      <w:r>
        <w:rPr>
          <w:rFonts w:cs="Arial"/>
          <w:b/>
          <w:bCs/>
          <w:noProof/>
          <w:sz w:val="20"/>
          <w:szCs w:val="20"/>
        </w:rPr>
        <w:t>5</w:t>
      </w:r>
    </w:p>
    <w:p w14:paraId="79FDB252" w14:textId="77777777" w:rsidR="00506876" w:rsidRDefault="00506876" w:rsidP="00D82979"/>
    <w:p w14:paraId="28E4E9C4" w14:textId="679E853E" w:rsidR="00506876" w:rsidRDefault="00506876" w:rsidP="00506876">
      <w:pPr>
        <w:pStyle w:val="Heading3"/>
        <w:rPr>
          <w:lang w:val="en-GB"/>
        </w:rPr>
      </w:pPr>
      <w:r>
        <w:rPr>
          <w:lang w:val="en-GB"/>
        </w:rPr>
        <w:t>Action plan</w:t>
      </w:r>
    </w:p>
    <w:p w14:paraId="7795B50E" w14:textId="7DA8EA08" w:rsidR="00506876" w:rsidRPr="00707D22" w:rsidRDefault="00506876" w:rsidP="00506876">
      <w:pPr>
        <w:pStyle w:val="Heading4"/>
        <w:rPr>
          <w:lang w:val="en-GB"/>
        </w:rPr>
      </w:pPr>
      <w:r>
        <w:rPr>
          <w:lang w:val="en-GB"/>
        </w:rPr>
        <w:t>Action plan or comments</w:t>
      </w:r>
    </w:p>
    <w:p w14:paraId="25B97118" w14:textId="77777777" w:rsidR="00506876" w:rsidRDefault="00506876" w:rsidP="00506876">
      <w:r>
        <w:t xml:space="preserve">Action plan or comments </w:t>
      </w:r>
      <w:r w:rsidRPr="00506876">
        <w:rPr>
          <w:b/>
          <w:bCs/>
        </w:rPr>
        <w:t>(column H)</w:t>
      </w:r>
      <w:r>
        <w:t xml:space="preserve"> is a free text column that allows you to note any tasks that may be needed to complete the action.</w:t>
      </w:r>
    </w:p>
    <w:p w14:paraId="7D6CD917" w14:textId="6815208C" w:rsidR="00506876" w:rsidRPr="00506876" w:rsidRDefault="00506876" w:rsidP="00506876">
      <w:pPr>
        <w:pStyle w:val="Heading4"/>
        <w:rPr>
          <w:lang w:val="en-GB"/>
        </w:rPr>
      </w:pPr>
      <w:r>
        <w:rPr>
          <w:lang w:val="en-GB"/>
        </w:rPr>
        <w:t>Responsible person or area</w:t>
      </w:r>
    </w:p>
    <w:p w14:paraId="563466D5" w14:textId="5427296B" w:rsidR="00506876" w:rsidRDefault="00506876" w:rsidP="00506876">
      <w:r>
        <w:t xml:space="preserve">Responsible person or area </w:t>
      </w:r>
      <w:r w:rsidRPr="00506876">
        <w:rPr>
          <w:b/>
          <w:bCs/>
        </w:rPr>
        <w:t>(column I)</w:t>
      </w:r>
      <w:r>
        <w:t xml:space="preserve"> is another free text column that allows you to add the name of the person or group of people with responsibility for ensuring that action is taken.</w:t>
      </w:r>
    </w:p>
    <w:p w14:paraId="324FCCF4" w14:textId="6E5DA817" w:rsidR="00506876" w:rsidRDefault="00506876" w:rsidP="00506876">
      <w:pPr>
        <w:pStyle w:val="Heading4"/>
      </w:pPr>
      <w:r>
        <w:rPr>
          <w:lang w:val="en-GB"/>
        </w:rPr>
        <w:t>Due date</w:t>
      </w:r>
    </w:p>
    <w:p w14:paraId="3359CD4D" w14:textId="77777777" w:rsidR="00506876" w:rsidRDefault="00506876" w:rsidP="00506876">
      <w:r>
        <w:t xml:space="preserve">Due date </w:t>
      </w:r>
      <w:r w:rsidRPr="00506876">
        <w:rPr>
          <w:b/>
          <w:bCs/>
        </w:rPr>
        <w:t>(column J)</w:t>
      </w:r>
      <w:r>
        <w:t xml:space="preserve"> allows you to add a target date of completion for the action. Entries in this column are limited to dates only.</w:t>
      </w:r>
    </w:p>
    <w:p w14:paraId="04DADA3C" w14:textId="7C683538" w:rsidR="00506876" w:rsidRDefault="00506876" w:rsidP="00506876">
      <w:pPr>
        <w:pStyle w:val="Heading4"/>
      </w:pPr>
      <w:r>
        <w:rPr>
          <w:lang w:val="en-GB"/>
        </w:rPr>
        <w:t xml:space="preserve">Priority </w:t>
      </w:r>
    </w:p>
    <w:p w14:paraId="1725C73C" w14:textId="0D812670" w:rsidR="00506876" w:rsidRDefault="00506876" w:rsidP="00506876">
      <w:r>
        <w:t xml:space="preserve">Priority </w:t>
      </w:r>
      <w:r w:rsidRPr="00506876">
        <w:rPr>
          <w:b/>
          <w:bCs/>
        </w:rPr>
        <w:t>(column K)</w:t>
      </w:r>
      <w:r>
        <w:t xml:space="preserve"> allows you to allocate a priority rating to a task.</w:t>
      </w:r>
      <w:r w:rsidR="00B051EB">
        <w:t xml:space="preserve"> </w:t>
      </w:r>
      <w:r w:rsidR="00AB2B41" w:rsidRPr="00D82979">
        <w:t xml:space="preserve">Use the drop-down list for the relevant cell in column </w:t>
      </w:r>
      <w:r w:rsidR="00AB2B41">
        <w:t>K</w:t>
      </w:r>
      <w:r w:rsidR="00AB2B41" w:rsidRPr="00D82979">
        <w:t xml:space="preserve"> to choose the</w:t>
      </w:r>
      <w:r w:rsidR="00AB2B41">
        <w:t xml:space="preserve"> applicable priority rate of </w:t>
      </w:r>
      <w:r w:rsidR="00B051EB">
        <w:t>High, Medium or Low</w:t>
      </w:r>
      <w:r w:rsidR="00AB2B41">
        <w:t>.</w:t>
      </w:r>
    </w:p>
    <w:p w14:paraId="0F8EB48F" w14:textId="4B513D86" w:rsidR="00506876" w:rsidRPr="00707D22" w:rsidRDefault="00506876" w:rsidP="00506876">
      <w:pPr>
        <w:pStyle w:val="Heading4"/>
        <w:rPr>
          <w:lang w:val="en-GB"/>
        </w:rPr>
      </w:pPr>
      <w:r>
        <w:rPr>
          <w:lang w:val="en-GB"/>
        </w:rPr>
        <w:lastRenderedPageBreak/>
        <w:t>Link to task list</w:t>
      </w:r>
    </w:p>
    <w:p w14:paraId="4F22FA3D" w14:textId="27CF21A8" w:rsidR="00506876" w:rsidRDefault="00506876" w:rsidP="00506876">
      <w:r>
        <w:t xml:space="preserve">Link to task list </w:t>
      </w:r>
      <w:r w:rsidRPr="00506876">
        <w:rPr>
          <w:b/>
          <w:bCs/>
        </w:rPr>
        <w:t>(column L</w:t>
      </w:r>
      <w:r>
        <w:t>) lists hyperlinks to the task list worksheet. Hyperlink cells are shaded with a pale-yellow colour.</w:t>
      </w:r>
    </w:p>
    <w:p w14:paraId="0BE6DC84" w14:textId="77777777" w:rsidR="00506876" w:rsidRDefault="00506876" w:rsidP="00506876">
      <w:r>
        <w:t>There are two ways to update the task list:</w:t>
      </w:r>
    </w:p>
    <w:p w14:paraId="32A66C13" w14:textId="77777777" w:rsidR="00506876" w:rsidRDefault="00506876" w:rsidP="00506876">
      <w:r>
        <w:t>Option 1: Use the available columns in the standard worksheet</w:t>
      </w:r>
    </w:p>
    <w:p w14:paraId="358CF09E" w14:textId="77777777" w:rsidR="00506876" w:rsidRDefault="00506876" w:rsidP="00506876">
      <w:r>
        <w:t>Columns H to K in the standard worksheet relates to the task list to meet the requirements of the actions. The disadvantage of listing tasks in the standard worksheet is that you are limited to updating information within a single row.</w:t>
      </w:r>
    </w:p>
    <w:p w14:paraId="7AF79D75" w14:textId="77777777" w:rsidR="00506876" w:rsidRDefault="00506876" w:rsidP="00506876">
      <w:r>
        <w:t>Option 2: Use the task list worksheet</w:t>
      </w:r>
    </w:p>
    <w:p w14:paraId="08609D53" w14:textId="77777777" w:rsidR="00506876" w:rsidRDefault="00506876" w:rsidP="00506876">
      <w:r>
        <w:t>Hide columns H to K in the standard worksheet by clicking on the Hide Button located above column L.</w:t>
      </w:r>
    </w:p>
    <w:p w14:paraId="7D802A87" w14:textId="77777777" w:rsidR="00506876" w:rsidRDefault="00506876" w:rsidP="00506876">
      <w:r>
        <w:t>Use the hyperlinks in the Link to task list column (column L) to navigate to the corresponding task list worksheet (TL tab name). The task list worksheet has the following columns:</w:t>
      </w:r>
    </w:p>
    <w:p w14:paraId="0A5C540C" w14:textId="22DB60DD" w:rsidR="005951CF" w:rsidRDefault="00506876" w:rsidP="005951CF">
      <w:pPr>
        <w:pStyle w:val="ListParagraph"/>
        <w:numPr>
          <w:ilvl w:val="0"/>
          <w:numId w:val="54"/>
        </w:numPr>
      </w:pPr>
      <w:r w:rsidRPr="00AB2B41">
        <w:rPr>
          <w:i/>
          <w:iCs/>
        </w:rPr>
        <w:t>No.</w:t>
      </w:r>
      <w:r>
        <w:t xml:space="preserve"> (column B) lists the action numbers, which are hyperlinks </w:t>
      </w:r>
      <w:r w:rsidR="00AB2B41">
        <w:t>to the respective</w:t>
      </w:r>
      <w:r>
        <w:t xml:space="preserve"> </w:t>
      </w:r>
      <w:r w:rsidR="00AB2B41">
        <w:t>S</w:t>
      </w:r>
      <w:r>
        <w:t>tandard worksheet. Hyperlink cells are shaded with a pale-yellow colour.</w:t>
      </w:r>
    </w:p>
    <w:p w14:paraId="019FFEA3" w14:textId="1FE7B25B" w:rsidR="005951CF" w:rsidRDefault="00506876" w:rsidP="005951CF">
      <w:pPr>
        <w:pStyle w:val="ListParagraph"/>
        <w:numPr>
          <w:ilvl w:val="0"/>
          <w:numId w:val="54"/>
        </w:numPr>
      </w:pPr>
      <w:r w:rsidRPr="00AB2B41">
        <w:rPr>
          <w:i/>
          <w:iCs/>
        </w:rPr>
        <w:t>Action plan or comments</w:t>
      </w:r>
      <w:r>
        <w:t xml:space="preserve"> (column C) is equivalent</w:t>
      </w:r>
      <w:r w:rsidR="00AB2B41">
        <w:t xml:space="preserve"> to </w:t>
      </w:r>
      <w:r>
        <w:t>column H in the</w:t>
      </w:r>
      <w:r w:rsidR="00AB2B41">
        <w:t xml:space="preserve"> S</w:t>
      </w:r>
      <w:r>
        <w:t>tandard worksheet</w:t>
      </w:r>
      <w:r w:rsidR="00AB2B41">
        <w:t xml:space="preserve"> </w:t>
      </w:r>
    </w:p>
    <w:p w14:paraId="5B9A8874" w14:textId="0FC468A2" w:rsidR="005951CF" w:rsidRDefault="00506876" w:rsidP="005951CF">
      <w:pPr>
        <w:pStyle w:val="ListParagraph"/>
        <w:numPr>
          <w:ilvl w:val="0"/>
          <w:numId w:val="54"/>
        </w:numPr>
      </w:pPr>
      <w:r w:rsidRPr="00AB2B41">
        <w:rPr>
          <w:i/>
          <w:iCs/>
        </w:rPr>
        <w:t>Responsible person or area</w:t>
      </w:r>
      <w:r>
        <w:t xml:space="preserve"> (column D) is equivalent </w:t>
      </w:r>
      <w:r w:rsidR="00AB2B41">
        <w:t xml:space="preserve">to </w:t>
      </w:r>
      <w:r>
        <w:t xml:space="preserve">column I in the </w:t>
      </w:r>
      <w:r w:rsidR="00AB2B41">
        <w:t>S</w:t>
      </w:r>
      <w:r>
        <w:t>tandard worksheet</w:t>
      </w:r>
      <w:r w:rsidR="00AB2B41">
        <w:t xml:space="preserve"> </w:t>
      </w:r>
    </w:p>
    <w:p w14:paraId="53ECF561" w14:textId="0B7EF85D" w:rsidR="005951CF" w:rsidRDefault="00506876" w:rsidP="005951CF">
      <w:pPr>
        <w:pStyle w:val="ListParagraph"/>
        <w:numPr>
          <w:ilvl w:val="0"/>
          <w:numId w:val="54"/>
        </w:numPr>
      </w:pPr>
      <w:r w:rsidRPr="00AB2B41">
        <w:rPr>
          <w:i/>
          <w:iCs/>
        </w:rPr>
        <w:t>Due date</w:t>
      </w:r>
      <w:r>
        <w:t xml:space="preserve"> (column E) is the equivalent of column J in the </w:t>
      </w:r>
      <w:r w:rsidR="00AB2B41">
        <w:t>S</w:t>
      </w:r>
      <w:r>
        <w:t>tandard worksheet</w:t>
      </w:r>
    </w:p>
    <w:p w14:paraId="0732A6A3" w14:textId="32321CDC" w:rsidR="00506876" w:rsidRDefault="00506876" w:rsidP="005951CF">
      <w:pPr>
        <w:pStyle w:val="ListParagraph"/>
        <w:numPr>
          <w:ilvl w:val="0"/>
          <w:numId w:val="54"/>
        </w:numPr>
      </w:pPr>
      <w:r w:rsidRPr="00AB2B41">
        <w:rPr>
          <w:i/>
          <w:iCs/>
        </w:rPr>
        <w:t>Priority</w:t>
      </w:r>
      <w:r>
        <w:t xml:space="preserve"> (column F) is the equivalent of column K in the </w:t>
      </w:r>
      <w:r w:rsidR="00AB2B41">
        <w:t>S</w:t>
      </w:r>
      <w:r>
        <w:t>tandard worksheet.</w:t>
      </w:r>
    </w:p>
    <w:p w14:paraId="19A3C673" w14:textId="4F082439" w:rsidR="00AA4BCC" w:rsidRPr="00616330" w:rsidRDefault="00506876" w:rsidP="00AA4BCC">
      <w:pPr>
        <w:rPr>
          <w:i/>
          <w:iCs/>
          <w:lang w:val="en-GB"/>
        </w:rPr>
      </w:pPr>
      <w:r w:rsidRPr="00506876">
        <w:t xml:space="preserve">Unlike the first option, you can list tasks in separate rows. You can add more rows if needed. </w:t>
      </w:r>
      <w:r w:rsidR="00AA4BCC" w:rsidRPr="00303D4E">
        <w:rPr>
          <w:lang w:val="en-GB"/>
        </w:rPr>
        <w:t>To do this</w:t>
      </w:r>
      <w:r w:rsidR="00AA4BCC">
        <w:rPr>
          <w:lang w:val="en-GB"/>
        </w:rPr>
        <w:t xml:space="preserve"> </w:t>
      </w:r>
      <w:r w:rsidR="00AA4BCC" w:rsidRPr="00D82979">
        <w:rPr>
          <w:lang w:val="en-GB"/>
        </w:rPr>
        <w:t xml:space="preserve">select the row/s below where you want the </w:t>
      </w:r>
      <w:r w:rsidR="00AA4BCC">
        <w:rPr>
          <w:lang w:val="en-GB"/>
        </w:rPr>
        <w:t>additional</w:t>
      </w:r>
      <w:r w:rsidR="00AA4BCC" w:rsidRPr="00D82979">
        <w:rPr>
          <w:lang w:val="en-GB"/>
        </w:rPr>
        <w:t xml:space="preserve"> row/s to appear, right click on your mouse and </w:t>
      </w:r>
      <w:r w:rsidR="00AA4BCC" w:rsidRPr="00616330">
        <w:rPr>
          <w:lang w:val="en-GB"/>
        </w:rPr>
        <w:t>selec</w:t>
      </w:r>
      <w:r w:rsidR="00AA4BCC">
        <w:rPr>
          <w:lang w:val="en-GB"/>
        </w:rPr>
        <w:t xml:space="preserve">t </w:t>
      </w:r>
      <w:r w:rsidR="00AA4BCC" w:rsidRPr="00616330">
        <w:rPr>
          <w:i/>
          <w:iCs/>
          <w:lang w:val="en-GB"/>
        </w:rPr>
        <w:t>‘Insert’.</w:t>
      </w:r>
    </w:p>
    <w:p w14:paraId="6F7F25CF" w14:textId="0E0A3E41" w:rsidR="00506876" w:rsidRPr="00AA4BCC" w:rsidRDefault="00AA4BCC" w:rsidP="00506876">
      <w:pPr>
        <w:rPr>
          <w:lang w:val="en-GB"/>
        </w:rPr>
      </w:pPr>
      <w:r w:rsidRPr="00616330">
        <w:rPr>
          <w:lang w:val="en-GB"/>
        </w:rPr>
        <w:t>To remove rows that are no longer required, select the relevant row/s right click on the mouse and sele</w:t>
      </w:r>
      <w:r>
        <w:rPr>
          <w:lang w:val="en-GB"/>
        </w:rPr>
        <w:t xml:space="preserve">ct </w:t>
      </w:r>
      <w:r w:rsidRPr="00B051EB">
        <w:rPr>
          <w:i/>
          <w:iCs/>
          <w:lang w:val="en-GB"/>
        </w:rPr>
        <w:t>‘Delete’.</w:t>
      </w:r>
    </w:p>
    <w:p w14:paraId="1BD9B226" w14:textId="5DE6B987" w:rsidR="00506876" w:rsidRDefault="00506876" w:rsidP="00506876">
      <w:pPr>
        <w:pStyle w:val="Heading3"/>
        <w:rPr>
          <w:lang w:val="en-GB"/>
        </w:rPr>
      </w:pPr>
      <w:r>
        <w:rPr>
          <w:lang w:val="en-GB"/>
        </w:rPr>
        <w:t>Overview of progress</w:t>
      </w:r>
    </w:p>
    <w:p w14:paraId="3CF35BBB" w14:textId="1CA6F65B" w:rsidR="00506876" w:rsidRDefault="00506876" w:rsidP="00506876">
      <w:r>
        <w:t xml:space="preserve">The </w:t>
      </w:r>
      <w:r w:rsidR="00AA4BCC">
        <w:t>‘</w:t>
      </w:r>
      <w:r w:rsidRPr="00AA4BCC">
        <w:rPr>
          <w:b/>
          <w:bCs/>
        </w:rPr>
        <w:t>Overview of progress</w:t>
      </w:r>
      <w:r w:rsidR="00AA4BCC" w:rsidRPr="00AA4BCC">
        <w:t>’</w:t>
      </w:r>
      <w:r>
        <w:t xml:space="preserve"> worksheet provides a summary report on the percentage completion for each action.</w:t>
      </w:r>
    </w:p>
    <w:p w14:paraId="5F12F477" w14:textId="77777777" w:rsidR="00506876" w:rsidRDefault="00506876" w:rsidP="00506876">
      <w:r>
        <w:t>You do not need to enter any information in this worksheet. The 'Overview of Progress' worksheet is populated automatically based on the entries from the individual NSQMHCMO Standards worksheets. The worksheet is password protected.</w:t>
      </w:r>
    </w:p>
    <w:p w14:paraId="369BA407" w14:textId="3BC33F59" w:rsidR="00506876" w:rsidRDefault="00506876" w:rsidP="00506876">
      <w:r>
        <w:t>Each</w:t>
      </w:r>
      <w:r w:rsidR="00AA4BCC">
        <w:t xml:space="preserve"> S</w:t>
      </w:r>
      <w:r>
        <w:t>tandard has a table of actions. The table has the following headings:</w:t>
      </w:r>
    </w:p>
    <w:p w14:paraId="0BF064F5" w14:textId="3791909A" w:rsidR="00506876" w:rsidRDefault="00506876" w:rsidP="00506876">
      <w:pPr>
        <w:pStyle w:val="ListParagraph"/>
        <w:numPr>
          <w:ilvl w:val="0"/>
          <w:numId w:val="52"/>
        </w:numPr>
      </w:pPr>
      <w:r w:rsidRPr="00AA4BCC">
        <w:rPr>
          <w:i/>
          <w:iCs/>
        </w:rPr>
        <w:t>Action</w:t>
      </w:r>
      <w:r>
        <w:t xml:space="preserve"> (column B) lists action numbers</w:t>
      </w:r>
      <w:r w:rsidR="00AA4BCC">
        <w:t xml:space="preserve"> as </w:t>
      </w:r>
      <w:r>
        <w:t>hyperlinks to the</w:t>
      </w:r>
      <w:r w:rsidR="00AA4BCC">
        <w:t xml:space="preserve"> relevant</w:t>
      </w:r>
      <w:r>
        <w:t xml:space="preserve"> </w:t>
      </w:r>
      <w:r w:rsidR="00AA4BCC">
        <w:t>S</w:t>
      </w:r>
      <w:r>
        <w:t>tandard worksheet</w:t>
      </w:r>
    </w:p>
    <w:p w14:paraId="205DB843" w14:textId="4351FB85" w:rsidR="00506876" w:rsidRDefault="00506876" w:rsidP="00506876">
      <w:pPr>
        <w:pStyle w:val="ListParagraph"/>
        <w:numPr>
          <w:ilvl w:val="0"/>
          <w:numId w:val="52"/>
        </w:numPr>
      </w:pPr>
      <w:r w:rsidRPr="00AA4BCC">
        <w:rPr>
          <w:i/>
          <w:iCs/>
        </w:rPr>
        <w:t>% column</w:t>
      </w:r>
      <w:r>
        <w:t xml:space="preserve"> (columns C to N) shows the percentage of completion for each action in figures (column C) and as traffic-light colour shaded cells (columns D to N).</w:t>
      </w:r>
    </w:p>
    <w:p w14:paraId="4672B117" w14:textId="322A18B3" w:rsidR="00506876" w:rsidRDefault="00506876" w:rsidP="00506876">
      <w:r>
        <w:t xml:space="preserve">At the end of each </w:t>
      </w:r>
      <w:r w:rsidR="00AA4BCC">
        <w:t>S</w:t>
      </w:r>
      <w:r>
        <w:t>tandard table is a summary table which shows the number and percentage of actions by rating (e.g., meets all requirements, meets some requirements).</w:t>
      </w:r>
    </w:p>
    <w:p w14:paraId="39009586" w14:textId="77777777" w:rsidR="00506876" w:rsidRDefault="00506876" w:rsidP="00506876">
      <w:r>
        <w:t>A few summary tables are located at the right side of the worksheet:</w:t>
      </w:r>
    </w:p>
    <w:p w14:paraId="66750B2C" w14:textId="14024EB1" w:rsidR="00506876" w:rsidRDefault="00506876" w:rsidP="00506876">
      <w:pPr>
        <w:pStyle w:val="ListParagraph"/>
        <w:numPr>
          <w:ilvl w:val="0"/>
          <w:numId w:val="53"/>
        </w:numPr>
      </w:pPr>
      <w:r>
        <w:t>Number of actions updated against the number of actions in the NSQMHCMO Standards</w:t>
      </w:r>
    </w:p>
    <w:p w14:paraId="04FE44CA" w14:textId="778A3E1C" w:rsidR="00506876" w:rsidRDefault="00506876" w:rsidP="00506876">
      <w:pPr>
        <w:pStyle w:val="ListParagraph"/>
        <w:numPr>
          <w:ilvl w:val="0"/>
          <w:numId w:val="53"/>
        </w:numPr>
      </w:pPr>
      <w:r>
        <w:t>Summary of action ratings in raw figures and in percent figures</w:t>
      </w:r>
      <w:r w:rsidR="00AA4BCC">
        <w:t xml:space="preserve"> (based on updated actions).</w:t>
      </w:r>
    </w:p>
    <w:p w14:paraId="7C318A8A" w14:textId="2CE6DC4C" w:rsidR="00506876" w:rsidRDefault="00506876" w:rsidP="00EB0D78">
      <w:pPr>
        <w:pStyle w:val="Heading2"/>
        <w:rPr>
          <w:lang w:val="en-GB"/>
        </w:rPr>
      </w:pPr>
      <w:bookmarkStart w:id="5" w:name="_Toc190182030"/>
      <w:r w:rsidRPr="00EB0D78">
        <w:lastRenderedPageBreak/>
        <w:t>Printing</w:t>
      </w:r>
      <w:bookmarkEnd w:id="5"/>
    </w:p>
    <w:p w14:paraId="565C1F0C" w14:textId="762D1185" w:rsidR="00506876" w:rsidRDefault="00506876" w:rsidP="00506876">
      <w:r>
        <w:t>By default, each ‘Standard’ worksheet is set to print A3 size to accommodate all columns.</w:t>
      </w:r>
    </w:p>
    <w:p w14:paraId="18CA7E83" w14:textId="05DEF560" w:rsidR="00506876" w:rsidRDefault="00506876" w:rsidP="00506876">
      <w:r>
        <w:t>The ‘Ov</w:t>
      </w:r>
      <w:r w:rsidR="001542BA">
        <w:t>erview of progress’, ‘Task list’ and ‘Evidence list’ worksheets are set to print A4 size.</w:t>
      </w:r>
    </w:p>
    <w:p w14:paraId="2BB74025" w14:textId="77777777" w:rsidR="00BC344D" w:rsidRDefault="00BC344D" w:rsidP="00506876"/>
    <w:tbl>
      <w:tblPr>
        <w:tblStyle w:val="PulloutBox"/>
        <w:tblW w:w="5000" w:type="pct"/>
        <w:tblLook w:val="0020" w:firstRow="1" w:lastRow="0" w:firstColumn="0" w:lastColumn="0" w:noHBand="0" w:noVBand="0"/>
        <w:tblDescription w:val="Box 1"/>
      </w:tblPr>
      <w:tblGrid>
        <w:gridCol w:w="9638"/>
      </w:tblGrid>
      <w:tr w:rsidR="001542BA" w14:paraId="742AA2CE" w14:textId="77777777" w:rsidTr="00B73298">
        <w:trPr>
          <w:trHeight w:val="60"/>
        </w:trPr>
        <w:tc>
          <w:tcPr>
            <w:tcW w:w="5000" w:type="pct"/>
            <w:tcMar>
              <w:bottom w:w="0" w:type="dxa"/>
            </w:tcMar>
          </w:tcPr>
          <w:p w14:paraId="1ADEE602" w14:textId="584B1602" w:rsidR="001542BA" w:rsidRPr="00BC344D" w:rsidRDefault="00BC344D" w:rsidP="00BC344D">
            <w:pPr>
              <w:pStyle w:val="Heading2"/>
              <w:rPr>
                <w:bCs/>
                <w:lang w:val="en-GB"/>
              </w:rPr>
            </w:pPr>
            <w:bookmarkStart w:id="6" w:name="_Toc190182031"/>
            <w:r>
              <w:rPr>
                <w:bCs/>
                <w:lang w:val="en-GB"/>
              </w:rPr>
              <w:t>Things to avoid when using the self-assessment tool</w:t>
            </w:r>
            <w:bookmarkEnd w:id="6"/>
          </w:p>
        </w:tc>
      </w:tr>
      <w:tr w:rsidR="001542BA" w14:paraId="4DADFA9E" w14:textId="77777777" w:rsidTr="00BC344D">
        <w:trPr>
          <w:trHeight w:val="3478"/>
        </w:trPr>
        <w:tc>
          <w:tcPr>
            <w:tcW w:w="5000" w:type="pct"/>
            <w:tcMar>
              <w:top w:w="0" w:type="dxa"/>
            </w:tcMar>
          </w:tcPr>
          <w:p w14:paraId="22B4AF00" w14:textId="5FA74D68" w:rsidR="001542BA" w:rsidRDefault="001542BA" w:rsidP="00B73298">
            <w:r>
              <w:t>For best functionality of the self-assessment tool, avoid:</w:t>
            </w:r>
          </w:p>
          <w:p w14:paraId="5648CA33" w14:textId="41F3F52B" w:rsidR="00BC344D" w:rsidRDefault="00BC344D" w:rsidP="00BC344D">
            <w:pPr>
              <w:pStyle w:val="ListParagraph"/>
              <w:numPr>
                <w:ilvl w:val="0"/>
                <w:numId w:val="9"/>
              </w:numPr>
            </w:pPr>
            <w:r>
              <w:t>Deleting worksheets. Hide nonessential worksheets instead.</w:t>
            </w:r>
          </w:p>
          <w:p w14:paraId="4181F9EB" w14:textId="09546179" w:rsidR="00BC344D" w:rsidRDefault="00BC344D" w:rsidP="00BC344D">
            <w:pPr>
              <w:pStyle w:val="ListParagraph"/>
              <w:numPr>
                <w:ilvl w:val="0"/>
                <w:numId w:val="9"/>
              </w:numPr>
            </w:pPr>
            <w:r>
              <w:t>Renaming worksheets. This breaks hyperlinks.</w:t>
            </w:r>
          </w:p>
          <w:p w14:paraId="325D7BB9" w14:textId="02BAA989" w:rsidR="00BC344D" w:rsidRDefault="00BC344D" w:rsidP="00BC344D">
            <w:pPr>
              <w:pStyle w:val="ListParagraph"/>
              <w:numPr>
                <w:ilvl w:val="0"/>
                <w:numId w:val="9"/>
              </w:numPr>
            </w:pPr>
            <w:r>
              <w:t>Deleting rows for hyperlinked cells shaded with a pale-yellow colour. This also breaks hyperlinks.</w:t>
            </w:r>
          </w:p>
          <w:p w14:paraId="47602965" w14:textId="425ED778" w:rsidR="00BC344D" w:rsidRDefault="00BC344D" w:rsidP="00BC344D">
            <w:pPr>
              <w:pStyle w:val="ListParagraph"/>
              <w:numPr>
                <w:ilvl w:val="0"/>
                <w:numId w:val="9"/>
              </w:numPr>
            </w:pPr>
            <w:r>
              <w:t>Deleting hyperlinks. Again, this breaks hyperlinks from that cell.</w:t>
            </w:r>
          </w:p>
          <w:p w14:paraId="4F20E294" w14:textId="58228F0B" w:rsidR="00BC344D" w:rsidRDefault="00BC344D" w:rsidP="00BC344D">
            <w:pPr>
              <w:pStyle w:val="ListParagraph"/>
              <w:numPr>
                <w:ilvl w:val="0"/>
                <w:numId w:val="9"/>
              </w:numPr>
            </w:pPr>
            <w:r>
              <w:t>Sorting columns. It affects the placement of hyperlinks.</w:t>
            </w:r>
          </w:p>
          <w:p w14:paraId="3BA12E45" w14:textId="097D8B18" w:rsidR="00BC344D" w:rsidRDefault="00BC344D" w:rsidP="00BC344D">
            <w:pPr>
              <w:pStyle w:val="ListParagraph"/>
              <w:numPr>
                <w:ilvl w:val="0"/>
                <w:numId w:val="9"/>
              </w:numPr>
            </w:pPr>
            <w:r>
              <w:t>Overwriting the formula in the estimate percentage complete column. This happens when you manually change the percent value in that column. When this happens, the column is no longer linked with the 'How do you rate your performance?' column.</w:t>
            </w:r>
          </w:p>
          <w:p w14:paraId="63D71783" w14:textId="3FE7ABF4" w:rsidR="001542BA" w:rsidRDefault="00BC344D" w:rsidP="00BC344D">
            <w:pPr>
              <w:pStyle w:val="ListParagraph"/>
              <w:numPr>
                <w:ilvl w:val="0"/>
                <w:numId w:val="9"/>
              </w:numPr>
            </w:pPr>
            <w:r>
              <w:t>Forgetting to back up your self-assessment tool!</w:t>
            </w:r>
          </w:p>
        </w:tc>
      </w:tr>
    </w:tbl>
    <w:p w14:paraId="704F60C4" w14:textId="451C2808" w:rsidR="00E209BF" w:rsidRDefault="004F688C" w:rsidP="00047D3F">
      <w:pPr>
        <w:pStyle w:val="Heading2"/>
      </w:pPr>
      <w:bookmarkStart w:id="7" w:name="_Toc190182032"/>
      <w:r>
        <w:t>Further information</w:t>
      </w:r>
      <w:bookmarkEnd w:id="7"/>
    </w:p>
    <w:p w14:paraId="6824F24C" w14:textId="77777777" w:rsidR="00CF7567" w:rsidRPr="00FB6E00" w:rsidRDefault="00CF7567" w:rsidP="00CF7567">
      <w:r w:rsidRPr="00FB6E00">
        <w:t xml:space="preserve">Further information on the NSQMHCMO Standards and accreditation can be found at: </w:t>
      </w:r>
      <w:r w:rsidRPr="00FB6E00">
        <w:br/>
      </w:r>
      <w:hyperlink r:id="rId18" w:history="1">
        <w:r w:rsidRPr="00F62F7A">
          <w:rPr>
            <w:rStyle w:val="Hyperlink"/>
          </w:rPr>
          <w:t>www.safetyandquality.gov.au/mh-cmos</w:t>
        </w:r>
      </w:hyperlink>
      <w:r>
        <w:t xml:space="preserve"> </w:t>
      </w:r>
    </w:p>
    <w:p w14:paraId="6C703A54" w14:textId="77777777" w:rsidR="00CF7567" w:rsidRPr="00FB6E00" w:rsidRDefault="00CF7567" w:rsidP="00CF7567">
      <w:pPr>
        <w:rPr>
          <w:rStyle w:val="Hyperlink"/>
        </w:rPr>
      </w:pPr>
      <w:r w:rsidRPr="00403AA1">
        <w:t xml:space="preserve">Email: </w:t>
      </w:r>
      <w:hyperlink r:id="rId19" w:history="1">
        <w:r w:rsidRPr="00FB6E00">
          <w:rPr>
            <w:rStyle w:val="Hyperlink"/>
          </w:rPr>
          <w:t>Advice.Centre@safetyandquality.gov.au</w:t>
        </w:r>
      </w:hyperlink>
    </w:p>
    <w:p w14:paraId="287A97DC" w14:textId="57AFF618" w:rsidR="00CF7567" w:rsidRDefault="00CF7567" w:rsidP="00CF7567">
      <w:pPr>
        <w:rPr>
          <w:strike/>
        </w:rPr>
      </w:pPr>
      <w:r w:rsidRPr="00FB6E00">
        <w:t>Phone: 1800 304 056</w:t>
      </w:r>
    </w:p>
    <w:p w14:paraId="42EEABFD" w14:textId="77777777" w:rsidR="00604AAF" w:rsidRPr="00EA0B96" w:rsidRDefault="00C76AE0" w:rsidP="00FD1F7D">
      <w:pPr>
        <w:pStyle w:val="SandQwebaddress"/>
        <w:rPr>
          <w:b/>
          <w:bCs/>
          <w:color w:val="005370"/>
          <w:sz w:val="26"/>
          <w:szCs w:val="26"/>
        </w:rPr>
      </w:pPr>
      <w:hyperlink r:id="rId20" w:history="1">
        <w:r w:rsidRPr="000811F9">
          <w:rPr>
            <w:rStyle w:val="Hyperlink"/>
            <w:b/>
            <w:bCs/>
            <w:sz w:val="26"/>
            <w:szCs w:val="26"/>
            <w:u w:val="none"/>
          </w:rPr>
          <w:t>safetyandquality.gov.au</w:t>
        </w:r>
      </w:hyperlink>
    </w:p>
    <w:p w14:paraId="5948E00D" w14:textId="5735031E" w:rsidR="00C76AE0" w:rsidRPr="00B37ABB" w:rsidRDefault="00FD1F7D" w:rsidP="00C76AE0">
      <w:pPr>
        <w:pStyle w:val="FootnoteText"/>
        <w:tabs>
          <w:tab w:val="right" w:pos="8931"/>
        </w:tabs>
        <w:spacing w:after="0"/>
        <w:rPr>
          <w:rFonts w:eastAsia="MS Gothic"/>
          <w:color w:val="FF00FF"/>
        </w:rPr>
      </w:pPr>
      <w:r>
        <w:rPr>
          <w:noProof/>
        </w:rPr>
        <w:drawing>
          <wp:anchor distT="0" distB="0" distL="114300" distR="114300" simplePos="0" relativeHeight="251657728" behindDoc="0" locked="0" layoutInCell="1" allowOverlap="1" wp14:anchorId="2ACF7190" wp14:editId="7344620C">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E0" w:rsidRPr="00EA0B96">
        <w:rPr>
          <w:rStyle w:val="Roman"/>
          <w:rFonts w:eastAsia="MS Gothic"/>
        </w:rPr>
        <w:t xml:space="preserve">© Australian Commission on Safety </w:t>
      </w:r>
      <w:r w:rsidR="00C76AE0" w:rsidRPr="00EA0B96">
        <w:rPr>
          <w:rStyle w:val="Roman"/>
          <w:rFonts w:eastAsia="MS Gothic"/>
        </w:rPr>
        <w:br/>
        <w:t>and Quality in Health Car</w:t>
      </w:r>
      <w:r w:rsidR="00C76AE0" w:rsidRPr="00CF7567">
        <w:rPr>
          <w:rStyle w:val="Roman"/>
          <w:rFonts w:eastAsia="MS Gothic"/>
        </w:rPr>
        <w:t>e 202</w:t>
      </w:r>
      <w:r w:rsidR="00D866F4">
        <w:rPr>
          <w:rStyle w:val="Roman"/>
          <w:rFonts w:eastAsia="MS Gothic"/>
        </w:rPr>
        <w:t>5</w:t>
      </w:r>
    </w:p>
    <w:p w14:paraId="5BC83614" w14:textId="77777777" w:rsidR="00465AB0" w:rsidRDefault="00465AB0" w:rsidP="00C76AE0"/>
    <w:sectPr w:rsidR="00465AB0" w:rsidSect="00EE2564">
      <w:headerReference w:type="even" r:id="rId22"/>
      <w:headerReference w:type="default" r:id="rId23"/>
      <w:footerReference w:type="even" r:id="rId24"/>
      <w:footerReference w:type="default" r:id="rId25"/>
      <w:pgSz w:w="11906" w:h="16838"/>
      <w:pgMar w:top="2126"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1BA2" w14:textId="77777777" w:rsidR="009A294F" w:rsidRDefault="009A294F" w:rsidP="000B0274">
      <w:r>
        <w:separator/>
      </w:r>
    </w:p>
    <w:p w14:paraId="429DD325" w14:textId="77777777" w:rsidR="009A294F" w:rsidRDefault="009A294F"/>
    <w:p w14:paraId="3BB9FC3F" w14:textId="77777777" w:rsidR="009A294F" w:rsidRDefault="009A294F"/>
    <w:p w14:paraId="690EE1E3" w14:textId="77777777" w:rsidR="009A294F" w:rsidRDefault="009A294F"/>
    <w:p w14:paraId="7AFCBBF8" w14:textId="77777777" w:rsidR="009A294F" w:rsidRDefault="009A294F"/>
  </w:endnote>
  <w:endnote w:type="continuationSeparator" w:id="0">
    <w:p w14:paraId="19F16B99" w14:textId="77777777" w:rsidR="009A294F" w:rsidRDefault="009A294F" w:rsidP="000B0274">
      <w:r>
        <w:continuationSeparator/>
      </w:r>
    </w:p>
    <w:p w14:paraId="5DB98C45" w14:textId="77777777" w:rsidR="009A294F" w:rsidRDefault="009A294F"/>
    <w:p w14:paraId="32471C0B" w14:textId="77777777" w:rsidR="009A294F" w:rsidRDefault="009A294F"/>
    <w:p w14:paraId="6D0B97D4" w14:textId="77777777" w:rsidR="009A294F" w:rsidRDefault="009A294F"/>
    <w:p w14:paraId="70CC84F1" w14:textId="77777777" w:rsidR="009A294F" w:rsidRDefault="009A2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316E" w14:textId="77777777" w:rsidR="00A5694A" w:rsidRDefault="00A5694A" w:rsidP="00D84622">
    <w:pPr>
      <w:pStyle w:val="Footer"/>
    </w:pPr>
  </w:p>
  <w:p w14:paraId="4D9F0E92" w14:textId="77777777" w:rsidR="00070812" w:rsidRDefault="00070812"/>
  <w:p w14:paraId="69FEC70F" w14:textId="77777777" w:rsidR="008B014E" w:rsidRDefault="008B014E"/>
  <w:p w14:paraId="6E278A5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0D96" w14:textId="4F8DFF52" w:rsidR="008B014E" w:rsidRDefault="0064008B" w:rsidP="007E175B">
    <w:pPr>
      <w:pStyle w:val="Footer"/>
    </w:pPr>
    <w:r>
      <w:t>How-to Guide: NSQMHCMO Standards</w:t>
    </w:r>
    <w:r w:rsidR="009037F0">
      <w:t xml:space="preserve"> self-assessment</w:t>
    </w:r>
    <w:r>
      <w:t xml:space="preserve"> tool</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AC97" w14:textId="77777777" w:rsidR="009A294F" w:rsidRDefault="009A294F" w:rsidP="000B0274">
      <w:r>
        <w:separator/>
      </w:r>
    </w:p>
    <w:p w14:paraId="6B79D2BA" w14:textId="77777777" w:rsidR="009A294F" w:rsidRDefault="009A294F"/>
    <w:p w14:paraId="3B961A6A" w14:textId="77777777" w:rsidR="009A294F" w:rsidRDefault="009A294F"/>
    <w:p w14:paraId="08801D44" w14:textId="77777777" w:rsidR="009A294F" w:rsidRDefault="009A294F"/>
    <w:p w14:paraId="35EF7B7E" w14:textId="77777777" w:rsidR="009A294F" w:rsidRDefault="009A294F"/>
  </w:footnote>
  <w:footnote w:type="continuationSeparator" w:id="0">
    <w:p w14:paraId="14473D1C" w14:textId="77777777" w:rsidR="009A294F" w:rsidRDefault="009A294F" w:rsidP="000B0274">
      <w:r>
        <w:continuationSeparator/>
      </w:r>
    </w:p>
    <w:p w14:paraId="0C00243B" w14:textId="77777777" w:rsidR="009A294F" w:rsidRDefault="009A294F"/>
    <w:p w14:paraId="7C7AA2BA" w14:textId="77777777" w:rsidR="009A294F" w:rsidRDefault="009A294F"/>
    <w:p w14:paraId="07C1BBB9" w14:textId="77777777" w:rsidR="009A294F" w:rsidRDefault="009A294F"/>
    <w:p w14:paraId="2E4B6F51" w14:textId="77777777" w:rsidR="009A294F" w:rsidRDefault="009A2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0A19" w14:textId="77777777" w:rsidR="00A5694A" w:rsidRDefault="00A5694A"/>
  <w:p w14:paraId="0B6F359B" w14:textId="77777777" w:rsidR="00070812" w:rsidRDefault="00070812"/>
  <w:p w14:paraId="44682A97" w14:textId="77777777" w:rsidR="008B014E" w:rsidRDefault="008B014E"/>
  <w:p w14:paraId="6B36ADEE"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A23F" w14:textId="79ADA50C" w:rsidR="008B014E" w:rsidRDefault="004F688C" w:rsidP="004F688C">
    <w:pPr>
      <w:tabs>
        <w:tab w:val="right" w:pos="9638"/>
      </w:tabs>
      <w:spacing w:before="0"/>
    </w:pPr>
    <w:r>
      <w:rPr>
        <w:noProof/>
      </w:rPr>
      <w:drawing>
        <wp:anchor distT="0" distB="0" distL="114300" distR="114300" simplePos="0" relativeHeight="251658240" behindDoc="1" locked="0" layoutInCell="1" allowOverlap="1" wp14:anchorId="7C44233A" wp14:editId="70C7CD54">
          <wp:simplePos x="0" y="0"/>
          <wp:positionH relativeFrom="column">
            <wp:posOffset>3677285</wp:posOffset>
          </wp:positionH>
          <wp:positionV relativeFrom="paragraph">
            <wp:posOffset>45720</wp:posOffset>
          </wp:positionV>
          <wp:extent cx="2574290" cy="443865"/>
          <wp:effectExtent l="0" t="0" r="0" b="0"/>
          <wp:wrapThrough wrapText="bothSides">
            <wp:wrapPolygon edited="0">
              <wp:start x="0" y="0"/>
              <wp:lineTo x="0" y="20395"/>
              <wp:lineTo x="21419" y="20395"/>
              <wp:lineTo x="21419" y="0"/>
              <wp:lineTo x="0" y="0"/>
            </wp:wrapPolygon>
          </wp:wrapThrough>
          <wp:docPr id="705449886" name="Picture 70544988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
                  <a:stretch>
                    <a:fillRect/>
                  </a:stretch>
                </pic:blipFill>
                <pic:spPr>
                  <a:xfrm>
                    <a:off x="0" y="0"/>
                    <a:ext cx="2574290" cy="443865"/>
                  </a:xfrm>
                  <a:prstGeom prst="rect">
                    <a:avLst/>
                  </a:prstGeom>
                </pic:spPr>
              </pic:pic>
            </a:graphicData>
          </a:graphic>
        </wp:anchor>
      </w:drawing>
    </w:r>
    <w:r w:rsidRPr="00FB375B">
      <w:rPr>
        <w:rFonts w:eastAsiaTheme="majorEastAsia"/>
        <w:noProof/>
        <w:lang w:val="en-US" w:eastAsia="en-US"/>
      </w:rPr>
      <w:drawing>
        <wp:anchor distT="0" distB="0" distL="114300" distR="114300" simplePos="0" relativeHeight="251659264" behindDoc="1" locked="0" layoutInCell="1" allowOverlap="1" wp14:anchorId="3F006B1F" wp14:editId="5A674FA8">
          <wp:simplePos x="0" y="0"/>
          <wp:positionH relativeFrom="column">
            <wp:posOffset>101</wp:posOffset>
          </wp:positionH>
          <wp:positionV relativeFrom="paragraph">
            <wp:posOffset>2939</wp:posOffset>
          </wp:positionV>
          <wp:extent cx="3538651" cy="499473"/>
          <wp:effectExtent l="0" t="0" r="5080" b="0"/>
          <wp:wrapTight wrapText="bothSides">
            <wp:wrapPolygon edited="0">
              <wp:start x="0" y="0"/>
              <wp:lineTo x="0" y="20611"/>
              <wp:lineTo x="21515" y="20611"/>
              <wp:lineTo x="21515" y="0"/>
              <wp:lineTo x="0" y="0"/>
            </wp:wrapPolygon>
          </wp:wrapTight>
          <wp:docPr id="436071611" name="Picture 43607161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38651" cy="499473"/>
                  </a:xfrm>
                  <a:prstGeom prst="rect">
                    <a:avLst/>
                  </a:prstGeom>
                </pic:spPr>
              </pic:pic>
            </a:graphicData>
          </a:graphic>
        </wp:anchor>
      </w:drawing>
    </w:r>
    <w:r w:rsidR="00A139AB">
      <w:tab/>
    </w:r>
  </w:p>
  <w:p w14:paraId="06A92302" w14:textId="28CA7315"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FB25DBE"/>
    <w:multiLevelType w:val="hybridMultilevel"/>
    <w:tmpl w:val="5D608CC2"/>
    <w:lvl w:ilvl="0" w:tplc="F606E3D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0F26EA"/>
    <w:multiLevelType w:val="hybridMultilevel"/>
    <w:tmpl w:val="17C42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D79DE"/>
    <w:multiLevelType w:val="hybridMultilevel"/>
    <w:tmpl w:val="E604B0AE"/>
    <w:lvl w:ilvl="0" w:tplc="288E36DA">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DBF6F59"/>
    <w:multiLevelType w:val="hybridMultilevel"/>
    <w:tmpl w:val="1108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2D2540"/>
    <w:multiLevelType w:val="hybridMultilevel"/>
    <w:tmpl w:val="E30CDB64"/>
    <w:lvl w:ilvl="0" w:tplc="82462FD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E750AF1"/>
    <w:multiLevelType w:val="hybridMultilevel"/>
    <w:tmpl w:val="FFEA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C51142"/>
    <w:multiLevelType w:val="hybridMultilevel"/>
    <w:tmpl w:val="9BC67BDE"/>
    <w:lvl w:ilvl="0" w:tplc="F606E3D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56D67"/>
    <w:multiLevelType w:val="hybridMultilevel"/>
    <w:tmpl w:val="D49033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3BE03E59"/>
    <w:multiLevelType w:val="hybridMultilevel"/>
    <w:tmpl w:val="407E9B16"/>
    <w:lvl w:ilvl="0" w:tplc="288E3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41754E"/>
    <w:multiLevelType w:val="hybridMultilevel"/>
    <w:tmpl w:val="1F60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52D1F12"/>
    <w:multiLevelType w:val="hybridMultilevel"/>
    <w:tmpl w:val="7C4C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760A75"/>
    <w:multiLevelType w:val="hybridMultilevel"/>
    <w:tmpl w:val="BDD2994A"/>
    <w:lvl w:ilvl="0" w:tplc="288E3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B4A4E"/>
    <w:multiLevelType w:val="hybridMultilevel"/>
    <w:tmpl w:val="B6F2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33E36"/>
    <w:multiLevelType w:val="hybridMultilevel"/>
    <w:tmpl w:val="C382DD42"/>
    <w:lvl w:ilvl="0" w:tplc="288E3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DD5303"/>
    <w:multiLevelType w:val="hybridMultilevel"/>
    <w:tmpl w:val="C43E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CB48F2"/>
    <w:multiLevelType w:val="hybridMultilevel"/>
    <w:tmpl w:val="A296D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7625F4"/>
    <w:multiLevelType w:val="hybridMultilevel"/>
    <w:tmpl w:val="3754FE04"/>
    <w:lvl w:ilvl="0" w:tplc="82462FD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4404B0"/>
    <w:multiLevelType w:val="hybridMultilevel"/>
    <w:tmpl w:val="1922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325FD9"/>
    <w:multiLevelType w:val="hybridMultilevel"/>
    <w:tmpl w:val="8D76676C"/>
    <w:lvl w:ilvl="0" w:tplc="288E36DA">
      <w:start w:val="1"/>
      <w:numFmt w:val="bullet"/>
      <w:lvlText w:val=""/>
      <w:lvlJc w:val="left"/>
      <w:pPr>
        <w:ind w:left="720" w:hanging="360"/>
      </w:pPr>
      <w:rPr>
        <w:rFonts w:ascii="Symbol" w:hAnsi="Symbol" w:hint="default"/>
      </w:rPr>
    </w:lvl>
    <w:lvl w:ilvl="1" w:tplc="265E535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D786C57"/>
    <w:multiLevelType w:val="hybridMultilevel"/>
    <w:tmpl w:val="12FE1454"/>
    <w:lvl w:ilvl="0" w:tplc="27E6F5F2">
      <w:numFmt w:val="bullet"/>
      <w:lvlText w:val=""/>
      <w:lvlJc w:val="left"/>
      <w:pPr>
        <w:ind w:left="1285" w:hanging="360"/>
      </w:pPr>
      <w:rPr>
        <w:rFonts w:ascii="Symbol" w:eastAsia="Symbol" w:hAnsi="Symbol" w:cs="Symbol" w:hint="default"/>
        <w:b w:val="0"/>
        <w:bCs w:val="0"/>
        <w:i w:val="0"/>
        <w:iCs w:val="0"/>
        <w:spacing w:val="0"/>
        <w:w w:val="100"/>
        <w:sz w:val="24"/>
        <w:szCs w:val="24"/>
        <w:lang w:val="en-US" w:eastAsia="en-US" w:bidi="ar-SA"/>
      </w:rPr>
    </w:lvl>
    <w:lvl w:ilvl="1" w:tplc="D062F70A">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2" w:tplc="C73A9706">
      <w:numFmt w:val="bullet"/>
      <w:lvlText w:val="•"/>
      <w:lvlJc w:val="left"/>
      <w:pPr>
        <w:ind w:left="2636" w:hanging="360"/>
      </w:pPr>
      <w:rPr>
        <w:rFonts w:hint="default"/>
        <w:lang w:val="en-US" w:eastAsia="en-US" w:bidi="ar-SA"/>
      </w:rPr>
    </w:lvl>
    <w:lvl w:ilvl="3" w:tplc="421E0000">
      <w:numFmt w:val="bullet"/>
      <w:lvlText w:val="•"/>
      <w:lvlJc w:val="left"/>
      <w:pPr>
        <w:ind w:left="3672" w:hanging="360"/>
      </w:pPr>
      <w:rPr>
        <w:rFonts w:hint="default"/>
        <w:lang w:val="en-US" w:eastAsia="en-US" w:bidi="ar-SA"/>
      </w:rPr>
    </w:lvl>
    <w:lvl w:ilvl="4" w:tplc="3E468AD0">
      <w:numFmt w:val="bullet"/>
      <w:lvlText w:val="•"/>
      <w:lvlJc w:val="left"/>
      <w:pPr>
        <w:ind w:left="4708" w:hanging="360"/>
      </w:pPr>
      <w:rPr>
        <w:rFonts w:hint="default"/>
        <w:lang w:val="en-US" w:eastAsia="en-US" w:bidi="ar-SA"/>
      </w:rPr>
    </w:lvl>
    <w:lvl w:ilvl="5" w:tplc="BE987CF8">
      <w:numFmt w:val="bullet"/>
      <w:lvlText w:val="•"/>
      <w:lvlJc w:val="left"/>
      <w:pPr>
        <w:ind w:left="5745" w:hanging="360"/>
      </w:pPr>
      <w:rPr>
        <w:rFonts w:hint="default"/>
        <w:lang w:val="en-US" w:eastAsia="en-US" w:bidi="ar-SA"/>
      </w:rPr>
    </w:lvl>
    <w:lvl w:ilvl="6" w:tplc="AAFE5354">
      <w:numFmt w:val="bullet"/>
      <w:lvlText w:val="•"/>
      <w:lvlJc w:val="left"/>
      <w:pPr>
        <w:ind w:left="6781" w:hanging="360"/>
      </w:pPr>
      <w:rPr>
        <w:rFonts w:hint="default"/>
        <w:lang w:val="en-US" w:eastAsia="en-US" w:bidi="ar-SA"/>
      </w:rPr>
    </w:lvl>
    <w:lvl w:ilvl="7" w:tplc="539C1E00">
      <w:numFmt w:val="bullet"/>
      <w:lvlText w:val="•"/>
      <w:lvlJc w:val="left"/>
      <w:pPr>
        <w:ind w:left="7817" w:hanging="360"/>
      </w:pPr>
      <w:rPr>
        <w:rFonts w:hint="default"/>
        <w:lang w:val="en-US" w:eastAsia="en-US" w:bidi="ar-SA"/>
      </w:rPr>
    </w:lvl>
    <w:lvl w:ilvl="8" w:tplc="5712CCAA">
      <w:numFmt w:val="bullet"/>
      <w:lvlText w:val="•"/>
      <w:lvlJc w:val="left"/>
      <w:pPr>
        <w:ind w:left="8853" w:hanging="360"/>
      </w:pPr>
      <w:rPr>
        <w:rFonts w:hint="default"/>
        <w:lang w:val="en-US" w:eastAsia="en-US" w:bidi="ar-SA"/>
      </w:rPr>
    </w:lvl>
  </w:abstractNum>
  <w:abstractNum w:abstractNumId="47" w15:restartNumberingAfterBreak="0">
    <w:nsid w:val="6E08065B"/>
    <w:multiLevelType w:val="hybridMultilevel"/>
    <w:tmpl w:val="F1DA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5F260F"/>
    <w:multiLevelType w:val="hybridMultilevel"/>
    <w:tmpl w:val="FA5C3D20"/>
    <w:lvl w:ilvl="0" w:tplc="288E3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5B439CB"/>
    <w:multiLevelType w:val="hybridMultilevel"/>
    <w:tmpl w:val="C53C3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DF20CC2"/>
    <w:multiLevelType w:val="hybridMultilevel"/>
    <w:tmpl w:val="23FE52D0"/>
    <w:lvl w:ilvl="0" w:tplc="C338EBD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1C21BD"/>
    <w:multiLevelType w:val="hybridMultilevel"/>
    <w:tmpl w:val="FD7E4D36"/>
    <w:lvl w:ilvl="0" w:tplc="82462FD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08780">
    <w:abstractNumId w:val="10"/>
  </w:num>
  <w:num w:numId="2" w16cid:durableId="1112822231">
    <w:abstractNumId w:val="12"/>
  </w:num>
  <w:num w:numId="3" w16cid:durableId="2010399634">
    <w:abstractNumId w:val="24"/>
  </w:num>
  <w:num w:numId="4" w16cid:durableId="1896118276">
    <w:abstractNumId w:val="36"/>
  </w:num>
  <w:num w:numId="5" w16cid:durableId="300960936">
    <w:abstractNumId w:val="35"/>
  </w:num>
  <w:num w:numId="6" w16cid:durableId="460001979">
    <w:abstractNumId w:val="13"/>
  </w:num>
  <w:num w:numId="7" w16cid:durableId="1272736034">
    <w:abstractNumId w:val="16"/>
  </w:num>
  <w:num w:numId="8" w16cid:durableId="281155201">
    <w:abstractNumId w:val="11"/>
  </w:num>
  <w:num w:numId="9" w16cid:durableId="1959675322">
    <w:abstractNumId w:val="49"/>
  </w:num>
  <w:num w:numId="10" w16cid:durableId="1185750376">
    <w:abstractNumId w:val="21"/>
  </w:num>
  <w:num w:numId="11" w16cid:durableId="1123500894">
    <w:abstractNumId w:val="19"/>
  </w:num>
  <w:num w:numId="12" w16cid:durableId="825979626">
    <w:abstractNumId w:val="45"/>
  </w:num>
  <w:num w:numId="13" w16cid:durableId="977683346">
    <w:abstractNumId w:val="20"/>
  </w:num>
  <w:num w:numId="14" w16cid:durableId="2057927306">
    <w:abstractNumId w:val="31"/>
  </w:num>
  <w:num w:numId="15" w16cid:durableId="1126317256">
    <w:abstractNumId w:val="51"/>
  </w:num>
  <w:num w:numId="16" w16cid:durableId="1986926756">
    <w:abstractNumId w:val="26"/>
  </w:num>
  <w:num w:numId="17" w16cid:durableId="230846978">
    <w:abstractNumId w:val="18"/>
  </w:num>
  <w:num w:numId="18" w16cid:durableId="222760772">
    <w:abstractNumId w:val="39"/>
  </w:num>
  <w:num w:numId="19" w16cid:durableId="1502430373">
    <w:abstractNumId w:val="41"/>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930891326">
    <w:abstractNumId w:val="47"/>
  </w:num>
  <w:num w:numId="31" w16cid:durableId="1847137757">
    <w:abstractNumId w:val="43"/>
  </w:num>
  <w:num w:numId="32" w16cid:durableId="76362236">
    <w:abstractNumId w:val="40"/>
  </w:num>
  <w:num w:numId="33" w16cid:durableId="332804163">
    <w:abstractNumId w:val="34"/>
  </w:num>
  <w:num w:numId="34" w16cid:durableId="1798377872">
    <w:abstractNumId w:val="14"/>
  </w:num>
  <w:num w:numId="35" w16cid:durableId="1133057299">
    <w:abstractNumId w:val="27"/>
  </w:num>
  <w:num w:numId="36" w16cid:durableId="83651800">
    <w:abstractNumId w:val="48"/>
  </w:num>
  <w:num w:numId="37" w16cid:durableId="458183321">
    <w:abstractNumId w:val="17"/>
  </w:num>
  <w:num w:numId="38" w16cid:durableId="907038885">
    <w:abstractNumId w:val="22"/>
  </w:num>
  <w:num w:numId="39" w16cid:durableId="994528171">
    <w:abstractNumId w:val="25"/>
  </w:num>
  <w:num w:numId="40" w16cid:durableId="1592158710">
    <w:abstractNumId w:val="32"/>
  </w:num>
  <w:num w:numId="41" w16cid:durableId="180359479">
    <w:abstractNumId w:val="15"/>
  </w:num>
  <w:num w:numId="42" w16cid:durableId="505555764">
    <w:abstractNumId w:val="46"/>
  </w:num>
  <w:num w:numId="43" w16cid:durableId="784808496">
    <w:abstractNumId w:val="50"/>
  </w:num>
  <w:num w:numId="44" w16cid:durableId="688025672">
    <w:abstractNumId w:val="28"/>
  </w:num>
  <w:num w:numId="45" w16cid:durableId="660423752">
    <w:abstractNumId w:val="30"/>
  </w:num>
  <w:num w:numId="46" w16cid:durableId="1208644190">
    <w:abstractNumId w:val="52"/>
  </w:num>
  <w:num w:numId="47" w16cid:durableId="1361248578">
    <w:abstractNumId w:val="44"/>
  </w:num>
  <w:num w:numId="48" w16cid:durableId="1043017716">
    <w:abstractNumId w:val="37"/>
  </w:num>
  <w:num w:numId="49" w16cid:durableId="630282740">
    <w:abstractNumId w:val="23"/>
  </w:num>
  <w:num w:numId="50" w16cid:durableId="222376419">
    <w:abstractNumId w:val="53"/>
  </w:num>
  <w:num w:numId="51" w16cid:durableId="2127113462">
    <w:abstractNumId w:val="42"/>
  </w:num>
  <w:num w:numId="52" w16cid:durableId="850292404">
    <w:abstractNumId w:val="33"/>
  </w:num>
  <w:num w:numId="53" w16cid:durableId="379786592">
    <w:abstractNumId w:val="29"/>
  </w:num>
  <w:num w:numId="54" w16cid:durableId="1280843336">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8"/>
    <w:rsid w:val="00002668"/>
    <w:rsid w:val="00003743"/>
    <w:rsid w:val="000077FA"/>
    <w:rsid w:val="0001053B"/>
    <w:rsid w:val="00011096"/>
    <w:rsid w:val="00012782"/>
    <w:rsid w:val="00013AF4"/>
    <w:rsid w:val="00020DBD"/>
    <w:rsid w:val="00025A92"/>
    <w:rsid w:val="0003162D"/>
    <w:rsid w:val="000368D0"/>
    <w:rsid w:val="00036AB7"/>
    <w:rsid w:val="00036F5E"/>
    <w:rsid w:val="000406F8"/>
    <w:rsid w:val="00043671"/>
    <w:rsid w:val="00047D3F"/>
    <w:rsid w:val="00050775"/>
    <w:rsid w:val="00054B74"/>
    <w:rsid w:val="0006021D"/>
    <w:rsid w:val="00067456"/>
    <w:rsid w:val="00067CE9"/>
    <w:rsid w:val="00070812"/>
    <w:rsid w:val="0008065C"/>
    <w:rsid w:val="000811F9"/>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1722"/>
    <w:rsid w:val="000D6405"/>
    <w:rsid w:val="000E2F2E"/>
    <w:rsid w:val="000F0D77"/>
    <w:rsid w:val="000F29C7"/>
    <w:rsid w:val="0010673D"/>
    <w:rsid w:val="00106CF5"/>
    <w:rsid w:val="00115403"/>
    <w:rsid w:val="00115E61"/>
    <w:rsid w:val="00120FCB"/>
    <w:rsid w:val="00131E52"/>
    <w:rsid w:val="0013212C"/>
    <w:rsid w:val="00140002"/>
    <w:rsid w:val="00143A76"/>
    <w:rsid w:val="00145BE3"/>
    <w:rsid w:val="00146A66"/>
    <w:rsid w:val="001507C6"/>
    <w:rsid w:val="00153149"/>
    <w:rsid w:val="001542BA"/>
    <w:rsid w:val="00157B31"/>
    <w:rsid w:val="00160453"/>
    <w:rsid w:val="00161CF7"/>
    <w:rsid w:val="001652A9"/>
    <w:rsid w:val="00174141"/>
    <w:rsid w:val="00174535"/>
    <w:rsid w:val="0017675C"/>
    <w:rsid w:val="00183675"/>
    <w:rsid w:val="00184C86"/>
    <w:rsid w:val="001852DE"/>
    <w:rsid w:val="001859B5"/>
    <w:rsid w:val="001860B2"/>
    <w:rsid w:val="00190C81"/>
    <w:rsid w:val="001918F7"/>
    <w:rsid w:val="001921ED"/>
    <w:rsid w:val="00195458"/>
    <w:rsid w:val="001962DE"/>
    <w:rsid w:val="00196AC8"/>
    <w:rsid w:val="001A11A5"/>
    <w:rsid w:val="001A1EBD"/>
    <w:rsid w:val="001A4A68"/>
    <w:rsid w:val="001B15D1"/>
    <w:rsid w:val="001B3443"/>
    <w:rsid w:val="001B7C8B"/>
    <w:rsid w:val="001C47B6"/>
    <w:rsid w:val="001D0D87"/>
    <w:rsid w:val="001E1042"/>
    <w:rsid w:val="001E38B8"/>
    <w:rsid w:val="001E77C4"/>
    <w:rsid w:val="001F6D10"/>
    <w:rsid w:val="001F7642"/>
    <w:rsid w:val="002006BD"/>
    <w:rsid w:val="00204C47"/>
    <w:rsid w:val="0020592F"/>
    <w:rsid w:val="00211447"/>
    <w:rsid w:val="002255F7"/>
    <w:rsid w:val="0023112B"/>
    <w:rsid w:val="0023231A"/>
    <w:rsid w:val="00237ADF"/>
    <w:rsid w:val="00245D81"/>
    <w:rsid w:val="0024767D"/>
    <w:rsid w:val="002503C3"/>
    <w:rsid w:val="00251167"/>
    <w:rsid w:val="002550A7"/>
    <w:rsid w:val="00255596"/>
    <w:rsid w:val="00255DCB"/>
    <w:rsid w:val="00255EB0"/>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A0511"/>
    <w:rsid w:val="002B37B6"/>
    <w:rsid w:val="002B6CED"/>
    <w:rsid w:val="002C1CA0"/>
    <w:rsid w:val="002C6AF0"/>
    <w:rsid w:val="002C6E07"/>
    <w:rsid w:val="002D0EB0"/>
    <w:rsid w:val="002D247E"/>
    <w:rsid w:val="002D35CA"/>
    <w:rsid w:val="002E003F"/>
    <w:rsid w:val="002E195D"/>
    <w:rsid w:val="002E2DBA"/>
    <w:rsid w:val="002E3986"/>
    <w:rsid w:val="002E6A48"/>
    <w:rsid w:val="002E7082"/>
    <w:rsid w:val="002F3AE3"/>
    <w:rsid w:val="002F7E6F"/>
    <w:rsid w:val="00303D4E"/>
    <w:rsid w:val="00304D91"/>
    <w:rsid w:val="0030786C"/>
    <w:rsid w:val="00312A62"/>
    <w:rsid w:val="00316683"/>
    <w:rsid w:val="00321AD9"/>
    <w:rsid w:val="0033157D"/>
    <w:rsid w:val="00341202"/>
    <w:rsid w:val="00341A36"/>
    <w:rsid w:val="00341BEE"/>
    <w:rsid w:val="00343286"/>
    <w:rsid w:val="0034680F"/>
    <w:rsid w:val="0035066E"/>
    <w:rsid w:val="00350BE1"/>
    <w:rsid w:val="00350DBE"/>
    <w:rsid w:val="003657DB"/>
    <w:rsid w:val="0036588B"/>
    <w:rsid w:val="00370326"/>
    <w:rsid w:val="00380792"/>
    <w:rsid w:val="003808E4"/>
    <w:rsid w:val="0038248B"/>
    <w:rsid w:val="00386683"/>
    <w:rsid w:val="003873C6"/>
    <w:rsid w:val="00392002"/>
    <w:rsid w:val="00392A85"/>
    <w:rsid w:val="003932B2"/>
    <w:rsid w:val="00396AFB"/>
    <w:rsid w:val="003A2C98"/>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0604F"/>
    <w:rsid w:val="00412E9D"/>
    <w:rsid w:val="00414952"/>
    <w:rsid w:val="00423210"/>
    <w:rsid w:val="00425504"/>
    <w:rsid w:val="0042727E"/>
    <w:rsid w:val="004305D6"/>
    <w:rsid w:val="004377EE"/>
    <w:rsid w:val="00440CC0"/>
    <w:rsid w:val="00440D73"/>
    <w:rsid w:val="004437F3"/>
    <w:rsid w:val="004460F4"/>
    <w:rsid w:val="00447D31"/>
    <w:rsid w:val="00452849"/>
    <w:rsid w:val="00455560"/>
    <w:rsid w:val="00456385"/>
    <w:rsid w:val="00457050"/>
    <w:rsid w:val="00465AB0"/>
    <w:rsid w:val="00470AB8"/>
    <w:rsid w:val="00477E9B"/>
    <w:rsid w:val="00482ECA"/>
    <w:rsid w:val="00485776"/>
    <w:rsid w:val="00485794"/>
    <w:rsid w:val="004867E2"/>
    <w:rsid w:val="00486826"/>
    <w:rsid w:val="0048784D"/>
    <w:rsid w:val="004904FA"/>
    <w:rsid w:val="00492779"/>
    <w:rsid w:val="00493AA0"/>
    <w:rsid w:val="004A0670"/>
    <w:rsid w:val="004A4851"/>
    <w:rsid w:val="004A5C81"/>
    <w:rsid w:val="004B0417"/>
    <w:rsid w:val="004B2999"/>
    <w:rsid w:val="004C04EB"/>
    <w:rsid w:val="004C3664"/>
    <w:rsid w:val="004C4927"/>
    <w:rsid w:val="004C6833"/>
    <w:rsid w:val="004D5E77"/>
    <w:rsid w:val="004E067A"/>
    <w:rsid w:val="004E179B"/>
    <w:rsid w:val="004E2389"/>
    <w:rsid w:val="004E50C2"/>
    <w:rsid w:val="004E58C1"/>
    <w:rsid w:val="004F0DB8"/>
    <w:rsid w:val="004F412D"/>
    <w:rsid w:val="004F688C"/>
    <w:rsid w:val="00505824"/>
    <w:rsid w:val="00506876"/>
    <w:rsid w:val="0051563D"/>
    <w:rsid w:val="00517470"/>
    <w:rsid w:val="005179C7"/>
    <w:rsid w:val="0052107C"/>
    <w:rsid w:val="005221B7"/>
    <w:rsid w:val="00530100"/>
    <w:rsid w:val="00532DB9"/>
    <w:rsid w:val="00536E0C"/>
    <w:rsid w:val="005408C7"/>
    <w:rsid w:val="005422E7"/>
    <w:rsid w:val="005437FD"/>
    <w:rsid w:val="00544A4E"/>
    <w:rsid w:val="00552A92"/>
    <w:rsid w:val="00553E33"/>
    <w:rsid w:val="00555C4C"/>
    <w:rsid w:val="00555D6E"/>
    <w:rsid w:val="00562F72"/>
    <w:rsid w:val="0056304B"/>
    <w:rsid w:val="00565356"/>
    <w:rsid w:val="00566B97"/>
    <w:rsid w:val="00570C6C"/>
    <w:rsid w:val="00577EE4"/>
    <w:rsid w:val="00584334"/>
    <w:rsid w:val="00591A14"/>
    <w:rsid w:val="0059380A"/>
    <w:rsid w:val="005951CF"/>
    <w:rsid w:val="0059724C"/>
    <w:rsid w:val="005A0AB7"/>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BD4"/>
    <w:rsid w:val="005F1E4A"/>
    <w:rsid w:val="005F4EF4"/>
    <w:rsid w:val="00604AAF"/>
    <w:rsid w:val="00607B0B"/>
    <w:rsid w:val="00611870"/>
    <w:rsid w:val="00614E29"/>
    <w:rsid w:val="00616330"/>
    <w:rsid w:val="0062216A"/>
    <w:rsid w:val="00623DB3"/>
    <w:rsid w:val="00625634"/>
    <w:rsid w:val="00625EC1"/>
    <w:rsid w:val="00626F7D"/>
    <w:rsid w:val="00630199"/>
    <w:rsid w:val="0063097F"/>
    <w:rsid w:val="006317C9"/>
    <w:rsid w:val="00632475"/>
    <w:rsid w:val="00632C35"/>
    <w:rsid w:val="006340B0"/>
    <w:rsid w:val="0063717B"/>
    <w:rsid w:val="0064008B"/>
    <w:rsid w:val="00641773"/>
    <w:rsid w:val="00641CB0"/>
    <w:rsid w:val="0064239F"/>
    <w:rsid w:val="006456F1"/>
    <w:rsid w:val="00652633"/>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583E"/>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7624B"/>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029"/>
    <w:rsid w:val="00812A44"/>
    <w:rsid w:val="008178E4"/>
    <w:rsid w:val="00820059"/>
    <w:rsid w:val="008264EB"/>
    <w:rsid w:val="00827924"/>
    <w:rsid w:val="00830756"/>
    <w:rsid w:val="00837A90"/>
    <w:rsid w:val="00842146"/>
    <w:rsid w:val="00855A49"/>
    <w:rsid w:val="00856DF5"/>
    <w:rsid w:val="00857E76"/>
    <w:rsid w:val="0086059A"/>
    <w:rsid w:val="00863B47"/>
    <w:rsid w:val="00865932"/>
    <w:rsid w:val="00872059"/>
    <w:rsid w:val="008722B0"/>
    <w:rsid w:val="008724DB"/>
    <w:rsid w:val="00873673"/>
    <w:rsid w:val="008803A1"/>
    <w:rsid w:val="0088122A"/>
    <w:rsid w:val="008839CD"/>
    <w:rsid w:val="0089149A"/>
    <w:rsid w:val="00892AC8"/>
    <w:rsid w:val="00897E5A"/>
    <w:rsid w:val="008A07AF"/>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37F0"/>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50089"/>
    <w:rsid w:val="0095539D"/>
    <w:rsid w:val="00957E40"/>
    <w:rsid w:val="00957E88"/>
    <w:rsid w:val="00961B39"/>
    <w:rsid w:val="00961FBE"/>
    <w:rsid w:val="00964277"/>
    <w:rsid w:val="0096474D"/>
    <w:rsid w:val="0097582E"/>
    <w:rsid w:val="00977D26"/>
    <w:rsid w:val="00977E26"/>
    <w:rsid w:val="00980273"/>
    <w:rsid w:val="009805EC"/>
    <w:rsid w:val="00984227"/>
    <w:rsid w:val="009904EA"/>
    <w:rsid w:val="009907D7"/>
    <w:rsid w:val="00991AF5"/>
    <w:rsid w:val="0099343F"/>
    <w:rsid w:val="00995094"/>
    <w:rsid w:val="009A007B"/>
    <w:rsid w:val="009A0425"/>
    <w:rsid w:val="009A263C"/>
    <w:rsid w:val="009A294F"/>
    <w:rsid w:val="009B053D"/>
    <w:rsid w:val="009B3E5D"/>
    <w:rsid w:val="009B64E3"/>
    <w:rsid w:val="009C5964"/>
    <w:rsid w:val="009C672E"/>
    <w:rsid w:val="009C77A3"/>
    <w:rsid w:val="009D0B90"/>
    <w:rsid w:val="009D3827"/>
    <w:rsid w:val="009D6852"/>
    <w:rsid w:val="009E0725"/>
    <w:rsid w:val="009E0D48"/>
    <w:rsid w:val="009E1EF0"/>
    <w:rsid w:val="009E1F38"/>
    <w:rsid w:val="009E5D18"/>
    <w:rsid w:val="009E6B78"/>
    <w:rsid w:val="009E6D37"/>
    <w:rsid w:val="009F1EC9"/>
    <w:rsid w:val="009F33F8"/>
    <w:rsid w:val="009F4ACF"/>
    <w:rsid w:val="009F5557"/>
    <w:rsid w:val="00A02BFF"/>
    <w:rsid w:val="00A02E7D"/>
    <w:rsid w:val="00A0554C"/>
    <w:rsid w:val="00A1015B"/>
    <w:rsid w:val="00A139AB"/>
    <w:rsid w:val="00A15082"/>
    <w:rsid w:val="00A16AEE"/>
    <w:rsid w:val="00A369E8"/>
    <w:rsid w:val="00A4199A"/>
    <w:rsid w:val="00A4512D"/>
    <w:rsid w:val="00A541E1"/>
    <w:rsid w:val="00A54775"/>
    <w:rsid w:val="00A5502C"/>
    <w:rsid w:val="00A5694A"/>
    <w:rsid w:val="00A65795"/>
    <w:rsid w:val="00A6672E"/>
    <w:rsid w:val="00A705AF"/>
    <w:rsid w:val="00A7126D"/>
    <w:rsid w:val="00A73C2F"/>
    <w:rsid w:val="00A74068"/>
    <w:rsid w:val="00A75B58"/>
    <w:rsid w:val="00A76BE9"/>
    <w:rsid w:val="00A77349"/>
    <w:rsid w:val="00A81D72"/>
    <w:rsid w:val="00A931E2"/>
    <w:rsid w:val="00A93A18"/>
    <w:rsid w:val="00A964DB"/>
    <w:rsid w:val="00A96DED"/>
    <w:rsid w:val="00AA0055"/>
    <w:rsid w:val="00AA0A90"/>
    <w:rsid w:val="00AA3A3E"/>
    <w:rsid w:val="00AA4BCC"/>
    <w:rsid w:val="00AA603A"/>
    <w:rsid w:val="00AA6DC2"/>
    <w:rsid w:val="00AA7B58"/>
    <w:rsid w:val="00AB0A6E"/>
    <w:rsid w:val="00AB221C"/>
    <w:rsid w:val="00AB2B41"/>
    <w:rsid w:val="00AB40AB"/>
    <w:rsid w:val="00AB64E5"/>
    <w:rsid w:val="00AB6E76"/>
    <w:rsid w:val="00AB6ED9"/>
    <w:rsid w:val="00AB6F9B"/>
    <w:rsid w:val="00AC5575"/>
    <w:rsid w:val="00AC637F"/>
    <w:rsid w:val="00AD01B4"/>
    <w:rsid w:val="00AD055C"/>
    <w:rsid w:val="00AD52A0"/>
    <w:rsid w:val="00AD5717"/>
    <w:rsid w:val="00AE05BB"/>
    <w:rsid w:val="00AE0BA6"/>
    <w:rsid w:val="00AE3267"/>
    <w:rsid w:val="00AF6154"/>
    <w:rsid w:val="00B051EB"/>
    <w:rsid w:val="00B07615"/>
    <w:rsid w:val="00B1218D"/>
    <w:rsid w:val="00B163F6"/>
    <w:rsid w:val="00B20701"/>
    <w:rsid w:val="00B213FD"/>
    <w:rsid w:val="00B241B0"/>
    <w:rsid w:val="00B24DF4"/>
    <w:rsid w:val="00B2665E"/>
    <w:rsid w:val="00B30753"/>
    <w:rsid w:val="00B328AF"/>
    <w:rsid w:val="00B32C79"/>
    <w:rsid w:val="00B32DD1"/>
    <w:rsid w:val="00B37148"/>
    <w:rsid w:val="00B3720C"/>
    <w:rsid w:val="00B37974"/>
    <w:rsid w:val="00B37ABB"/>
    <w:rsid w:val="00B41409"/>
    <w:rsid w:val="00B41627"/>
    <w:rsid w:val="00B42851"/>
    <w:rsid w:val="00B456E0"/>
    <w:rsid w:val="00B459E9"/>
    <w:rsid w:val="00B47076"/>
    <w:rsid w:val="00B5113E"/>
    <w:rsid w:val="00B56B37"/>
    <w:rsid w:val="00B57759"/>
    <w:rsid w:val="00B60D44"/>
    <w:rsid w:val="00B60D86"/>
    <w:rsid w:val="00B67F09"/>
    <w:rsid w:val="00B732F1"/>
    <w:rsid w:val="00B766EB"/>
    <w:rsid w:val="00B904EC"/>
    <w:rsid w:val="00B91269"/>
    <w:rsid w:val="00B91454"/>
    <w:rsid w:val="00B93CD5"/>
    <w:rsid w:val="00B9432A"/>
    <w:rsid w:val="00B95A67"/>
    <w:rsid w:val="00B96A84"/>
    <w:rsid w:val="00BA0015"/>
    <w:rsid w:val="00BA2A5D"/>
    <w:rsid w:val="00BA2DE8"/>
    <w:rsid w:val="00BA4AEE"/>
    <w:rsid w:val="00BB2D0A"/>
    <w:rsid w:val="00BC07E4"/>
    <w:rsid w:val="00BC1EF5"/>
    <w:rsid w:val="00BC344D"/>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12706"/>
    <w:rsid w:val="00C206EE"/>
    <w:rsid w:val="00C21185"/>
    <w:rsid w:val="00C23604"/>
    <w:rsid w:val="00C268AC"/>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4B06"/>
    <w:rsid w:val="00C85E91"/>
    <w:rsid w:val="00C911AD"/>
    <w:rsid w:val="00CA04C6"/>
    <w:rsid w:val="00CB0684"/>
    <w:rsid w:val="00CB2190"/>
    <w:rsid w:val="00CB2787"/>
    <w:rsid w:val="00CB5999"/>
    <w:rsid w:val="00CB5B1A"/>
    <w:rsid w:val="00CB733F"/>
    <w:rsid w:val="00CC0C48"/>
    <w:rsid w:val="00CC36EF"/>
    <w:rsid w:val="00CC4B4F"/>
    <w:rsid w:val="00CC4B8E"/>
    <w:rsid w:val="00CC697B"/>
    <w:rsid w:val="00CC7207"/>
    <w:rsid w:val="00CE16CC"/>
    <w:rsid w:val="00CE1712"/>
    <w:rsid w:val="00CE3387"/>
    <w:rsid w:val="00CE3A39"/>
    <w:rsid w:val="00CE7355"/>
    <w:rsid w:val="00CF3753"/>
    <w:rsid w:val="00CF4118"/>
    <w:rsid w:val="00CF6318"/>
    <w:rsid w:val="00CF702F"/>
    <w:rsid w:val="00CF7567"/>
    <w:rsid w:val="00D027F1"/>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2979"/>
    <w:rsid w:val="00D84622"/>
    <w:rsid w:val="00D866F4"/>
    <w:rsid w:val="00D87CBD"/>
    <w:rsid w:val="00D9306A"/>
    <w:rsid w:val="00D944BF"/>
    <w:rsid w:val="00D96327"/>
    <w:rsid w:val="00D96578"/>
    <w:rsid w:val="00DA2EBE"/>
    <w:rsid w:val="00DA3C7F"/>
    <w:rsid w:val="00DB07A4"/>
    <w:rsid w:val="00DB5454"/>
    <w:rsid w:val="00DB5911"/>
    <w:rsid w:val="00DB59C2"/>
    <w:rsid w:val="00DC0477"/>
    <w:rsid w:val="00DC0D24"/>
    <w:rsid w:val="00DD047B"/>
    <w:rsid w:val="00DD5D99"/>
    <w:rsid w:val="00DD6F15"/>
    <w:rsid w:val="00DE3C4E"/>
    <w:rsid w:val="00DE4B07"/>
    <w:rsid w:val="00DE5D9E"/>
    <w:rsid w:val="00DE75D8"/>
    <w:rsid w:val="00DF0B12"/>
    <w:rsid w:val="00DF3751"/>
    <w:rsid w:val="00DF515C"/>
    <w:rsid w:val="00DF5695"/>
    <w:rsid w:val="00E015E6"/>
    <w:rsid w:val="00E05B44"/>
    <w:rsid w:val="00E066B4"/>
    <w:rsid w:val="00E13C5C"/>
    <w:rsid w:val="00E209BF"/>
    <w:rsid w:val="00E236C6"/>
    <w:rsid w:val="00E3115C"/>
    <w:rsid w:val="00E34876"/>
    <w:rsid w:val="00E34F33"/>
    <w:rsid w:val="00E35CBB"/>
    <w:rsid w:val="00E35DC5"/>
    <w:rsid w:val="00E40F95"/>
    <w:rsid w:val="00E41CF8"/>
    <w:rsid w:val="00E4269D"/>
    <w:rsid w:val="00E4312B"/>
    <w:rsid w:val="00E5213C"/>
    <w:rsid w:val="00E57576"/>
    <w:rsid w:val="00E604B3"/>
    <w:rsid w:val="00E60650"/>
    <w:rsid w:val="00E60EE1"/>
    <w:rsid w:val="00E6109E"/>
    <w:rsid w:val="00E708F6"/>
    <w:rsid w:val="00E71483"/>
    <w:rsid w:val="00E716B4"/>
    <w:rsid w:val="00E7210E"/>
    <w:rsid w:val="00E86B67"/>
    <w:rsid w:val="00E9314D"/>
    <w:rsid w:val="00E95DFC"/>
    <w:rsid w:val="00EA0B96"/>
    <w:rsid w:val="00EA33D5"/>
    <w:rsid w:val="00EA5E02"/>
    <w:rsid w:val="00EA5FD0"/>
    <w:rsid w:val="00EA63B1"/>
    <w:rsid w:val="00EB0020"/>
    <w:rsid w:val="00EB068A"/>
    <w:rsid w:val="00EB0D78"/>
    <w:rsid w:val="00EC7D3F"/>
    <w:rsid w:val="00ED0468"/>
    <w:rsid w:val="00ED0DD3"/>
    <w:rsid w:val="00ED648B"/>
    <w:rsid w:val="00EE16DD"/>
    <w:rsid w:val="00EE2564"/>
    <w:rsid w:val="00EE2AE5"/>
    <w:rsid w:val="00EE31B0"/>
    <w:rsid w:val="00EE356F"/>
    <w:rsid w:val="00EE37B4"/>
    <w:rsid w:val="00EE397E"/>
    <w:rsid w:val="00EE65B1"/>
    <w:rsid w:val="00EF1C55"/>
    <w:rsid w:val="00EF1C95"/>
    <w:rsid w:val="00EF23C0"/>
    <w:rsid w:val="00EF2774"/>
    <w:rsid w:val="00EF3163"/>
    <w:rsid w:val="00EF4059"/>
    <w:rsid w:val="00EF5586"/>
    <w:rsid w:val="00EF6C48"/>
    <w:rsid w:val="00F00403"/>
    <w:rsid w:val="00F04210"/>
    <w:rsid w:val="00F05832"/>
    <w:rsid w:val="00F067A6"/>
    <w:rsid w:val="00F078B7"/>
    <w:rsid w:val="00F07B77"/>
    <w:rsid w:val="00F100D6"/>
    <w:rsid w:val="00F1278D"/>
    <w:rsid w:val="00F14BFD"/>
    <w:rsid w:val="00F17566"/>
    <w:rsid w:val="00F20AC0"/>
    <w:rsid w:val="00F20F84"/>
    <w:rsid w:val="00F238F2"/>
    <w:rsid w:val="00F332B3"/>
    <w:rsid w:val="00F337D1"/>
    <w:rsid w:val="00F34D63"/>
    <w:rsid w:val="00F35F7A"/>
    <w:rsid w:val="00F41C35"/>
    <w:rsid w:val="00F4438C"/>
    <w:rsid w:val="00F46ED7"/>
    <w:rsid w:val="00F549D7"/>
    <w:rsid w:val="00F556DB"/>
    <w:rsid w:val="00F560D5"/>
    <w:rsid w:val="00F56325"/>
    <w:rsid w:val="00F6004C"/>
    <w:rsid w:val="00F719FC"/>
    <w:rsid w:val="00F73D95"/>
    <w:rsid w:val="00F77044"/>
    <w:rsid w:val="00F8015E"/>
    <w:rsid w:val="00F83598"/>
    <w:rsid w:val="00F85766"/>
    <w:rsid w:val="00F866FA"/>
    <w:rsid w:val="00F91869"/>
    <w:rsid w:val="00F91CCA"/>
    <w:rsid w:val="00F931D3"/>
    <w:rsid w:val="00F95769"/>
    <w:rsid w:val="00F96BA0"/>
    <w:rsid w:val="00FA289A"/>
    <w:rsid w:val="00FA3C5E"/>
    <w:rsid w:val="00FA4197"/>
    <w:rsid w:val="00FB375B"/>
    <w:rsid w:val="00FB6425"/>
    <w:rsid w:val="00FB722E"/>
    <w:rsid w:val="00FC56B4"/>
    <w:rsid w:val="00FC7F5D"/>
    <w:rsid w:val="00FD1BC7"/>
    <w:rsid w:val="00FD1D84"/>
    <w:rsid w:val="00FD1F7D"/>
    <w:rsid w:val="00FD4E9C"/>
    <w:rsid w:val="00FD50A4"/>
    <w:rsid w:val="00FD744A"/>
    <w:rsid w:val="00FE4538"/>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94AB3"/>
  <w15:docId w15:val="{BFE8720B-6B13-4586-A25B-0206A9F0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qFormat/>
    <w:rsid w:val="0071583E"/>
    <w:pPr>
      <w:pageBreakBefore w:val="0"/>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link w:val="Heading4Char"/>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iPriority w:val="39"/>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paragraph" w:customStyle="1" w:styleId="PublicationDate">
    <w:name w:val="Publication Date"/>
    <w:basedOn w:val="Normal"/>
    <w:link w:val="PublicationDateChar"/>
    <w:uiPriority w:val="99"/>
    <w:qFormat/>
    <w:rsid w:val="00EF6C48"/>
    <w:pPr>
      <w:spacing w:before="240" w:after="240"/>
    </w:pPr>
    <w:rPr>
      <w:rFonts w:asciiTheme="minorHAnsi" w:hAnsiTheme="minorHAnsi"/>
      <w:color w:val="0A4A63"/>
      <w:sz w:val="32"/>
      <w:szCs w:val="40"/>
    </w:rPr>
  </w:style>
  <w:style w:type="character" w:customStyle="1" w:styleId="PublicationDateChar">
    <w:name w:val="Publication Date Char"/>
    <w:basedOn w:val="DefaultParagraphFont"/>
    <w:link w:val="PublicationDate"/>
    <w:uiPriority w:val="99"/>
    <w:rsid w:val="00EF6C48"/>
    <w:rPr>
      <w:rFonts w:asciiTheme="minorHAnsi" w:hAnsiTheme="minorHAnsi"/>
      <w:color w:val="0A4A63"/>
      <w:sz w:val="32"/>
      <w:szCs w:val="40"/>
      <w:lang w:eastAsia="en-AU"/>
    </w:rPr>
  </w:style>
  <w:style w:type="character" w:styleId="CommentReference">
    <w:name w:val="annotation reference"/>
    <w:basedOn w:val="DefaultParagraphFont"/>
    <w:unhideWhenUsed/>
    <w:locked/>
    <w:rsid w:val="004F688C"/>
    <w:rPr>
      <w:sz w:val="16"/>
      <w:szCs w:val="16"/>
    </w:rPr>
  </w:style>
  <w:style w:type="paragraph" w:styleId="CommentText">
    <w:name w:val="annotation text"/>
    <w:basedOn w:val="Normal"/>
    <w:link w:val="CommentTextChar"/>
    <w:unhideWhenUsed/>
    <w:locked/>
    <w:rsid w:val="004F688C"/>
    <w:rPr>
      <w:sz w:val="20"/>
      <w:szCs w:val="20"/>
    </w:rPr>
  </w:style>
  <w:style w:type="character" w:customStyle="1" w:styleId="CommentTextChar">
    <w:name w:val="Comment Text Char"/>
    <w:basedOn w:val="DefaultParagraphFont"/>
    <w:link w:val="CommentText"/>
    <w:rsid w:val="004F688C"/>
    <w:rPr>
      <w:lang w:eastAsia="en-AU"/>
    </w:rPr>
  </w:style>
  <w:style w:type="paragraph" w:styleId="CommentSubject">
    <w:name w:val="annotation subject"/>
    <w:basedOn w:val="CommentText"/>
    <w:next w:val="CommentText"/>
    <w:link w:val="CommentSubjectChar"/>
    <w:uiPriority w:val="98"/>
    <w:semiHidden/>
    <w:unhideWhenUsed/>
    <w:locked/>
    <w:rsid w:val="004F688C"/>
    <w:rPr>
      <w:b/>
      <w:bCs/>
    </w:rPr>
  </w:style>
  <w:style w:type="character" w:customStyle="1" w:styleId="CommentSubjectChar">
    <w:name w:val="Comment Subject Char"/>
    <w:basedOn w:val="CommentTextChar"/>
    <w:link w:val="CommentSubject"/>
    <w:uiPriority w:val="98"/>
    <w:semiHidden/>
    <w:rsid w:val="004F688C"/>
    <w:rPr>
      <w:b/>
      <w:bCs/>
      <w:lang w:eastAsia="en-AU"/>
    </w:rPr>
  </w:style>
  <w:style w:type="character" w:customStyle="1" w:styleId="Heading4Char">
    <w:name w:val="Heading 4 Char"/>
    <w:basedOn w:val="DefaultParagraphFont"/>
    <w:link w:val="Heading4"/>
    <w:rsid w:val="00506876"/>
    <w:rPr>
      <w:b/>
      <w:bCs/>
      <w:color w:val="000000"/>
      <w:sz w:val="24"/>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safetyandquality.gov.au/mh-cm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safetyandquality.gov.au/standards/national-safety-and-quality-mental-health-standards-community-managed-organisations"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tyandquality.gov.au/mh-cmo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hyperlink" Target="https://www.safetyandquality.gov.au/publications-and-resources/resource-library/self-assessment-tool-cmos" TargetMode="External"/><Relationship Id="rId19" Type="http://schemas.openxmlformats.org/officeDocument/2006/relationships/hyperlink" Target="mailto:Advice.Centre@safetyandquality.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v\AppData\Roaming\Micro%20focus\content%20manager\TRIM\TEMP\HPTRIM.10004\D23-23749%20%20TEMPLATE%20-%20Accessible%20Word%20-%20Fact%20sheet%20for%20HSOs%20-%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3.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D23-23749  TEMPLATE - Accessible Word - Fact sheet for HSOs -  21 July 2023.DOTX</Template>
  <TotalTime>0</TotalTime>
  <Pages>9</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13902</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ROSSI, Vanessa</dc:creator>
  <cp:keywords/>
  <dc:description/>
  <cp:lastModifiedBy>ROSSI, Vanessa</cp:lastModifiedBy>
  <cp:revision>2</cp:revision>
  <cp:lastPrinted>2020-03-04T03:32:00Z</cp:lastPrinted>
  <dcterms:created xsi:type="dcterms:W3CDTF">2025-07-06T23:20:00Z</dcterms:created>
  <dcterms:modified xsi:type="dcterms:W3CDTF">2025-07-06T23:20:00Z</dcterms:modified>
  <cp:category/>
</cp:coreProperties>
</file>