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C9A9F" w14:textId="77777777" w:rsidR="00812BC5" w:rsidRDefault="00812BC5">
      <w:pPr>
        <w:rPr>
          <w:lang w:val="en-GB"/>
        </w:rPr>
      </w:pPr>
    </w:p>
    <w:sdt>
      <w:sdtPr>
        <w:rPr>
          <w:lang w:val="en-GB"/>
        </w:rPr>
        <w:id w:val="-1636250267"/>
        <w:docPartObj>
          <w:docPartGallery w:val="Cover Pages"/>
          <w:docPartUnique/>
        </w:docPartObj>
      </w:sdtPr>
      <w:sdtContent>
        <w:p w14:paraId="2DB35AED" w14:textId="3DB5CCF3" w:rsidR="00F124B7" w:rsidRDefault="00F124B7">
          <w:pPr>
            <w:rPr>
              <w:lang w:val="en-GB"/>
            </w:rPr>
          </w:pPr>
          <w:r>
            <w:rPr>
              <w:noProof/>
              <w:lang w:val="en-GB"/>
            </w:rPr>
            <w:drawing>
              <wp:anchor distT="0" distB="0" distL="114300" distR="114300" simplePos="0" relativeHeight="251680768" behindDoc="1" locked="1" layoutInCell="1" allowOverlap="1" wp14:anchorId="4311F4D3" wp14:editId="22EA0E55">
                <wp:simplePos x="859809" y="1705970"/>
                <wp:positionH relativeFrom="page">
                  <wp:align>left</wp:align>
                </wp:positionH>
                <wp:positionV relativeFrom="page">
                  <wp:align>top</wp:align>
                </wp:positionV>
                <wp:extent cx="7560000" cy="10695600"/>
                <wp:effectExtent l="0" t="0" r="3175" b="0"/>
                <wp:wrapNone/>
                <wp:docPr id="309679144" name="Picture 22" descr="A purpl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descr="A purple and white rectang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360045" distL="114300" distR="114300" simplePos="0" relativeHeight="251679744" behindDoc="0" locked="1" layoutInCell="1" allowOverlap="1" wp14:anchorId="083497E4" wp14:editId="64B3C477">
                <wp:simplePos x="0" y="0"/>
                <wp:positionH relativeFrom="page">
                  <wp:posOffset>648335</wp:posOffset>
                </wp:positionH>
                <wp:positionV relativeFrom="page">
                  <wp:posOffset>648335</wp:posOffset>
                </wp:positionV>
                <wp:extent cx="1782000" cy="615600"/>
                <wp:effectExtent l="0" t="0" r="8890" b="0"/>
                <wp:wrapTopAndBottom/>
                <wp:docPr id="1921113218"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3218" name="Picture 21"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54B3EFB7" w14:textId="295E7D43" w:rsidR="00F124B7" w:rsidRDefault="00000000" w:rsidP="00062BA3">
          <w:pPr>
            <w:pStyle w:val="Date"/>
            <w:framePr w:wrap="around"/>
            <w:rPr>
              <w:lang w:val="en-GB"/>
            </w:rPr>
          </w:pPr>
          <w:sdt>
            <w:sdtPr>
              <w:rPr>
                <w:lang w:val="en-GB"/>
              </w:rPr>
              <w:id w:val="2064452849"/>
              <w:placeholder>
                <w:docPart w:val="237A0F0047D14C0F8F2997B87F62CCDE"/>
              </w:placeholder>
              <w:date w:fullDate="2025-09-10T00:00:00Z">
                <w:dateFormat w:val="d MMMM yyyy"/>
                <w:lid w:val="en-AU"/>
                <w:storeMappedDataAs w:val="dateTime"/>
                <w:calendar w:val="gregorian"/>
              </w:date>
            </w:sdtPr>
            <w:sdtContent>
              <w:r w:rsidR="005013B9">
                <w:t>10 September 2025</w:t>
              </w:r>
            </w:sdtContent>
          </w:sdt>
          <w:r w:rsidR="00F124B7">
            <w:rPr>
              <w:lang w:val="en-GB"/>
            </w:rPr>
            <w:t xml:space="preserve"> </w:t>
          </w:r>
          <w:r w:rsidR="00F124B7">
            <w:rPr>
              <w:lang w:val="en-GB"/>
            </w:rPr>
            <w:tab/>
            <w:t>s</w:t>
          </w:r>
          <w:r w:rsidR="00F124B7" w:rsidRPr="00896871">
            <w:rPr>
              <w:lang w:val="en-GB"/>
            </w:rPr>
            <w:t>afetyandquality.gov.au</w:t>
          </w:r>
        </w:p>
        <w:sdt>
          <w:sdtPr>
            <w:id w:val="-919949614"/>
            <w:placeholder>
              <w:docPart w:val="B8FDFFC571514B5281D60BBA613955CE"/>
            </w:placeholder>
          </w:sdtPr>
          <w:sdtContent>
            <w:sdt>
              <w:sdtPr>
                <w:id w:val="978810116"/>
                <w:placeholder>
                  <w:docPart w:val="2722291FDFAD4638B2EB53CEB2643DFE"/>
                </w:placeholder>
                <w:text w:multiLine="1"/>
              </w:sdtPr>
              <w:sdtContent>
                <w:p w14:paraId="4203A244" w14:textId="77777777" w:rsidR="008B6CDD" w:rsidRPr="008B6CDD" w:rsidRDefault="008B6CDD" w:rsidP="008B6CDD">
                  <w:pPr>
                    <w:pStyle w:val="Title"/>
                    <w:framePr w:wrap="around" w:x="1033" w:y="4815"/>
                  </w:pPr>
                  <w:r w:rsidRPr="008B6CDD">
                    <w:t>National Sepsis Program Extension</w:t>
                  </w:r>
                  <w:r w:rsidRPr="008B6CDD">
                    <w:br/>
                    <w:t>Epidemiology Report</w:t>
                  </w:r>
                </w:p>
              </w:sdtContent>
            </w:sdt>
            <w:p w14:paraId="16003379" w14:textId="2074E0B9" w:rsidR="00F124B7" w:rsidRPr="00062BA3" w:rsidRDefault="00000000" w:rsidP="004525FC">
              <w:pPr>
                <w:pStyle w:val="Title"/>
                <w:framePr w:wrap="around" w:x="1033" w:y="4815"/>
              </w:pPr>
            </w:p>
          </w:sdtContent>
        </w:sdt>
        <w:p w14:paraId="20C36354" w14:textId="424933E7" w:rsidR="00F124B7" w:rsidRDefault="00000000" w:rsidP="004525FC">
          <w:pPr>
            <w:pStyle w:val="Subtitle"/>
            <w:framePr w:wrap="around" w:x="1033" w:y="4815"/>
          </w:pPr>
          <w:sdt>
            <w:sdtPr>
              <w:id w:val="-1419550553"/>
              <w:placeholder>
                <w:docPart w:val="58447B5B00F0439892AFE460989D2FF4"/>
              </w:placeholder>
            </w:sdtPr>
            <w:sdtContent>
              <w:r w:rsidR="005013B9">
                <w:t>A national analysis of the sepsis patient journey in Australian public hospital admitted care</w:t>
              </w:r>
            </w:sdtContent>
          </w:sdt>
          <w:r w:rsidR="007F3B3D" w:rsidRPr="007F3B3D">
            <w:rPr>
              <w:color w:val="FFFFFF" w:themeColor="background1"/>
            </w:rPr>
            <w:t xml:space="preserve"> </w:t>
          </w:r>
          <w:r w:rsidR="007F3B3D">
            <w:rPr>
              <w:color w:val="FFFFFF" w:themeColor="background1"/>
            </w:rPr>
            <w:t>national analysis of the sepsis patient journey in Australian public hospital admitted care</w:t>
          </w:r>
        </w:p>
        <w:p w14:paraId="02C6541A" w14:textId="77777777" w:rsidR="00F124B7" w:rsidRDefault="00F124B7">
          <w:pPr>
            <w:rPr>
              <w:lang w:val="en-GB"/>
            </w:rPr>
          </w:pPr>
        </w:p>
        <w:p w14:paraId="0D9520F8" w14:textId="77777777" w:rsidR="00F124B7" w:rsidRDefault="00F124B7">
          <w:pPr>
            <w:rPr>
              <w:lang w:val="en-GB"/>
            </w:rPr>
          </w:pPr>
          <w:r>
            <w:rPr>
              <w:lang w:val="en-GB"/>
            </w:rPr>
            <w:br w:type="page"/>
          </w:r>
        </w:p>
      </w:sdtContent>
    </w:sdt>
    <w:p w14:paraId="2D1E946D" w14:textId="77777777" w:rsidR="007F1006" w:rsidRPr="007F1006" w:rsidRDefault="007F1006" w:rsidP="007F1006">
      <w:pPr>
        <w:rPr>
          <w:lang w:val="en-GB"/>
        </w:rPr>
      </w:pPr>
      <w:r w:rsidRPr="007F1006">
        <w:rPr>
          <w:lang w:val="en-GB"/>
        </w:rPr>
        <w:lastRenderedPageBreak/>
        <w:t>Published by the Australian Commission on Safety and Quality in Health Care</w:t>
      </w:r>
    </w:p>
    <w:p w14:paraId="0930EB46" w14:textId="77777777" w:rsidR="007F1006" w:rsidRPr="007F1006" w:rsidRDefault="007F1006" w:rsidP="003A5810">
      <w:pPr>
        <w:pStyle w:val="NoSpacing"/>
        <w:rPr>
          <w:lang w:val="en-GB"/>
        </w:rPr>
      </w:pPr>
      <w:r w:rsidRPr="007F1006">
        <w:rPr>
          <w:lang w:val="en-GB"/>
        </w:rPr>
        <w:t>Level 5, 255 Elizabeth Street, Sydney NSW 2000</w:t>
      </w:r>
    </w:p>
    <w:p w14:paraId="34BE8F75" w14:textId="2744F749" w:rsidR="007F1006" w:rsidRPr="007F1006" w:rsidRDefault="007F1006" w:rsidP="003A5810">
      <w:pPr>
        <w:pStyle w:val="NoSpacing"/>
        <w:rPr>
          <w:lang w:val="en-GB"/>
        </w:rPr>
      </w:pPr>
      <w:r w:rsidRPr="007F1006">
        <w:rPr>
          <w:lang w:val="en-GB"/>
        </w:rPr>
        <w:t>Phone: (02) 9126 3600</w:t>
      </w:r>
    </w:p>
    <w:p w14:paraId="0D9249BC" w14:textId="51C38AD1" w:rsidR="007F1006" w:rsidRPr="007F1006" w:rsidRDefault="007F1006" w:rsidP="003A5810">
      <w:pPr>
        <w:pStyle w:val="NoSpacing"/>
        <w:rPr>
          <w:lang w:val="en-GB"/>
        </w:rPr>
      </w:pPr>
      <w:r w:rsidRPr="007F1006">
        <w:rPr>
          <w:lang w:val="en-GB"/>
        </w:rPr>
        <w:t xml:space="preserve">Email: </w:t>
      </w:r>
      <w:hyperlink r:id="rId13" w:history="1">
        <w:r w:rsidRPr="007F1006">
          <w:rPr>
            <w:rStyle w:val="Hyperlink"/>
            <w:lang w:val="en-GB"/>
          </w:rPr>
          <w:t>mail@safetyandquality.gov.au</w:t>
        </w:r>
      </w:hyperlink>
    </w:p>
    <w:p w14:paraId="402356B0" w14:textId="77777777" w:rsidR="007F1006" w:rsidRDefault="007F1006" w:rsidP="003A5810">
      <w:pPr>
        <w:pStyle w:val="NoSpacing"/>
        <w:rPr>
          <w:lang w:val="en-GB"/>
        </w:rPr>
      </w:pPr>
      <w:r w:rsidRPr="007F1006">
        <w:rPr>
          <w:lang w:val="en-GB"/>
        </w:rPr>
        <w:t xml:space="preserve">Website: </w:t>
      </w:r>
      <w:hyperlink r:id="rId14" w:history="1">
        <w:r w:rsidRPr="007F1006">
          <w:rPr>
            <w:rStyle w:val="Hyperlink"/>
            <w:lang w:val="en-GB"/>
          </w:rPr>
          <w:t>safetyandquality.gov.au</w:t>
        </w:r>
      </w:hyperlink>
    </w:p>
    <w:p w14:paraId="26C169EB" w14:textId="46917ED7" w:rsidR="007F1006" w:rsidRPr="007F1006" w:rsidRDefault="007F1006" w:rsidP="008F5915">
      <w:pPr>
        <w:spacing w:before="0"/>
        <w:rPr>
          <w:lang w:val="en-GB"/>
        </w:rPr>
      </w:pPr>
      <w:r w:rsidRPr="007F1006">
        <w:rPr>
          <w:lang w:val="en-GB"/>
        </w:rPr>
        <w:t xml:space="preserve">ISBN: </w:t>
      </w:r>
      <w:r w:rsidR="008E5623" w:rsidRPr="00F747A1">
        <w:rPr>
          <w:color w:val="auto"/>
          <w:lang w:val="en-GB"/>
        </w:rPr>
        <w:t>978-1-923353-06-0</w:t>
      </w:r>
    </w:p>
    <w:p w14:paraId="650916E3" w14:textId="0C556CF6" w:rsidR="007F1006" w:rsidRPr="006B6B6B" w:rsidRDefault="007F1006" w:rsidP="007F1006">
      <w:pPr>
        <w:rPr>
          <w:color w:val="auto"/>
          <w:lang w:val="en-GB"/>
        </w:rPr>
      </w:pPr>
      <w:r w:rsidRPr="007F1006">
        <w:rPr>
          <w:lang w:val="en-GB"/>
        </w:rPr>
        <w:t xml:space="preserve">© Australian Commission on Safety and Quality in Health Care </w:t>
      </w:r>
      <w:r w:rsidR="006B6B6B" w:rsidRPr="006B6B6B">
        <w:rPr>
          <w:color w:val="auto"/>
          <w:lang w:val="en-GB"/>
        </w:rPr>
        <w:t>2025</w:t>
      </w:r>
    </w:p>
    <w:p w14:paraId="28BFFD59" w14:textId="3FC4C00D" w:rsidR="007F1006" w:rsidRPr="007F1006" w:rsidRDefault="007F1006" w:rsidP="007F1006">
      <w:pPr>
        <w:rPr>
          <w:lang w:val="en-GB"/>
        </w:rPr>
      </w:pPr>
      <w:r w:rsidRPr="007F1006">
        <w:rPr>
          <w:lang w:val="en-GB"/>
        </w:rPr>
        <w:t>All material and work produced by the Australian Commission on Safety and Quality in Health Care (the Commission) is protected by copyright. The Commission reserves the right to set out the terms and conditions for the use of such material.</w:t>
      </w:r>
    </w:p>
    <w:p w14:paraId="686714F9" w14:textId="77777777"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59C85E6" w14:textId="77777777"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5" w:history="1">
        <w:r w:rsidRPr="007F1006">
          <w:rPr>
            <w:rStyle w:val="Hyperlink"/>
            <w:lang w:val="en-GB"/>
          </w:rPr>
          <w:t>Creative Commons Attribution-NonCommercial-NoDerivatives 4.0 International licence</w:t>
        </w:r>
      </w:hyperlink>
      <w:r w:rsidRPr="007F1006">
        <w:rPr>
          <w:lang w:val="en-GB"/>
        </w:rPr>
        <w:t>.</w:t>
      </w:r>
    </w:p>
    <w:p w14:paraId="70C9A28A" w14:textId="77777777" w:rsidR="007F1006" w:rsidRPr="007F1006" w:rsidRDefault="007F1006" w:rsidP="007F1006">
      <w:pPr>
        <w:rPr>
          <w:b/>
          <w:bCs/>
          <w:u w:val="thick"/>
          <w:lang w:val="en-GB"/>
        </w:rPr>
      </w:pPr>
      <w:r>
        <w:rPr>
          <w:b/>
          <w:bCs/>
          <w:noProof/>
          <w:u w:val="thick"/>
          <w:lang w:val="en-GB"/>
        </w:rPr>
        <w:drawing>
          <wp:inline distT="0" distB="0" distL="0" distR="0" wp14:anchorId="5F8503BD" wp14:editId="7F4BFF36">
            <wp:extent cx="576073" cy="201168"/>
            <wp:effectExtent l="0" t="0" r="0" b="8890"/>
            <wp:docPr id="14260359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026D8E1C" w14:textId="77777777"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7" w:history="1">
        <w:r w:rsidR="000A6E98" w:rsidRPr="000A6E98">
          <w:rPr>
            <w:rStyle w:val="Hyperlink"/>
            <w:lang w:val="en-GB"/>
          </w:rPr>
          <w:t>safetyandquality.gov.au/permission-request</w:t>
        </w:r>
      </w:hyperlink>
      <w:r w:rsidR="000A6E98" w:rsidRPr="000A6E98">
        <w:rPr>
          <w:color w:val="auto"/>
          <w:lang w:val="en-GB"/>
        </w:rPr>
        <w:t>.</w:t>
      </w:r>
    </w:p>
    <w:p w14:paraId="3FF172F5" w14:textId="77777777" w:rsidR="007F1006" w:rsidRPr="007F1006" w:rsidRDefault="007F1006" w:rsidP="007F1006">
      <w:pPr>
        <w:rPr>
          <w:lang w:val="en-GB"/>
        </w:rPr>
      </w:pPr>
      <w:r w:rsidRPr="007F1006">
        <w:rPr>
          <w:lang w:val="en-GB"/>
        </w:rPr>
        <w:t>The Commission’s preference is that you attribute this publication (and any material sourced from it) using the following citation:</w:t>
      </w:r>
    </w:p>
    <w:p w14:paraId="2CD3EFFB" w14:textId="530E362A" w:rsidR="007F1006" w:rsidRPr="00200A33" w:rsidRDefault="006B6B6B" w:rsidP="007F1006">
      <w:pPr>
        <w:rPr>
          <w:color w:val="EE0000"/>
          <w:lang w:val="en-GB"/>
        </w:rPr>
      </w:pPr>
      <w:r w:rsidRPr="00AD378D">
        <w:rPr>
          <w:color w:val="auto"/>
          <w:lang w:val="en-GB"/>
        </w:rPr>
        <w:t>Australian Commission on Safety and Quality in Health Care. National Sepsis Program Extension, Epidemiology Report, A national analysis of the sepsis patient journey in Australian public hospital admitted care, Sydney: ACSQHC; 2025</w:t>
      </w:r>
      <w:r w:rsidRPr="00200A33">
        <w:rPr>
          <w:color w:val="EE0000"/>
          <w:lang w:val="en-GB"/>
        </w:rPr>
        <w:t>.</w:t>
      </w:r>
    </w:p>
    <w:p w14:paraId="59AA4BE5" w14:textId="77777777" w:rsidR="007F1006" w:rsidRPr="007F1006" w:rsidRDefault="007F1006" w:rsidP="007F1006">
      <w:pPr>
        <w:rPr>
          <w:b/>
          <w:bCs/>
          <w:lang w:val="en-GB"/>
        </w:rPr>
      </w:pPr>
      <w:r w:rsidRPr="007F1006">
        <w:rPr>
          <w:b/>
          <w:bCs/>
          <w:lang w:val="en-GB"/>
        </w:rPr>
        <w:t>Disclaimer</w:t>
      </w:r>
    </w:p>
    <w:p w14:paraId="752E769E" w14:textId="5FDC0423" w:rsidR="007F1006" w:rsidRPr="007F1006" w:rsidRDefault="007F1006" w:rsidP="007F1006">
      <w:pPr>
        <w:rPr>
          <w:lang w:val="en-GB"/>
        </w:rPr>
      </w:pPr>
      <w:r w:rsidRPr="007F1006">
        <w:rPr>
          <w:lang w:val="en-GB"/>
        </w:rPr>
        <w:t>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w:t>
      </w:r>
    </w:p>
    <w:p w14:paraId="128970DB" w14:textId="21BBDE90" w:rsidR="007F1006" w:rsidRDefault="007F1006" w:rsidP="00444B74">
      <w:pPr>
        <w:rPr>
          <w:lang w:val="en-GB"/>
        </w:rPr>
      </w:pPr>
      <w:r w:rsidRPr="007F1006">
        <w:rPr>
          <w:lang w:val="en-GB"/>
        </w:rPr>
        <w:t>The Commission does not accept any legal liability for any injury, loss or damage incurred by the use of, or reliance on, this document.</w:t>
      </w:r>
    </w:p>
    <w:p w14:paraId="3DBB32F0" w14:textId="77777777" w:rsidR="00062BA3" w:rsidRDefault="00062BA3" w:rsidP="00444B74"/>
    <w:p w14:paraId="519DEF90" w14:textId="77777777" w:rsidR="007F1006" w:rsidRDefault="007F1006" w:rsidP="00444B74">
      <w:pPr>
        <w:sectPr w:rsidR="007F1006" w:rsidSect="001851E5">
          <w:footerReference w:type="default" r:id="rId18"/>
          <w:pgSz w:w="11906" w:h="16838" w:code="9"/>
          <w:pgMar w:top="1361" w:right="1361" w:bottom="1361" w:left="1361" w:header="567" w:footer="567" w:gutter="0"/>
          <w:pgNumType w:start="0"/>
          <w:cols w:space="708"/>
          <w:vAlign w:val="bottom"/>
          <w:titlePg/>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32FC4101" w14:textId="77777777" w:rsidR="00444B74" w:rsidRDefault="00444B74">
          <w:pPr>
            <w:pStyle w:val="TOCHeading"/>
          </w:pPr>
          <w:r>
            <w:t>Contents</w:t>
          </w:r>
        </w:p>
        <w:p w14:paraId="21D02BA4" w14:textId="6FF2BE7B" w:rsidR="007C0EA9" w:rsidRDefault="005F36C3">
          <w:pPr>
            <w:pStyle w:val="TOC1"/>
            <w:rPr>
              <w:rFonts w:eastAsiaTheme="minorEastAsia" w:cstheme="minorBidi"/>
              <w:b w:val="0"/>
              <w:noProof/>
              <w:color w:val="auto"/>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206495277" w:history="1">
            <w:r w:rsidR="007C0EA9" w:rsidRPr="00ED2E8A">
              <w:rPr>
                <w:rStyle w:val="Hyperlink"/>
                <w:noProof/>
              </w:rPr>
              <w:t>Executive Summary</w:t>
            </w:r>
            <w:r w:rsidR="007C0EA9">
              <w:rPr>
                <w:noProof/>
                <w:webHidden/>
              </w:rPr>
              <w:tab/>
            </w:r>
            <w:r w:rsidR="007C0EA9">
              <w:rPr>
                <w:noProof/>
                <w:webHidden/>
              </w:rPr>
              <w:fldChar w:fldCharType="begin"/>
            </w:r>
            <w:r w:rsidR="007C0EA9">
              <w:rPr>
                <w:noProof/>
                <w:webHidden/>
              </w:rPr>
              <w:instrText xml:space="preserve"> PAGEREF _Toc206495277 \h </w:instrText>
            </w:r>
            <w:r w:rsidR="007C0EA9">
              <w:rPr>
                <w:noProof/>
                <w:webHidden/>
              </w:rPr>
            </w:r>
            <w:r w:rsidR="007C0EA9">
              <w:rPr>
                <w:noProof/>
                <w:webHidden/>
              </w:rPr>
              <w:fldChar w:fldCharType="separate"/>
            </w:r>
            <w:r w:rsidR="0086194B">
              <w:rPr>
                <w:noProof/>
                <w:webHidden/>
              </w:rPr>
              <w:t>4</w:t>
            </w:r>
            <w:r w:rsidR="007C0EA9">
              <w:rPr>
                <w:noProof/>
                <w:webHidden/>
              </w:rPr>
              <w:fldChar w:fldCharType="end"/>
            </w:r>
          </w:hyperlink>
        </w:p>
        <w:p w14:paraId="4A26ED8C" w14:textId="1C2869C3"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78" w:history="1">
            <w:r w:rsidRPr="00ED2E8A">
              <w:rPr>
                <w:rStyle w:val="Hyperlink"/>
                <w:noProof/>
              </w:rPr>
              <w:t>Key Findings</w:t>
            </w:r>
            <w:r>
              <w:rPr>
                <w:noProof/>
                <w:webHidden/>
              </w:rPr>
              <w:tab/>
            </w:r>
            <w:r>
              <w:rPr>
                <w:noProof/>
                <w:webHidden/>
              </w:rPr>
              <w:fldChar w:fldCharType="begin"/>
            </w:r>
            <w:r>
              <w:rPr>
                <w:noProof/>
                <w:webHidden/>
              </w:rPr>
              <w:instrText xml:space="preserve"> PAGEREF _Toc206495278 \h </w:instrText>
            </w:r>
            <w:r>
              <w:rPr>
                <w:noProof/>
                <w:webHidden/>
              </w:rPr>
            </w:r>
            <w:r>
              <w:rPr>
                <w:noProof/>
                <w:webHidden/>
              </w:rPr>
              <w:fldChar w:fldCharType="separate"/>
            </w:r>
            <w:r w:rsidR="0086194B">
              <w:rPr>
                <w:noProof/>
                <w:webHidden/>
              </w:rPr>
              <w:t>5</w:t>
            </w:r>
            <w:r>
              <w:rPr>
                <w:noProof/>
                <w:webHidden/>
              </w:rPr>
              <w:fldChar w:fldCharType="end"/>
            </w:r>
          </w:hyperlink>
        </w:p>
        <w:p w14:paraId="5273EBD3" w14:textId="7CA08AD1" w:rsidR="007C0EA9" w:rsidRDefault="007C0EA9">
          <w:pPr>
            <w:pStyle w:val="TOC2"/>
            <w:rPr>
              <w:rFonts w:eastAsiaTheme="minorEastAsia" w:cstheme="minorBidi"/>
              <w:color w:val="auto"/>
              <w:kern w:val="2"/>
              <w:sz w:val="24"/>
              <w:szCs w:val="24"/>
              <w:lang w:eastAsia="en-AU"/>
              <w14:ligatures w14:val="standardContextual"/>
            </w:rPr>
          </w:pPr>
          <w:hyperlink w:anchor="_Toc206495279" w:history="1">
            <w:r w:rsidRPr="00ED2E8A">
              <w:rPr>
                <w:rStyle w:val="Hyperlink"/>
              </w:rPr>
              <w:t>Future Directions</w:t>
            </w:r>
            <w:r>
              <w:rPr>
                <w:webHidden/>
              </w:rPr>
              <w:tab/>
            </w:r>
            <w:r>
              <w:rPr>
                <w:webHidden/>
              </w:rPr>
              <w:fldChar w:fldCharType="begin"/>
            </w:r>
            <w:r>
              <w:rPr>
                <w:webHidden/>
              </w:rPr>
              <w:instrText xml:space="preserve"> PAGEREF _Toc206495279 \h </w:instrText>
            </w:r>
            <w:r>
              <w:rPr>
                <w:webHidden/>
              </w:rPr>
            </w:r>
            <w:r>
              <w:rPr>
                <w:webHidden/>
              </w:rPr>
              <w:fldChar w:fldCharType="separate"/>
            </w:r>
            <w:r w:rsidR="0086194B">
              <w:rPr>
                <w:webHidden/>
              </w:rPr>
              <w:t>6</w:t>
            </w:r>
            <w:r>
              <w:rPr>
                <w:webHidden/>
              </w:rPr>
              <w:fldChar w:fldCharType="end"/>
            </w:r>
          </w:hyperlink>
        </w:p>
        <w:p w14:paraId="442AE0EF" w14:textId="62463EC1" w:rsidR="007C0EA9" w:rsidRDefault="007C0EA9">
          <w:pPr>
            <w:pStyle w:val="TOC2"/>
            <w:rPr>
              <w:rFonts w:eastAsiaTheme="minorEastAsia" w:cstheme="minorBidi"/>
              <w:color w:val="auto"/>
              <w:kern w:val="2"/>
              <w:sz w:val="24"/>
              <w:szCs w:val="24"/>
              <w:lang w:eastAsia="en-AU"/>
              <w14:ligatures w14:val="standardContextual"/>
            </w:rPr>
          </w:pPr>
          <w:hyperlink w:anchor="_Toc206495280" w:history="1">
            <w:r w:rsidRPr="00ED2E8A">
              <w:rPr>
                <w:rStyle w:val="Hyperlink"/>
              </w:rPr>
              <w:t>Report Infographic</w:t>
            </w:r>
            <w:r>
              <w:rPr>
                <w:webHidden/>
              </w:rPr>
              <w:tab/>
            </w:r>
            <w:r>
              <w:rPr>
                <w:webHidden/>
              </w:rPr>
              <w:fldChar w:fldCharType="begin"/>
            </w:r>
            <w:r>
              <w:rPr>
                <w:webHidden/>
              </w:rPr>
              <w:instrText xml:space="preserve"> PAGEREF _Toc206495280 \h </w:instrText>
            </w:r>
            <w:r>
              <w:rPr>
                <w:webHidden/>
              </w:rPr>
            </w:r>
            <w:r>
              <w:rPr>
                <w:webHidden/>
              </w:rPr>
              <w:fldChar w:fldCharType="separate"/>
            </w:r>
            <w:r w:rsidR="0086194B">
              <w:rPr>
                <w:webHidden/>
              </w:rPr>
              <w:t>7</w:t>
            </w:r>
            <w:r>
              <w:rPr>
                <w:webHidden/>
              </w:rPr>
              <w:fldChar w:fldCharType="end"/>
            </w:r>
          </w:hyperlink>
        </w:p>
        <w:p w14:paraId="3C03FE27" w14:textId="7534EE0A"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81" w:history="1">
            <w:r w:rsidRPr="00ED2E8A">
              <w:rPr>
                <w:rStyle w:val="Hyperlink"/>
                <w:noProof/>
              </w:rPr>
              <w:t>Background and Introduction</w:t>
            </w:r>
            <w:r>
              <w:rPr>
                <w:noProof/>
                <w:webHidden/>
              </w:rPr>
              <w:tab/>
            </w:r>
            <w:r>
              <w:rPr>
                <w:noProof/>
                <w:webHidden/>
              </w:rPr>
              <w:fldChar w:fldCharType="begin"/>
            </w:r>
            <w:r>
              <w:rPr>
                <w:noProof/>
                <w:webHidden/>
              </w:rPr>
              <w:instrText xml:space="preserve"> PAGEREF _Toc206495281 \h </w:instrText>
            </w:r>
            <w:r>
              <w:rPr>
                <w:noProof/>
                <w:webHidden/>
              </w:rPr>
            </w:r>
            <w:r>
              <w:rPr>
                <w:noProof/>
                <w:webHidden/>
              </w:rPr>
              <w:fldChar w:fldCharType="separate"/>
            </w:r>
            <w:r w:rsidR="0086194B">
              <w:rPr>
                <w:noProof/>
                <w:webHidden/>
              </w:rPr>
              <w:t>8</w:t>
            </w:r>
            <w:r>
              <w:rPr>
                <w:noProof/>
                <w:webHidden/>
              </w:rPr>
              <w:fldChar w:fldCharType="end"/>
            </w:r>
          </w:hyperlink>
        </w:p>
        <w:p w14:paraId="0039E308" w14:textId="427605BA"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82" w:history="1">
            <w:r w:rsidRPr="00ED2E8A">
              <w:rPr>
                <w:rStyle w:val="Hyperlink"/>
                <w:noProof/>
              </w:rPr>
              <w:t>Data collection and methodology</w:t>
            </w:r>
            <w:r>
              <w:rPr>
                <w:noProof/>
                <w:webHidden/>
              </w:rPr>
              <w:tab/>
            </w:r>
            <w:r>
              <w:rPr>
                <w:noProof/>
                <w:webHidden/>
              </w:rPr>
              <w:fldChar w:fldCharType="begin"/>
            </w:r>
            <w:r>
              <w:rPr>
                <w:noProof/>
                <w:webHidden/>
              </w:rPr>
              <w:instrText xml:space="preserve"> PAGEREF _Toc206495282 \h </w:instrText>
            </w:r>
            <w:r>
              <w:rPr>
                <w:noProof/>
                <w:webHidden/>
              </w:rPr>
            </w:r>
            <w:r>
              <w:rPr>
                <w:noProof/>
                <w:webHidden/>
              </w:rPr>
              <w:fldChar w:fldCharType="separate"/>
            </w:r>
            <w:r w:rsidR="0086194B">
              <w:rPr>
                <w:noProof/>
                <w:webHidden/>
              </w:rPr>
              <w:t>8</w:t>
            </w:r>
            <w:r>
              <w:rPr>
                <w:noProof/>
                <w:webHidden/>
              </w:rPr>
              <w:fldChar w:fldCharType="end"/>
            </w:r>
          </w:hyperlink>
        </w:p>
        <w:p w14:paraId="47C75A9C" w14:textId="118D3ABD"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83" w:history="1">
            <w:r w:rsidRPr="00ED2E8A">
              <w:rPr>
                <w:rStyle w:val="Hyperlink"/>
                <w:noProof/>
              </w:rPr>
              <w:t>Key Findings</w:t>
            </w:r>
            <w:r>
              <w:rPr>
                <w:noProof/>
                <w:webHidden/>
              </w:rPr>
              <w:tab/>
            </w:r>
            <w:r>
              <w:rPr>
                <w:noProof/>
                <w:webHidden/>
              </w:rPr>
              <w:fldChar w:fldCharType="begin"/>
            </w:r>
            <w:r>
              <w:rPr>
                <w:noProof/>
                <w:webHidden/>
              </w:rPr>
              <w:instrText xml:space="preserve"> PAGEREF _Toc206495283 \h </w:instrText>
            </w:r>
            <w:r>
              <w:rPr>
                <w:noProof/>
                <w:webHidden/>
              </w:rPr>
            </w:r>
            <w:r>
              <w:rPr>
                <w:noProof/>
                <w:webHidden/>
              </w:rPr>
              <w:fldChar w:fldCharType="separate"/>
            </w:r>
            <w:r w:rsidR="0086194B">
              <w:rPr>
                <w:noProof/>
                <w:webHidden/>
              </w:rPr>
              <w:t>12</w:t>
            </w:r>
            <w:r>
              <w:rPr>
                <w:noProof/>
                <w:webHidden/>
              </w:rPr>
              <w:fldChar w:fldCharType="end"/>
            </w:r>
          </w:hyperlink>
        </w:p>
        <w:p w14:paraId="45EBEF0F" w14:textId="645208B3" w:rsidR="007C0EA9" w:rsidRDefault="007C0EA9">
          <w:pPr>
            <w:pStyle w:val="TOC2"/>
            <w:rPr>
              <w:rFonts w:eastAsiaTheme="minorEastAsia" w:cstheme="minorBidi"/>
              <w:color w:val="auto"/>
              <w:kern w:val="2"/>
              <w:sz w:val="24"/>
              <w:szCs w:val="24"/>
              <w:lang w:eastAsia="en-AU"/>
              <w14:ligatures w14:val="standardContextual"/>
            </w:rPr>
          </w:pPr>
          <w:hyperlink w:anchor="_Toc206495284" w:history="1">
            <w:r w:rsidRPr="00ED2E8A">
              <w:rPr>
                <w:rStyle w:val="Hyperlink"/>
              </w:rPr>
              <w:t>Sepsis in admitted care</w:t>
            </w:r>
            <w:r>
              <w:rPr>
                <w:webHidden/>
              </w:rPr>
              <w:tab/>
            </w:r>
            <w:r>
              <w:rPr>
                <w:webHidden/>
              </w:rPr>
              <w:fldChar w:fldCharType="begin"/>
            </w:r>
            <w:r>
              <w:rPr>
                <w:webHidden/>
              </w:rPr>
              <w:instrText xml:space="preserve"> PAGEREF _Toc206495284 \h </w:instrText>
            </w:r>
            <w:r>
              <w:rPr>
                <w:webHidden/>
              </w:rPr>
            </w:r>
            <w:r>
              <w:rPr>
                <w:webHidden/>
              </w:rPr>
              <w:fldChar w:fldCharType="separate"/>
            </w:r>
            <w:r w:rsidR="0086194B">
              <w:rPr>
                <w:webHidden/>
              </w:rPr>
              <w:t>12</w:t>
            </w:r>
            <w:r>
              <w:rPr>
                <w:webHidden/>
              </w:rPr>
              <w:fldChar w:fldCharType="end"/>
            </w:r>
          </w:hyperlink>
        </w:p>
        <w:p w14:paraId="073EF941" w14:textId="2C4CADD5" w:rsidR="007C0EA9" w:rsidRDefault="007C0EA9">
          <w:pPr>
            <w:pStyle w:val="TOC2"/>
            <w:rPr>
              <w:rFonts w:eastAsiaTheme="minorEastAsia" w:cstheme="minorBidi"/>
              <w:color w:val="auto"/>
              <w:kern w:val="2"/>
              <w:sz w:val="24"/>
              <w:szCs w:val="24"/>
              <w:lang w:eastAsia="en-AU"/>
              <w14:ligatures w14:val="standardContextual"/>
            </w:rPr>
          </w:pPr>
          <w:hyperlink w:anchor="_Toc206495285" w:history="1">
            <w:r w:rsidRPr="00ED2E8A">
              <w:rPr>
                <w:rStyle w:val="Hyperlink"/>
              </w:rPr>
              <w:t>Sepsis recorded as secondary diagnosis</w:t>
            </w:r>
            <w:r>
              <w:rPr>
                <w:webHidden/>
              </w:rPr>
              <w:tab/>
            </w:r>
            <w:r>
              <w:rPr>
                <w:webHidden/>
              </w:rPr>
              <w:fldChar w:fldCharType="begin"/>
            </w:r>
            <w:r>
              <w:rPr>
                <w:webHidden/>
              </w:rPr>
              <w:instrText xml:space="preserve"> PAGEREF _Toc206495285 \h </w:instrText>
            </w:r>
            <w:r>
              <w:rPr>
                <w:webHidden/>
              </w:rPr>
            </w:r>
            <w:r>
              <w:rPr>
                <w:webHidden/>
              </w:rPr>
              <w:fldChar w:fldCharType="separate"/>
            </w:r>
            <w:r w:rsidR="0086194B">
              <w:rPr>
                <w:webHidden/>
              </w:rPr>
              <w:t>13</w:t>
            </w:r>
            <w:r>
              <w:rPr>
                <w:webHidden/>
              </w:rPr>
              <w:fldChar w:fldCharType="end"/>
            </w:r>
          </w:hyperlink>
        </w:p>
        <w:p w14:paraId="15ECEE2F" w14:textId="16B759B1" w:rsidR="007C0EA9" w:rsidRDefault="007C0EA9">
          <w:pPr>
            <w:pStyle w:val="TOC2"/>
            <w:rPr>
              <w:rFonts w:eastAsiaTheme="minorEastAsia" w:cstheme="minorBidi"/>
              <w:color w:val="auto"/>
              <w:kern w:val="2"/>
              <w:sz w:val="24"/>
              <w:szCs w:val="24"/>
              <w:lang w:eastAsia="en-AU"/>
              <w14:ligatures w14:val="standardContextual"/>
            </w:rPr>
          </w:pPr>
          <w:hyperlink w:anchor="_Toc206495286" w:history="1">
            <w:r w:rsidRPr="00ED2E8A">
              <w:rPr>
                <w:rStyle w:val="Hyperlink"/>
              </w:rPr>
              <w:t>30-day post-sepsis readmissions</w:t>
            </w:r>
            <w:r>
              <w:rPr>
                <w:webHidden/>
              </w:rPr>
              <w:tab/>
            </w:r>
            <w:r>
              <w:rPr>
                <w:webHidden/>
              </w:rPr>
              <w:fldChar w:fldCharType="begin"/>
            </w:r>
            <w:r>
              <w:rPr>
                <w:webHidden/>
              </w:rPr>
              <w:instrText xml:space="preserve"> PAGEREF _Toc206495286 \h </w:instrText>
            </w:r>
            <w:r>
              <w:rPr>
                <w:webHidden/>
              </w:rPr>
            </w:r>
            <w:r>
              <w:rPr>
                <w:webHidden/>
              </w:rPr>
              <w:fldChar w:fldCharType="separate"/>
            </w:r>
            <w:r w:rsidR="0086194B">
              <w:rPr>
                <w:webHidden/>
              </w:rPr>
              <w:t>13</w:t>
            </w:r>
            <w:r>
              <w:rPr>
                <w:webHidden/>
              </w:rPr>
              <w:fldChar w:fldCharType="end"/>
            </w:r>
          </w:hyperlink>
        </w:p>
        <w:p w14:paraId="3D7A4410" w14:textId="64DAB657" w:rsidR="007C0EA9" w:rsidRDefault="007C0EA9">
          <w:pPr>
            <w:pStyle w:val="TOC2"/>
            <w:rPr>
              <w:rFonts w:eastAsiaTheme="minorEastAsia" w:cstheme="minorBidi"/>
              <w:color w:val="auto"/>
              <w:kern w:val="2"/>
              <w:sz w:val="24"/>
              <w:szCs w:val="24"/>
              <w:lang w:eastAsia="en-AU"/>
              <w14:ligatures w14:val="standardContextual"/>
            </w:rPr>
          </w:pPr>
          <w:hyperlink w:anchor="_Toc206495287" w:history="1">
            <w:r w:rsidRPr="00ED2E8A">
              <w:rPr>
                <w:rStyle w:val="Hyperlink"/>
              </w:rPr>
              <w:t>30-day pre-sepsis separations</w:t>
            </w:r>
            <w:r>
              <w:rPr>
                <w:webHidden/>
              </w:rPr>
              <w:tab/>
            </w:r>
            <w:r>
              <w:rPr>
                <w:webHidden/>
              </w:rPr>
              <w:fldChar w:fldCharType="begin"/>
            </w:r>
            <w:r>
              <w:rPr>
                <w:webHidden/>
              </w:rPr>
              <w:instrText xml:space="preserve"> PAGEREF _Toc206495287 \h </w:instrText>
            </w:r>
            <w:r>
              <w:rPr>
                <w:webHidden/>
              </w:rPr>
            </w:r>
            <w:r>
              <w:rPr>
                <w:webHidden/>
              </w:rPr>
              <w:fldChar w:fldCharType="separate"/>
            </w:r>
            <w:r w:rsidR="0086194B">
              <w:rPr>
                <w:webHidden/>
              </w:rPr>
              <w:t>14</w:t>
            </w:r>
            <w:r>
              <w:rPr>
                <w:webHidden/>
              </w:rPr>
              <w:fldChar w:fldCharType="end"/>
            </w:r>
          </w:hyperlink>
        </w:p>
        <w:p w14:paraId="1691DC20" w14:textId="42F1432A" w:rsidR="007C0EA9" w:rsidRDefault="007C0EA9">
          <w:pPr>
            <w:pStyle w:val="TOC2"/>
            <w:rPr>
              <w:rFonts w:eastAsiaTheme="minorEastAsia" w:cstheme="minorBidi"/>
              <w:color w:val="auto"/>
              <w:kern w:val="2"/>
              <w:sz w:val="24"/>
              <w:szCs w:val="24"/>
              <w:lang w:eastAsia="en-AU"/>
              <w14:ligatures w14:val="standardContextual"/>
            </w:rPr>
          </w:pPr>
          <w:hyperlink w:anchor="_Toc206495288" w:history="1">
            <w:r w:rsidRPr="00ED2E8A">
              <w:rPr>
                <w:rStyle w:val="Hyperlink"/>
              </w:rPr>
              <w:t>Trends over time</w:t>
            </w:r>
            <w:r>
              <w:rPr>
                <w:webHidden/>
              </w:rPr>
              <w:tab/>
            </w:r>
            <w:r>
              <w:rPr>
                <w:webHidden/>
              </w:rPr>
              <w:fldChar w:fldCharType="begin"/>
            </w:r>
            <w:r>
              <w:rPr>
                <w:webHidden/>
              </w:rPr>
              <w:instrText xml:space="preserve"> PAGEREF _Toc206495288 \h </w:instrText>
            </w:r>
            <w:r>
              <w:rPr>
                <w:webHidden/>
              </w:rPr>
            </w:r>
            <w:r>
              <w:rPr>
                <w:webHidden/>
              </w:rPr>
              <w:fldChar w:fldCharType="separate"/>
            </w:r>
            <w:r w:rsidR="0086194B">
              <w:rPr>
                <w:webHidden/>
              </w:rPr>
              <w:t>15</w:t>
            </w:r>
            <w:r>
              <w:rPr>
                <w:webHidden/>
              </w:rPr>
              <w:fldChar w:fldCharType="end"/>
            </w:r>
          </w:hyperlink>
        </w:p>
        <w:p w14:paraId="74B687F2" w14:textId="73C3989D"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89" w:history="1">
            <w:r w:rsidRPr="00ED2E8A">
              <w:rPr>
                <w:rStyle w:val="Hyperlink"/>
                <w:noProof/>
              </w:rPr>
              <w:t>Discussion of key findings</w:t>
            </w:r>
            <w:r>
              <w:rPr>
                <w:noProof/>
                <w:webHidden/>
              </w:rPr>
              <w:tab/>
            </w:r>
            <w:r>
              <w:rPr>
                <w:noProof/>
                <w:webHidden/>
              </w:rPr>
              <w:fldChar w:fldCharType="begin"/>
            </w:r>
            <w:r>
              <w:rPr>
                <w:noProof/>
                <w:webHidden/>
              </w:rPr>
              <w:instrText xml:space="preserve"> PAGEREF _Toc206495289 \h </w:instrText>
            </w:r>
            <w:r>
              <w:rPr>
                <w:noProof/>
                <w:webHidden/>
              </w:rPr>
            </w:r>
            <w:r>
              <w:rPr>
                <w:noProof/>
                <w:webHidden/>
              </w:rPr>
              <w:fldChar w:fldCharType="separate"/>
            </w:r>
            <w:r w:rsidR="0086194B">
              <w:rPr>
                <w:noProof/>
                <w:webHidden/>
              </w:rPr>
              <w:t>18</w:t>
            </w:r>
            <w:r>
              <w:rPr>
                <w:noProof/>
                <w:webHidden/>
              </w:rPr>
              <w:fldChar w:fldCharType="end"/>
            </w:r>
          </w:hyperlink>
        </w:p>
        <w:p w14:paraId="198A4454" w14:textId="149A36A8" w:rsidR="007C0EA9" w:rsidRDefault="007C0EA9">
          <w:pPr>
            <w:pStyle w:val="TOC2"/>
            <w:rPr>
              <w:rFonts w:eastAsiaTheme="minorEastAsia" w:cstheme="minorBidi"/>
              <w:color w:val="auto"/>
              <w:kern w:val="2"/>
              <w:sz w:val="24"/>
              <w:szCs w:val="24"/>
              <w:lang w:eastAsia="en-AU"/>
              <w14:ligatures w14:val="standardContextual"/>
            </w:rPr>
          </w:pPr>
          <w:hyperlink w:anchor="_Toc206495290" w:history="1">
            <w:r w:rsidRPr="00ED2E8A">
              <w:rPr>
                <w:rStyle w:val="Hyperlink"/>
              </w:rPr>
              <w:t>Improvement in sepsis recognition and response</w:t>
            </w:r>
            <w:r>
              <w:rPr>
                <w:webHidden/>
              </w:rPr>
              <w:tab/>
            </w:r>
            <w:r>
              <w:rPr>
                <w:webHidden/>
              </w:rPr>
              <w:fldChar w:fldCharType="begin"/>
            </w:r>
            <w:r>
              <w:rPr>
                <w:webHidden/>
              </w:rPr>
              <w:instrText xml:space="preserve"> PAGEREF _Toc206495290 \h </w:instrText>
            </w:r>
            <w:r>
              <w:rPr>
                <w:webHidden/>
              </w:rPr>
            </w:r>
            <w:r>
              <w:rPr>
                <w:webHidden/>
              </w:rPr>
              <w:fldChar w:fldCharType="separate"/>
            </w:r>
            <w:r w:rsidR="0086194B">
              <w:rPr>
                <w:webHidden/>
              </w:rPr>
              <w:t>18</w:t>
            </w:r>
            <w:r>
              <w:rPr>
                <w:webHidden/>
              </w:rPr>
              <w:fldChar w:fldCharType="end"/>
            </w:r>
          </w:hyperlink>
        </w:p>
        <w:p w14:paraId="686C1644" w14:textId="675FFB0B" w:rsidR="007C0EA9" w:rsidRDefault="007C0EA9">
          <w:pPr>
            <w:pStyle w:val="TOC2"/>
            <w:rPr>
              <w:rFonts w:eastAsiaTheme="minorEastAsia" w:cstheme="minorBidi"/>
              <w:color w:val="auto"/>
              <w:kern w:val="2"/>
              <w:sz w:val="24"/>
              <w:szCs w:val="24"/>
              <w:lang w:eastAsia="en-AU"/>
              <w14:ligatures w14:val="standardContextual"/>
            </w:rPr>
          </w:pPr>
          <w:hyperlink w:anchor="_Toc206495291" w:history="1">
            <w:r w:rsidRPr="00ED2E8A">
              <w:rPr>
                <w:rStyle w:val="Hyperlink"/>
              </w:rPr>
              <w:t>Sepsis in public admitted care</w:t>
            </w:r>
            <w:r>
              <w:rPr>
                <w:webHidden/>
              </w:rPr>
              <w:tab/>
            </w:r>
            <w:r>
              <w:rPr>
                <w:webHidden/>
              </w:rPr>
              <w:fldChar w:fldCharType="begin"/>
            </w:r>
            <w:r>
              <w:rPr>
                <w:webHidden/>
              </w:rPr>
              <w:instrText xml:space="preserve"> PAGEREF _Toc206495291 \h </w:instrText>
            </w:r>
            <w:r>
              <w:rPr>
                <w:webHidden/>
              </w:rPr>
            </w:r>
            <w:r>
              <w:rPr>
                <w:webHidden/>
              </w:rPr>
              <w:fldChar w:fldCharType="separate"/>
            </w:r>
            <w:r w:rsidR="0086194B">
              <w:rPr>
                <w:webHidden/>
              </w:rPr>
              <w:t>19</w:t>
            </w:r>
            <w:r>
              <w:rPr>
                <w:webHidden/>
              </w:rPr>
              <w:fldChar w:fldCharType="end"/>
            </w:r>
          </w:hyperlink>
        </w:p>
        <w:p w14:paraId="159F210C" w14:textId="6651673C" w:rsidR="007C0EA9" w:rsidRDefault="007C0EA9">
          <w:pPr>
            <w:pStyle w:val="TOC2"/>
            <w:rPr>
              <w:rFonts w:eastAsiaTheme="minorEastAsia" w:cstheme="minorBidi"/>
              <w:color w:val="auto"/>
              <w:kern w:val="2"/>
              <w:sz w:val="24"/>
              <w:szCs w:val="24"/>
              <w:lang w:eastAsia="en-AU"/>
              <w14:ligatures w14:val="standardContextual"/>
            </w:rPr>
          </w:pPr>
          <w:hyperlink w:anchor="_Toc206495292" w:history="1">
            <w:r w:rsidRPr="00ED2E8A">
              <w:rPr>
                <w:rStyle w:val="Hyperlink"/>
              </w:rPr>
              <w:t>Sepsis coding rules</w:t>
            </w:r>
            <w:r>
              <w:rPr>
                <w:webHidden/>
              </w:rPr>
              <w:tab/>
            </w:r>
            <w:r>
              <w:rPr>
                <w:webHidden/>
              </w:rPr>
              <w:fldChar w:fldCharType="begin"/>
            </w:r>
            <w:r>
              <w:rPr>
                <w:webHidden/>
              </w:rPr>
              <w:instrText xml:space="preserve"> PAGEREF _Toc206495292 \h </w:instrText>
            </w:r>
            <w:r>
              <w:rPr>
                <w:webHidden/>
              </w:rPr>
            </w:r>
            <w:r>
              <w:rPr>
                <w:webHidden/>
              </w:rPr>
              <w:fldChar w:fldCharType="separate"/>
            </w:r>
            <w:r w:rsidR="0086194B">
              <w:rPr>
                <w:webHidden/>
              </w:rPr>
              <w:t>20</w:t>
            </w:r>
            <w:r>
              <w:rPr>
                <w:webHidden/>
              </w:rPr>
              <w:fldChar w:fldCharType="end"/>
            </w:r>
          </w:hyperlink>
        </w:p>
        <w:p w14:paraId="14C383E2" w14:textId="79B96473" w:rsidR="007C0EA9" w:rsidRDefault="007C0EA9">
          <w:pPr>
            <w:pStyle w:val="TOC2"/>
            <w:rPr>
              <w:rFonts w:eastAsiaTheme="minorEastAsia" w:cstheme="minorBidi"/>
              <w:color w:val="auto"/>
              <w:kern w:val="2"/>
              <w:sz w:val="24"/>
              <w:szCs w:val="24"/>
              <w:lang w:eastAsia="en-AU"/>
              <w14:ligatures w14:val="standardContextual"/>
            </w:rPr>
          </w:pPr>
          <w:hyperlink w:anchor="_Toc206495293" w:history="1">
            <w:r w:rsidRPr="00ED2E8A">
              <w:rPr>
                <w:rStyle w:val="Hyperlink"/>
              </w:rPr>
              <w:t>30-day post-sepsis readmissions</w:t>
            </w:r>
            <w:r>
              <w:rPr>
                <w:webHidden/>
              </w:rPr>
              <w:tab/>
            </w:r>
            <w:r>
              <w:rPr>
                <w:webHidden/>
              </w:rPr>
              <w:fldChar w:fldCharType="begin"/>
            </w:r>
            <w:r>
              <w:rPr>
                <w:webHidden/>
              </w:rPr>
              <w:instrText xml:space="preserve"> PAGEREF _Toc206495293 \h </w:instrText>
            </w:r>
            <w:r>
              <w:rPr>
                <w:webHidden/>
              </w:rPr>
            </w:r>
            <w:r>
              <w:rPr>
                <w:webHidden/>
              </w:rPr>
              <w:fldChar w:fldCharType="separate"/>
            </w:r>
            <w:r w:rsidR="0086194B">
              <w:rPr>
                <w:webHidden/>
              </w:rPr>
              <w:t>21</w:t>
            </w:r>
            <w:r>
              <w:rPr>
                <w:webHidden/>
              </w:rPr>
              <w:fldChar w:fldCharType="end"/>
            </w:r>
          </w:hyperlink>
        </w:p>
        <w:p w14:paraId="2BA72342" w14:textId="7F6A60E4" w:rsidR="007C0EA9" w:rsidRDefault="007C0EA9">
          <w:pPr>
            <w:pStyle w:val="TOC2"/>
            <w:rPr>
              <w:rFonts w:eastAsiaTheme="minorEastAsia" w:cstheme="minorBidi"/>
              <w:color w:val="auto"/>
              <w:kern w:val="2"/>
              <w:sz w:val="24"/>
              <w:szCs w:val="24"/>
              <w:lang w:eastAsia="en-AU"/>
              <w14:ligatures w14:val="standardContextual"/>
            </w:rPr>
          </w:pPr>
          <w:hyperlink w:anchor="_Toc206495294" w:history="1">
            <w:r w:rsidRPr="00ED2E8A">
              <w:rPr>
                <w:rStyle w:val="Hyperlink"/>
              </w:rPr>
              <w:t>30-day pre-sepsis separations</w:t>
            </w:r>
            <w:r>
              <w:rPr>
                <w:webHidden/>
              </w:rPr>
              <w:tab/>
            </w:r>
            <w:r>
              <w:rPr>
                <w:webHidden/>
              </w:rPr>
              <w:fldChar w:fldCharType="begin"/>
            </w:r>
            <w:r>
              <w:rPr>
                <w:webHidden/>
              </w:rPr>
              <w:instrText xml:space="preserve"> PAGEREF _Toc206495294 \h </w:instrText>
            </w:r>
            <w:r>
              <w:rPr>
                <w:webHidden/>
              </w:rPr>
            </w:r>
            <w:r>
              <w:rPr>
                <w:webHidden/>
              </w:rPr>
              <w:fldChar w:fldCharType="separate"/>
            </w:r>
            <w:r w:rsidR="0086194B">
              <w:rPr>
                <w:webHidden/>
              </w:rPr>
              <w:t>22</w:t>
            </w:r>
            <w:r>
              <w:rPr>
                <w:webHidden/>
              </w:rPr>
              <w:fldChar w:fldCharType="end"/>
            </w:r>
          </w:hyperlink>
        </w:p>
        <w:p w14:paraId="4600709F" w14:textId="30C10F2B" w:rsidR="007C0EA9" w:rsidRDefault="007C0EA9">
          <w:pPr>
            <w:pStyle w:val="TOC2"/>
            <w:rPr>
              <w:rFonts w:eastAsiaTheme="minorEastAsia" w:cstheme="minorBidi"/>
              <w:color w:val="auto"/>
              <w:kern w:val="2"/>
              <w:sz w:val="24"/>
              <w:szCs w:val="24"/>
              <w:lang w:eastAsia="en-AU"/>
              <w14:ligatures w14:val="standardContextual"/>
            </w:rPr>
          </w:pPr>
          <w:hyperlink w:anchor="_Toc206495295" w:history="1">
            <w:r w:rsidRPr="00ED2E8A">
              <w:rPr>
                <w:rStyle w:val="Hyperlink"/>
              </w:rPr>
              <w:t>Analysis limitations</w:t>
            </w:r>
            <w:r>
              <w:rPr>
                <w:webHidden/>
              </w:rPr>
              <w:tab/>
            </w:r>
            <w:r>
              <w:rPr>
                <w:webHidden/>
              </w:rPr>
              <w:fldChar w:fldCharType="begin"/>
            </w:r>
            <w:r>
              <w:rPr>
                <w:webHidden/>
              </w:rPr>
              <w:instrText xml:space="preserve"> PAGEREF _Toc206495295 \h </w:instrText>
            </w:r>
            <w:r>
              <w:rPr>
                <w:webHidden/>
              </w:rPr>
            </w:r>
            <w:r>
              <w:rPr>
                <w:webHidden/>
              </w:rPr>
              <w:fldChar w:fldCharType="separate"/>
            </w:r>
            <w:r w:rsidR="0086194B">
              <w:rPr>
                <w:webHidden/>
              </w:rPr>
              <w:t>23</w:t>
            </w:r>
            <w:r>
              <w:rPr>
                <w:webHidden/>
              </w:rPr>
              <w:fldChar w:fldCharType="end"/>
            </w:r>
          </w:hyperlink>
        </w:p>
        <w:p w14:paraId="19ED4ED8" w14:textId="4ABA56C7" w:rsidR="007C0EA9" w:rsidRDefault="007C0EA9">
          <w:pPr>
            <w:pStyle w:val="TOC2"/>
            <w:rPr>
              <w:rFonts w:eastAsiaTheme="minorEastAsia" w:cstheme="minorBidi"/>
              <w:color w:val="auto"/>
              <w:kern w:val="2"/>
              <w:sz w:val="24"/>
              <w:szCs w:val="24"/>
              <w:lang w:eastAsia="en-AU"/>
              <w14:ligatures w14:val="standardContextual"/>
            </w:rPr>
          </w:pPr>
          <w:hyperlink w:anchor="_Toc206495296" w:history="1">
            <w:r w:rsidRPr="00ED2E8A">
              <w:rPr>
                <w:rStyle w:val="Hyperlink"/>
              </w:rPr>
              <w:t>Data source coverage</w:t>
            </w:r>
            <w:r>
              <w:rPr>
                <w:webHidden/>
              </w:rPr>
              <w:tab/>
            </w:r>
            <w:r>
              <w:rPr>
                <w:webHidden/>
              </w:rPr>
              <w:fldChar w:fldCharType="begin"/>
            </w:r>
            <w:r>
              <w:rPr>
                <w:webHidden/>
              </w:rPr>
              <w:instrText xml:space="preserve"> PAGEREF _Toc206495296 \h </w:instrText>
            </w:r>
            <w:r>
              <w:rPr>
                <w:webHidden/>
              </w:rPr>
            </w:r>
            <w:r>
              <w:rPr>
                <w:webHidden/>
              </w:rPr>
              <w:fldChar w:fldCharType="separate"/>
            </w:r>
            <w:r w:rsidR="0086194B">
              <w:rPr>
                <w:webHidden/>
              </w:rPr>
              <w:t>23</w:t>
            </w:r>
            <w:r>
              <w:rPr>
                <w:webHidden/>
              </w:rPr>
              <w:fldChar w:fldCharType="end"/>
            </w:r>
          </w:hyperlink>
        </w:p>
        <w:p w14:paraId="3FF66818" w14:textId="373C2825" w:rsidR="007C0EA9" w:rsidRDefault="007C0EA9">
          <w:pPr>
            <w:pStyle w:val="TOC2"/>
            <w:rPr>
              <w:rFonts w:eastAsiaTheme="minorEastAsia" w:cstheme="minorBidi"/>
              <w:color w:val="auto"/>
              <w:kern w:val="2"/>
              <w:sz w:val="24"/>
              <w:szCs w:val="24"/>
              <w:lang w:eastAsia="en-AU"/>
              <w14:ligatures w14:val="standardContextual"/>
            </w:rPr>
          </w:pPr>
          <w:hyperlink w:anchor="_Toc206495297" w:history="1">
            <w:r w:rsidRPr="00ED2E8A">
              <w:rPr>
                <w:rStyle w:val="Hyperlink"/>
              </w:rPr>
              <w:t>Future Directions</w:t>
            </w:r>
            <w:r>
              <w:rPr>
                <w:webHidden/>
              </w:rPr>
              <w:tab/>
            </w:r>
            <w:r>
              <w:rPr>
                <w:webHidden/>
              </w:rPr>
              <w:fldChar w:fldCharType="begin"/>
            </w:r>
            <w:r>
              <w:rPr>
                <w:webHidden/>
              </w:rPr>
              <w:instrText xml:space="preserve"> PAGEREF _Toc206495297 \h </w:instrText>
            </w:r>
            <w:r>
              <w:rPr>
                <w:webHidden/>
              </w:rPr>
            </w:r>
            <w:r>
              <w:rPr>
                <w:webHidden/>
              </w:rPr>
              <w:fldChar w:fldCharType="separate"/>
            </w:r>
            <w:r w:rsidR="0086194B">
              <w:rPr>
                <w:webHidden/>
              </w:rPr>
              <w:t>24</w:t>
            </w:r>
            <w:r>
              <w:rPr>
                <w:webHidden/>
              </w:rPr>
              <w:fldChar w:fldCharType="end"/>
            </w:r>
          </w:hyperlink>
        </w:p>
        <w:p w14:paraId="6B044053" w14:textId="4A2EC459"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98" w:history="1">
            <w:r w:rsidRPr="00ED2E8A">
              <w:rPr>
                <w:rStyle w:val="Hyperlink"/>
                <w:noProof/>
              </w:rPr>
              <w:t>Supplementary Tables</w:t>
            </w:r>
            <w:r>
              <w:rPr>
                <w:noProof/>
                <w:webHidden/>
              </w:rPr>
              <w:tab/>
            </w:r>
            <w:r>
              <w:rPr>
                <w:noProof/>
                <w:webHidden/>
              </w:rPr>
              <w:fldChar w:fldCharType="begin"/>
            </w:r>
            <w:r>
              <w:rPr>
                <w:noProof/>
                <w:webHidden/>
              </w:rPr>
              <w:instrText xml:space="preserve"> PAGEREF _Toc206495298 \h </w:instrText>
            </w:r>
            <w:r>
              <w:rPr>
                <w:noProof/>
                <w:webHidden/>
              </w:rPr>
            </w:r>
            <w:r>
              <w:rPr>
                <w:noProof/>
                <w:webHidden/>
              </w:rPr>
              <w:fldChar w:fldCharType="separate"/>
            </w:r>
            <w:r w:rsidR="0086194B">
              <w:rPr>
                <w:noProof/>
                <w:webHidden/>
              </w:rPr>
              <w:t>27</w:t>
            </w:r>
            <w:r>
              <w:rPr>
                <w:noProof/>
                <w:webHidden/>
              </w:rPr>
              <w:fldChar w:fldCharType="end"/>
            </w:r>
          </w:hyperlink>
        </w:p>
        <w:p w14:paraId="1D24A7AA" w14:textId="577085AC" w:rsidR="007C0EA9" w:rsidRDefault="007C0EA9">
          <w:pPr>
            <w:pStyle w:val="TOC1"/>
            <w:rPr>
              <w:rFonts w:eastAsiaTheme="minorEastAsia" w:cstheme="minorBidi"/>
              <w:b w:val="0"/>
              <w:noProof/>
              <w:color w:val="auto"/>
              <w:kern w:val="2"/>
              <w:sz w:val="24"/>
              <w:szCs w:val="24"/>
              <w:lang w:eastAsia="en-AU"/>
              <w14:ligatures w14:val="standardContextual"/>
            </w:rPr>
          </w:pPr>
          <w:hyperlink w:anchor="_Toc206495299" w:history="1">
            <w:r w:rsidRPr="00ED2E8A">
              <w:rPr>
                <w:rStyle w:val="Hyperlink"/>
                <w:noProof/>
              </w:rPr>
              <w:t>Appendices, Glossary and References</w:t>
            </w:r>
            <w:r>
              <w:rPr>
                <w:noProof/>
                <w:webHidden/>
              </w:rPr>
              <w:tab/>
            </w:r>
            <w:r>
              <w:rPr>
                <w:noProof/>
                <w:webHidden/>
              </w:rPr>
              <w:fldChar w:fldCharType="begin"/>
            </w:r>
            <w:r>
              <w:rPr>
                <w:noProof/>
                <w:webHidden/>
              </w:rPr>
              <w:instrText xml:space="preserve"> PAGEREF _Toc206495299 \h </w:instrText>
            </w:r>
            <w:r>
              <w:rPr>
                <w:noProof/>
                <w:webHidden/>
              </w:rPr>
            </w:r>
            <w:r>
              <w:rPr>
                <w:noProof/>
                <w:webHidden/>
              </w:rPr>
              <w:fldChar w:fldCharType="separate"/>
            </w:r>
            <w:r w:rsidR="0086194B">
              <w:rPr>
                <w:noProof/>
                <w:webHidden/>
              </w:rPr>
              <w:t>53</w:t>
            </w:r>
            <w:r>
              <w:rPr>
                <w:noProof/>
                <w:webHidden/>
              </w:rPr>
              <w:fldChar w:fldCharType="end"/>
            </w:r>
          </w:hyperlink>
        </w:p>
        <w:p w14:paraId="2240F3CF" w14:textId="2C2523E4" w:rsidR="007C0EA9" w:rsidRDefault="007C0EA9">
          <w:pPr>
            <w:pStyle w:val="TOC2"/>
            <w:rPr>
              <w:rFonts w:eastAsiaTheme="minorEastAsia" w:cstheme="minorBidi"/>
              <w:color w:val="auto"/>
              <w:kern w:val="2"/>
              <w:sz w:val="24"/>
              <w:szCs w:val="24"/>
              <w:lang w:eastAsia="en-AU"/>
              <w14:ligatures w14:val="standardContextual"/>
            </w:rPr>
          </w:pPr>
          <w:hyperlink w:anchor="_Toc206495300" w:history="1">
            <w:r w:rsidRPr="00ED2E8A">
              <w:rPr>
                <w:rStyle w:val="Hyperlink"/>
              </w:rPr>
              <w:t>Appendix A: Explicit sepsis codes</w:t>
            </w:r>
            <w:r>
              <w:rPr>
                <w:webHidden/>
              </w:rPr>
              <w:tab/>
            </w:r>
            <w:r>
              <w:rPr>
                <w:webHidden/>
              </w:rPr>
              <w:fldChar w:fldCharType="begin"/>
            </w:r>
            <w:r>
              <w:rPr>
                <w:webHidden/>
              </w:rPr>
              <w:instrText xml:space="preserve"> PAGEREF _Toc206495300 \h </w:instrText>
            </w:r>
            <w:r>
              <w:rPr>
                <w:webHidden/>
              </w:rPr>
            </w:r>
            <w:r>
              <w:rPr>
                <w:webHidden/>
              </w:rPr>
              <w:fldChar w:fldCharType="separate"/>
            </w:r>
            <w:r w:rsidR="0086194B">
              <w:rPr>
                <w:webHidden/>
              </w:rPr>
              <w:t>54</w:t>
            </w:r>
            <w:r>
              <w:rPr>
                <w:webHidden/>
              </w:rPr>
              <w:fldChar w:fldCharType="end"/>
            </w:r>
          </w:hyperlink>
        </w:p>
        <w:p w14:paraId="30D617E1" w14:textId="22EFCD8B" w:rsidR="007C0EA9" w:rsidRDefault="007C0EA9">
          <w:pPr>
            <w:pStyle w:val="TOC2"/>
            <w:rPr>
              <w:rFonts w:eastAsiaTheme="minorEastAsia" w:cstheme="minorBidi"/>
              <w:color w:val="auto"/>
              <w:kern w:val="2"/>
              <w:sz w:val="24"/>
              <w:szCs w:val="24"/>
              <w:lang w:eastAsia="en-AU"/>
              <w14:ligatures w14:val="standardContextual"/>
            </w:rPr>
          </w:pPr>
          <w:hyperlink w:anchor="_Toc206495301" w:history="1">
            <w:r w:rsidRPr="00ED2E8A">
              <w:rPr>
                <w:rStyle w:val="Hyperlink"/>
              </w:rPr>
              <w:t>Appendix B: Maternal codes</w:t>
            </w:r>
            <w:r>
              <w:rPr>
                <w:webHidden/>
              </w:rPr>
              <w:tab/>
            </w:r>
            <w:r>
              <w:rPr>
                <w:webHidden/>
              </w:rPr>
              <w:fldChar w:fldCharType="begin"/>
            </w:r>
            <w:r>
              <w:rPr>
                <w:webHidden/>
              </w:rPr>
              <w:instrText xml:space="preserve"> PAGEREF _Toc206495301 \h </w:instrText>
            </w:r>
            <w:r>
              <w:rPr>
                <w:webHidden/>
              </w:rPr>
            </w:r>
            <w:r>
              <w:rPr>
                <w:webHidden/>
              </w:rPr>
              <w:fldChar w:fldCharType="separate"/>
            </w:r>
            <w:r w:rsidR="0086194B">
              <w:rPr>
                <w:webHidden/>
              </w:rPr>
              <w:t>57</w:t>
            </w:r>
            <w:r>
              <w:rPr>
                <w:webHidden/>
              </w:rPr>
              <w:fldChar w:fldCharType="end"/>
            </w:r>
          </w:hyperlink>
        </w:p>
        <w:p w14:paraId="205ED7C0" w14:textId="5CF117C8" w:rsidR="007C0EA9" w:rsidRDefault="007C0EA9">
          <w:pPr>
            <w:pStyle w:val="TOC2"/>
            <w:rPr>
              <w:rFonts w:eastAsiaTheme="minorEastAsia" w:cstheme="minorBidi"/>
              <w:color w:val="auto"/>
              <w:kern w:val="2"/>
              <w:sz w:val="24"/>
              <w:szCs w:val="24"/>
              <w:lang w:eastAsia="en-AU"/>
              <w14:ligatures w14:val="standardContextual"/>
            </w:rPr>
          </w:pPr>
          <w:hyperlink w:anchor="_Toc206495302" w:history="1">
            <w:r w:rsidRPr="00ED2E8A">
              <w:rPr>
                <w:rStyle w:val="Hyperlink"/>
              </w:rPr>
              <w:t>Glossary</w:t>
            </w:r>
            <w:r>
              <w:rPr>
                <w:webHidden/>
              </w:rPr>
              <w:tab/>
            </w:r>
            <w:r>
              <w:rPr>
                <w:webHidden/>
              </w:rPr>
              <w:fldChar w:fldCharType="begin"/>
            </w:r>
            <w:r>
              <w:rPr>
                <w:webHidden/>
              </w:rPr>
              <w:instrText xml:space="preserve"> PAGEREF _Toc206495302 \h </w:instrText>
            </w:r>
            <w:r>
              <w:rPr>
                <w:webHidden/>
              </w:rPr>
            </w:r>
            <w:r>
              <w:rPr>
                <w:webHidden/>
              </w:rPr>
              <w:fldChar w:fldCharType="separate"/>
            </w:r>
            <w:r w:rsidR="0086194B">
              <w:rPr>
                <w:webHidden/>
              </w:rPr>
              <w:t>76</w:t>
            </w:r>
            <w:r>
              <w:rPr>
                <w:webHidden/>
              </w:rPr>
              <w:fldChar w:fldCharType="end"/>
            </w:r>
          </w:hyperlink>
        </w:p>
        <w:p w14:paraId="71879F63" w14:textId="7764D8AF" w:rsidR="007C0EA9" w:rsidRDefault="007C0EA9">
          <w:pPr>
            <w:pStyle w:val="TOC2"/>
            <w:rPr>
              <w:rFonts w:eastAsiaTheme="minorEastAsia" w:cstheme="minorBidi"/>
              <w:color w:val="auto"/>
              <w:kern w:val="2"/>
              <w:sz w:val="24"/>
              <w:szCs w:val="24"/>
              <w:lang w:eastAsia="en-AU"/>
              <w14:ligatures w14:val="standardContextual"/>
            </w:rPr>
          </w:pPr>
          <w:hyperlink w:anchor="_Toc206495303" w:history="1">
            <w:r w:rsidRPr="00ED2E8A">
              <w:rPr>
                <w:rStyle w:val="Hyperlink"/>
              </w:rPr>
              <w:t>References</w:t>
            </w:r>
            <w:r>
              <w:rPr>
                <w:webHidden/>
              </w:rPr>
              <w:tab/>
            </w:r>
            <w:r>
              <w:rPr>
                <w:webHidden/>
              </w:rPr>
              <w:fldChar w:fldCharType="begin"/>
            </w:r>
            <w:r>
              <w:rPr>
                <w:webHidden/>
              </w:rPr>
              <w:instrText xml:space="preserve"> PAGEREF _Toc206495303 \h </w:instrText>
            </w:r>
            <w:r>
              <w:rPr>
                <w:webHidden/>
              </w:rPr>
            </w:r>
            <w:r>
              <w:rPr>
                <w:webHidden/>
              </w:rPr>
              <w:fldChar w:fldCharType="separate"/>
            </w:r>
            <w:r w:rsidR="0086194B">
              <w:rPr>
                <w:webHidden/>
              </w:rPr>
              <w:t>78</w:t>
            </w:r>
            <w:r>
              <w:rPr>
                <w:webHidden/>
              </w:rPr>
              <w:fldChar w:fldCharType="end"/>
            </w:r>
          </w:hyperlink>
        </w:p>
        <w:p w14:paraId="7CFFA705" w14:textId="1E929BF4" w:rsidR="00444B74" w:rsidRDefault="005F36C3">
          <w:r>
            <w:rPr>
              <w:b/>
            </w:rPr>
            <w:fldChar w:fldCharType="end"/>
          </w:r>
        </w:p>
      </w:sdtContent>
    </w:sdt>
    <w:p w14:paraId="76B767B8" w14:textId="77777777" w:rsidR="00444B74" w:rsidRPr="00444B74" w:rsidRDefault="00444B74" w:rsidP="00444B74"/>
    <w:p w14:paraId="3C5495F9" w14:textId="77777777" w:rsidR="00505B19" w:rsidRDefault="00505B19" w:rsidP="008254F9"/>
    <w:p w14:paraId="6656FE0D" w14:textId="77777777" w:rsidR="00505B19" w:rsidRDefault="00505B19" w:rsidP="008E4920"/>
    <w:p w14:paraId="3B8EE297" w14:textId="77777777" w:rsidR="00505B19" w:rsidRDefault="00505B19" w:rsidP="008E4920"/>
    <w:p w14:paraId="1AD10F96" w14:textId="77777777" w:rsidR="00505B19" w:rsidRDefault="00505B19" w:rsidP="008E4920"/>
    <w:p w14:paraId="49408059" w14:textId="77777777" w:rsidR="00505B19" w:rsidRDefault="00505B19" w:rsidP="008E4920"/>
    <w:p w14:paraId="7A178B6D" w14:textId="77777777" w:rsidR="00505B19" w:rsidRDefault="00505B19" w:rsidP="008E4920"/>
    <w:p w14:paraId="438982D7" w14:textId="77777777" w:rsidR="00505B19" w:rsidRDefault="00505B19" w:rsidP="008E4920"/>
    <w:p w14:paraId="33696736" w14:textId="77777777" w:rsidR="00505B19" w:rsidRDefault="00505B19" w:rsidP="008E4920"/>
    <w:p w14:paraId="122DAA22" w14:textId="77777777" w:rsidR="00505B19" w:rsidRDefault="00505B19" w:rsidP="008E4920"/>
    <w:p w14:paraId="66475984" w14:textId="77777777" w:rsidR="00505B19" w:rsidRDefault="00505B19" w:rsidP="008E4920"/>
    <w:p w14:paraId="308B9113" w14:textId="77777777" w:rsidR="00505B19" w:rsidRDefault="00505B19" w:rsidP="008E4920"/>
    <w:p w14:paraId="176FB5CA" w14:textId="77777777" w:rsidR="00505B19" w:rsidRDefault="00505B19" w:rsidP="008E4920"/>
    <w:p w14:paraId="46996B74" w14:textId="77777777" w:rsidR="00505B19" w:rsidRDefault="00505B19" w:rsidP="008E4920"/>
    <w:p w14:paraId="79E81AE7" w14:textId="77777777" w:rsidR="00505B19" w:rsidRDefault="00505B19" w:rsidP="008E4920"/>
    <w:p w14:paraId="058543E9" w14:textId="77777777" w:rsidR="00505B19" w:rsidRDefault="00505B19" w:rsidP="008E4920"/>
    <w:p w14:paraId="3F91B2F7" w14:textId="77777777" w:rsidR="00505B19" w:rsidRDefault="00505B19" w:rsidP="008E4920"/>
    <w:p w14:paraId="27A3C2D4" w14:textId="77777777" w:rsidR="00505B19" w:rsidRDefault="00505B19" w:rsidP="008E4920"/>
    <w:p w14:paraId="5C990742" w14:textId="77777777" w:rsidR="00505B19" w:rsidRDefault="00505B19" w:rsidP="008E4920"/>
    <w:p w14:paraId="39AEAD05" w14:textId="77777777" w:rsidR="00505B19" w:rsidRDefault="00505B19" w:rsidP="008E4920"/>
    <w:p w14:paraId="3D9D39B0" w14:textId="77777777" w:rsidR="00C83438" w:rsidRDefault="00C83438" w:rsidP="008E4920">
      <w:bookmarkStart w:id="0" w:name="_Toc187133182"/>
      <w:bookmarkStart w:id="1" w:name="_Toc187313261"/>
      <w:bookmarkStart w:id="2" w:name="_Toc203549615"/>
    </w:p>
    <w:p w14:paraId="01A7F8C4" w14:textId="77777777" w:rsidR="008E4920" w:rsidRDefault="00C83438" w:rsidP="008E4920">
      <w:r w:rsidRPr="00C83438">
        <w:t xml:space="preserve"> </w:t>
      </w:r>
    </w:p>
    <w:p w14:paraId="0D2F5CBE" w14:textId="77777777" w:rsidR="008E4920" w:rsidRDefault="008E4920">
      <w:pPr>
        <w:rPr>
          <w:rFonts w:asciiTheme="majorHAnsi" w:hAnsiTheme="majorHAnsi"/>
          <w:sz w:val="52"/>
          <w:szCs w:val="44"/>
        </w:rPr>
      </w:pPr>
      <w:r>
        <w:br w:type="page"/>
      </w:r>
    </w:p>
    <w:p w14:paraId="050F3772" w14:textId="23FF1E05" w:rsidR="00C83438" w:rsidRPr="00C83438" w:rsidRDefault="00C83438" w:rsidP="00C83438">
      <w:pPr>
        <w:pStyle w:val="Heading1"/>
      </w:pPr>
      <w:bookmarkStart w:id="3" w:name="_Toc206495277"/>
      <w:r w:rsidRPr="00C83438">
        <w:lastRenderedPageBreak/>
        <w:t>Executive Summary</w:t>
      </w:r>
      <w:bookmarkEnd w:id="0"/>
      <w:bookmarkEnd w:id="1"/>
      <w:bookmarkEnd w:id="2"/>
      <w:bookmarkEnd w:id="3"/>
    </w:p>
    <w:p w14:paraId="33CECD2F" w14:textId="450E2D4E" w:rsidR="00C83438" w:rsidRPr="00C83438" w:rsidRDefault="00C83438" w:rsidP="00C83438">
      <w:r w:rsidRPr="00C83438">
        <w:t>The Australian Commission on Safety and Quality in Health Care (the Commission) leads and coordinates national improvement in the safety and quality of health care. Using the best available evidence and working closely with patients, carers, clinicians; the Australian state and territory health services; the private sector</w:t>
      </w:r>
      <w:r w:rsidR="00451A7A">
        <w:t>;</w:t>
      </w:r>
      <w:r w:rsidRPr="00C83438">
        <w:t xml:space="preserve"> managers and healthcare organisations</w:t>
      </w:r>
      <w:r w:rsidR="008F049D">
        <w:t>;</w:t>
      </w:r>
      <w:r w:rsidRPr="00C83438">
        <w:t xml:space="preserve"> the Commission works to ensure that the health system can deliver safe, high-quality care.</w:t>
      </w:r>
    </w:p>
    <w:p w14:paraId="1FA24377" w14:textId="6ECDEAB5" w:rsidR="00C83438" w:rsidRPr="00C83438" w:rsidRDefault="00C83438" w:rsidP="00C83438">
      <w:r w:rsidRPr="00C83438">
        <w:t>Sepsis is a life-threatening and time critical condition that arises when the body’s response to an infection damages its own tissues and organs. It is a major cause of morbidity and mortality. In 2017, there were approximately 55,251 cases of sepsis in Australia and 8,702 sepsis related deaths</w:t>
      </w:r>
      <w:r w:rsidR="008F049D">
        <w:t>.</w:t>
      </w:r>
      <w:r w:rsidRPr="00C83438">
        <w:rPr>
          <w:vertAlign w:val="superscript"/>
        </w:rPr>
        <w:footnoteReference w:id="2"/>
      </w:r>
      <w:r w:rsidRPr="00C83438">
        <w:t xml:space="preserve"> Sepsis is also very costly</w:t>
      </w:r>
      <w:r w:rsidR="00451A7A">
        <w:t>,</w:t>
      </w:r>
      <w:r w:rsidRPr="00C83438">
        <w:t xml:space="preserve"> </w:t>
      </w:r>
      <w:r w:rsidR="00451A7A">
        <w:t>i</w:t>
      </w:r>
      <w:r w:rsidR="008F049D">
        <w:t>n</w:t>
      </w:r>
      <w:r w:rsidR="008F049D" w:rsidRPr="00C83438">
        <w:t xml:space="preserve"> </w:t>
      </w:r>
      <w:r w:rsidRPr="00C83438">
        <w:t>Australia the direct hospital cost of sepsis to the healthcare system is approximately $700 million per year, with indirect costs of more than $4 billion per year.</w:t>
      </w:r>
      <w:r w:rsidRPr="00C83438">
        <w:rPr>
          <w:vertAlign w:val="superscript"/>
        </w:rPr>
        <w:footnoteReference w:id="3"/>
      </w:r>
    </w:p>
    <w:p w14:paraId="2F02F955" w14:textId="77777777" w:rsidR="00C83438" w:rsidRPr="00C83438" w:rsidRDefault="00C83438" w:rsidP="00C83438">
      <w:r w:rsidRPr="00C83438">
        <w:t>Improving early detection, recognition and treatment of sepsis is key to preventing illness and death. This has been the focus of the first National Sepsis Program (2020-2022) and the current National Sepsis Program Extension (2023-2025).</w:t>
      </w:r>
    </w:p>
    <w:p w14:paraId="20240833" w14:textId="77777777" w:rsidR="00C83438" w:rsidRPr="00C83438" w:rsidRDefault="00C83438" w:rsidP="00C83438">
      <w:r w:rsidRPr="00C83438">
        <w:t>Epidemiological data is used by health services to plan and evaluate health care delivery and guide clinical practice. It is integral to any quality improvement process.</w:t>
      </w:r>
    </w:p>
    <w:p w14:paraId="215B4999" w14:textId="77777777" w:rsidR="00C83438" w:rsidRPr="00C83438" w:rsidRDefault="00C83438" w:rsidP="00C83438">
      <w:r w:rsidRPr="00C83438">
        <w:t>Collecting reliable and consistent sepsis data is challenging. In 2017, Stopping Sepsis: A National Action Plan</w:t>
      </w:r>
      <w:r w:rsidRPr="00C83438">
        <w:rPr>
          <w:vertAlign w:val="superscript"/>
        </w:rPr>
        <w:footnoteReference w:id="4"/>
      </w:r>
      <w:r w:rsidRPr="00C83438">
        <w:t xml:space="preserve"> called for the development of a National Minimum Data set, to address inconsistencies in documentation and coding. Work to develop a National Sepsis Data Plan to strengthen the overall quality of sepsis data is underway.</w:t>
      </w:r>
    </w:p>
    <w:p w14:paraId="4623277B" w14:textId="77777777" w:rsidR="00C83438" w:rsidRPr="00C83438" w:rsidRDefault="00C83438" w:rsidP="00C83438">
      <w:r w:rsidRPr="00C83438">
        <w:t>This long-term strategy is important, however current data can still deliver valuable insights to inform quality improvement and clinical care.</w:t>
      </w:r>
    </w:p>
    <w:p w14:paraId="4DAE7CAA" w14:textId="77777777" w:rsidR="00C83438" w:rsidRPr="00C83438" w:rsidRDefault="00C83438" w:rsidP="00C83438">
      <w:r w:rsidRPr="00C83438">
        <w:t>In 2024, the Commission conducted analysis on health outcomes for patients who received admitted care in public hospitals between 2013-14 and 2022-23, who were coded with at least one explicit sepsis diagnosis.</w:t>
      </w:r>
    </w:p>
    <w:p w14:paraId="39F15D93" w14:textId="77777777" w:rsidR="00C83438" w:rsidRPr="00C83438" w:rsidRDefault="00C83438" w:rsidP="00C83438">
      <w:r w:rsidRPr="00C83438">
        <w:t>This report examines pre and post sepsis separations for patients with a sepsis diagnosis within a 30-day window, to better understand the sepsis patient journey in public admitted care. Due to the methodology and nature of the analysis, focusing on patient activity, the figures presented are not directly comparable to previous estimates. However, the increased prevalence of sepsis indicated is consistent with contemporary global estimates.</w:t>
      </w:r>
      <w:r w:rsidRPr="00C83438">
        <w:rPr>
          <w:vertAlign w:val="superscript"/>
        </w:rPr>
        <w:footnoteReference w:id="5"/>
      </w:r>
      <w:r w:rsidRPr="00C83438">
        <w:t xml:space="preserve"> </w:t>
      </w:r>
    </w:p>
    <w:p w14:paraId="2FFC49E3" w14:textId="7B9FA5BE" w:rsidR="001D4D0D" w:rsidRDefault="001D4D0D" w:rsidP="008254F9"/>
    <w:p w14:paraId="7CAB4C39" w14:textId="77777777" w:rsidR="001D4D0D" w:rsidRDefault="001D4D0D" w:rsidP="008254F9"/>
    <w:p w14:paraId="52DF5B34" w14:textId="77777777" w:rsidR="00EA233B" w:rsidRDefault="00EA233B" w:rsidP="008254F9"/>
    <w:p w14:paraId="61457F4F" w14:textId="77777777" w:rsidR="00EA233B" w:rsidRDefault="00EA233B" w:rsidP="008254F9"/>
    <w:p w14:paraId="6E316466" w14:textId="77777777" w:rsidR="00EA233B" w:rsidRPr="00EA233B" w:rsidRDefault="00EA233B" w:rsidP="008E4920">
      <w:pPr>
        <w:pStyle w:val="Heading1"/>
      </w:pPr>
      <w:bookmarkStart w:id="4" w:name="_Toc187313262"/>
      <w:bookmarkStart w:id="5" w:name="_Toc203549616"/>
      <w:bookmarkStart w:id="6" w:name="_Toc206495278"/>
      <w:r w:rsidRPr="00EA233B">
        <w:lastRenderedPageBreak/>
        <w:t>Key Findings</w:t>
      </w:r>
      <w:bookmarkEnd w:id="4"/>
      <w:bookmarkEnd w:id="5"/>
      <w:bookmarkEnd w:id="6"/>
    </w:p>
    <w:p w14:paraId="77E58BA5" w14:textId="77777777" w:rsidR="00EA233B" w:rsidRPr="00EA233B" w:rsidRDefault="00EA233B" w:rsidP="00EA233B">
      <w:pPr>
        <w:pStyle w:val="Heading3"/>
      </w:pPr>
      <w:r w:rsidRPr="00EA233B">
        <w:t>One in seven sepsis cases resulted in a hospital death in 2022-23</w:t>
      </w:r>
    </w:p>
    <w:p w14:paraId="3C2B3D0A" w14:textId="77777777" w:rsidR="00EA233B" w:rsidRPr="00EA233B" w:rsidRDefault="00EA233B" w:rsidP="00EA233B">
      <w:r w:rsidRPr="00EA233B">
        <w:t>Between 2013-14 and 2022-23 there were over 0.9 million admitted care separations involving sepsis. Age and sex adjusted sepsis rates peaked at 38 per 10,000 population in 2013-14 before dropping to 27 per 10,000 in 2022-23.</w:t>
      </w:r>
    </w:p>
    <w:p w14:paraId="61D18B76" w14:textId="11B8E1E7" w:rsidR="00EA233B" w:rsidRPr="00EA233B" w:rsidRDefault="00EA233B" w:rsidP="00EA233B">
      <w:r w:rsidRPr="00EA233B">
        <w:t>The average time spent in hospital, and in-hospital mortality, were similar between 2013-14 and 2022-23.</w:t>
      </w:r>
    </w:p>
    <w:p w14:paraId="3EE01E1C" w14:textId="77777777" w:rsidR="00EA233B" w:rsidRPr="00EA233B" w:rsidRDefault="00EA233B" w:rsidP="00EA233B">
      <w:r w:rsidRPr="00EA233B">
        <w:t>Emergency admissions continue to account for three in every four sepsis separations, but their share of hospital sepsis deaths has decreased over time. This suggests that efforts to improve recognition and response in emergency settings through awareness and sepsis pathways may be having a positive effect.</w:t>
      </w:r>
    </w:p>
    <w:p w14:paraId="36EFF5C2" w14:textId="77777777" w:rsidR="00EA233B" w:rsidRPr="00EA233B" w:rsidRDefault="00EA233B" w:rsidP="00EA233B">
      <w:pPr>
        <w:pStyle w:val="Heading3"/>
      </w:pPr>
      <w:r w:rsidRPr="00EA233B">
        <w:t>Patients with chronic and complex health conditions are at greater risk and are harder to treat</w:t>
      </w:r>
    </w:p>
    <w:p w14:paraId="2EB3E84C" w14:textId="77777777" w:rsidR="00EA233B" w:rsidRPr="00EA233B" w:rsidRDefault="00EA233B" w:rsidP="00EA233B">
      <w:r w:rsidRPr="00EA233B">
        <w:t>Almost one in three admissions for sepsis also had diabetes. Notable proportions of those treated for sepsis in hospital also had renal disease or cancer.</w:t>
      </w:r>
    </w:p>
    <w:p w14:paraId="46E376C3" w14:textId="77777777" w:rsidR="00EA233B" w:rsidRPr="00EA233B" w:rsidRDefault="00EA233B" w:rsidP="00EA233B">
      <w:r w:rsidRPr="00EA233B">
        <w:t>The average length of stay for patients with sepsis as a secondary diagnosis was almost twice that of patients with a primary diagnosis. This cohort was also more likely to be admitted to ICU and have longer ICU stays.</w:t>
      </w:r>
    </w:p>
    <w:p w14:paraId="1F4FF7CD" w14:textId="77777777" w:rsidR="00EA233B" w:rsidRPr="00EA233B" w:rsidRDefault="00EA233B" w:rsidP="00EA233B">
      <w:r w:rsidRPr="00EA233B">
        <w:t>Over half of all post sepsis readmissions over a 12-month period occurred in the first 30 days after discharge. Of those who returned in the 30 days after sepsis, at least one in five were treated for sepsis again.</w:t>
      </w:r>
    </w:p>
    <w:p w14:paraId="59E22898" w14:textId="77777777" w:rsidR="00EA233B" w:rsidRPr="00EA233B" w:rsidRDefault="00EA233B" w:rsidP="00EA233B">
      <w:r w:rsidRPr="00EA233B">
        <w:t>Analysis confirmed that older people or aged care residents were more likely to be admitted to hospital and treated for sepsis.</w:t>
      </w:r>
    </w:p>
    <w:p w14:paraId="543C471A" w14:textId="77777777" w:rsidR="00EA233B" w:rsidRPr="00EA233B" w:rsidRDefault="00EA233B" w:rsidP="00EA233B">
      <w:pPr>
        <w:pStyle w:val="Heading3"/>
        <w:rPr>
          <w:bCs/>
        </w:rPr>
      </w:pPr>
      <w:r w:rsidRPr="00EA233B">
        <w:t>Aboriginal and Torres Strait Islander people are more likely to be hospitalised for sepsis</w:t>
      </w:r>
      <w:r w:rsidRPr="00EA233B">
        <w:rPr>
          <w:bCs/>
        </w:rPr>
        <w:t>.</w:t>
      </w:r>
    </w:p>
    <w:p w14:paraId="2780A243" w14:textId="1CB8DB65" w:rsidR="00EA233B" w:rsidRPr="00EA233B" w:rsidRDefault="00EA233B" w:rsidP="00EA233B">
      <w:pPr>
        <w:rPr>
          <w:b/>
          <w:bCs/>
        </w:rPr>
      </w:pPr>
      <w:r w:rsidRPr="00EA233B">
        <w:t>The latest analysis period of 2022-23 saw 5,753 sepsis separations for Aboriginal or Torres Strait Islander patients. The Australian Bureau of Statistics’ (ABS) medium series projection</w:t>
      </w:r>
      <w:r w:rsidRPr="00EA233B">
        <w:rPr>
          <w:vertAlign w:val="superscript"/>
        </w:rPr>
        <w:footnoteReference w:id="6"/>
      </w:r>
      <w:r w:rsidRPr="00EA233B">
        <w:t xml:space="preserve"> for Aboriginal or Torres Strait Islander population was over 1 million as at 30 June 2022. This translated to approximately 6 sepsis separations per 1,000 Aboriginal or Torres Strait Islander people, double that of the </w:t>
      </w:r>
      <w:r w:rsidR="00812BC5">
        <w:t>non-indigenous</w:t>
      </w:r>
      <w:r w:rsidRPr="00EA233B">
        <w:t xml:space="preserve"> rate.</w:t>
      </w:r>
    </w:p>
    <w:p w14:paraId="0CDDBACF" w14:textId="77777777" w:rsidR="00EA233B" w:rsidRPr="00EA233B" w:rsidRDefault="00EA233B" w:rsidP="00EA233B">
      <w:pPr>
        <w:pStyle w:val="Heading3"/>
      </w:pPr>
      <w:r w:rsidRPr="00EA233B">
        <w:t>Social determinants appear to affect readmission risk.</w:t>
      </w:r>
    </w:p>
    <w:p w14:paraId="31546234" w14:textId="38AF8EE3" w:rsidR="00EA233B" w:rsidRPr="00EA233B" w:rsidRDefault="00EA233B" w:rsidP="00EA233B">
      <w:r w:rsidRPr="00EA233B">
        <w:t>Hospital transfer data suggests that rural living and higher socio-economic disadvantage are important risk factors associated with 30-day readmission.</w:t>
      </w:r>
    </w:p>
    <w:p w14:paraId="0D4837EA" w14:textId="77777777" w:rsidR="00EA233B" w:rsidRPr="00EA233B" w:rsidRDefault="00EA233B" w:rsidP="00EA233B">
      <w:pPr>
        <w:pStyle w:val="Heading3"/>
      </w:pPr>
      <w:r w:rsidRPr="00EA233B">
        <w:lastRenderedPageBreak/>
        <w:t>The average cost of a sepsis separation has increased by 50% over a 10-year period</w:t>
      </w:r>
    </w:p>
    <w:p w14:paraId="2695C960" w14:textId="77777777" w:rsidR="00EA233B" w:rsidRPr="00EA233B" w:rsidRDefault="00EA233B" w:rsidP="00EA233B">
      <w:r w:rsidRPr="00EA233B">
        <w:t>Managing comorbidities and sepsis in the context of complex social determinants and intersectionality may be driving increased resource utilisation.</w:t>
      </w:r>
    </w:p>
    <w:p w14:paraId="24902FE1" w14:textId="77777777" w:rsidR="009C13E0" w:rsidRPr="009C13E0" w:rsidRDefault="009C13E0" w:rsidP="007C0EA9">
      <w:pPr>
        <w:pStyle w:val="Heading2"/>
      </w:pPr>
      <w:bookmarkStart w:id="7" w:name="_Toc187313263"/>
      <w:bookmarkStart w:id="8" w:name="_Toc203549617"/>
      <w:bookmarkStart w:id="9" w:name="_Toc206495279"/>
      <w:r w:rsidRPr="009C13E0">
        <w:t>Future Directions</w:t>
      </w:r>
      <w:bookmarkEnd w:id="7"/>
      <w:bookmarkEnd w:id="8"/>
      <w:bookmarkEnd w:id="9"/>
    </w:p>
    <w:p w14:paraId="4A899943" w14:textId="77777777" w:rsidR="009C13E0" w:rsidRPr="009C13E0" w:rsidRDefault="009C13E0" w:rsidP="009C13E0">
      <w:pPr>
        <w:pStyle w:val="Heading3"/>
      </w:pPr>
      <w:r w:rsidRPr="009C13E0">
        <w:t>Collaboration to reach priority groups</w:t>
      </w:r>
    </w:p>
    <w:p w14:paraId="1BC986F8" w14:textId="77777777" w:rsidR="009C13E0" w:rsidRPr="009C13E0" w:rsidRDefault="009C13E0" w:rsidP="009C13E0">
      <w:r w:rsidRPr="009C13E0">
        <w:t>Partnerships with chronic disease associations such as Diabetes Australia, Kidney Health Australia and Cancer Australia may help to ensure that future sepsis awareness efforts reach those most at risk. Health services should also consider targeted quality improvement initiatives in chronic disease services/clinics.</w:t>
      </w:r>
    </w:p>
    <w:p w14:paraId="1D4B9397" w14:textId="77777777" w:rsidR="009C13E0" w:rsidRPr="009C13E0" w:rsidRDefault="009C13E0" w:rsidP="009C13E0">
      <w:pPr>
        <w:pStyle w:val="Heading3"/>
      </w:pPr>
      <w:r w:rsidRPr="009C13E0">
        <w:t>A National Sepsis Data Plan</w:t>
      </w:r>
    </w:p>
    <w:p w14:paraId="7769C3DF" w14:textId="77777777" w:rsidR="009C13E0" w:rsidRPr="009C13E0" w:rsidRDefault="009C13E0" w:rsidP="009C13E0">
      <w:r w:rsidRPr="009C13E0">
        <w:t>The quality and utility of sepsis data will be enhanced by:</w:t>
      </w:r>
    </w:p>
    <w:p w14:paraId="2F8C2ECF" w14:textId="77777777" w:rsidR="009C13E0" w:rsidRPr="009C13E0" w:rsidRDefault="009C13E0" w:rsidP="008E5623">
      <w:pPr>
        <w:numPr>
          <w:ilvl w:val="0"/>
          <w:numId w:val="7"/>
        </w:numPr>
      </w:pPr>
      <w:r w:rsidRPr="009C13E0">
        <w:t>consensus on the exact code combinations to define sepsis</w:t>
      </w:r>
    </w:p>
    <w:p w14:paraId="2FEC8B26" w14:textId="77777777" w:rsidR="009C13E0" w:rsidRPr="009C13E0" w:rsidRDefault="009C13E0" w:rsidP="008E5623">
      <w:pPr>
        <w:numPr>
          <w:ilvl w:val="0"/>
          <w:numId w:val="7"/>
        </w:numPr>
      </w:pPr>
      <w:r w:rsidRPr="009C13E0">
        <w:t>inclusion of recommended ‘Minimum Core Set of Cultural and Language Indicators’</w:t>
      </w:r>
    </w:p>
    <w:p w14:paraId="20A30361" w14:textId="77777777" w:rsidR="009C13E0" w:rsidRPr="009C13E0" w:rsidRDefault="009C13E0" w:rsidP="008E5623">
      <w:pPr>
        <w:numPr>
          <w:ilvl w:val="0"/>
          <w:numId w:val="7"/>
        </w:numPr>
      </w:pPr>
      <w:r w:rsidRPr="009C13E0">
        <w:t>data linkage including mortality sources, private hospital data, emergency department presentations and post-hospital follow up care.</w:t>
      </w:r>
    </w:p>
    <w:p w14:paraId="28C55A29" w14:textId="77777777" w:rsidR="009C13E0" w:rsidRPr="009C13E0" w:rsidRDefault="009C13E0" w:rsidP="009C13E0">
      <w:pPr>
        <w:pStyle w:val="Heading3"/>
      </w:pPr>
      <w:r w:rsidRPr="009C13E0">
        <w:t>Jurisdictional analysis</w:t>
      </w:r>
    </w:p>
    <w:p w14:paraId="36209A08" w14:textId="7409D98B" w:rsidR="009C13E0" w:rsidRPr="009C13E0" w:rsidRDefault="009C13E0" w:rsidP="009C13E0">
      <w:r w:rsidRPr="009C13E0">
        <w:t xml:space="preserve">The Commission did not compare differences between Australian states and </w:t>
      </w:r>
      <w:r w:rsidR="007C0EA9" w:rsidRPr="009C13E0">
        <w:t>territories;</w:t>
      </w:r>
      <w:r w:rsidRPr="009C13E0">
        <w:t xml:space="preserve"> however</w:t>
      </w:r>
      <w:r w:rsidR="00E7181E">
        <w:t>,</w:t>
      </w:r>
      <w:r w:rsidRPr="009C13E0">
        <w:t xml:space="preserve"> the insights gained from this report suggest that jurisdictions may benefit from replicating the search parameters of this report.</w:t>
      </w:r>
    </w:p>
    <w:p w14:paraId="1BC1F528" w14:textId="77777777" w:rsidR="009C13E0" w:rsidRPr="009C13E0" w:rsidRDefault="009C13E0" w:rsidP="009C13E0">
      <w:r w:rsidRPr="009C13E0">
        <w:t>Improving identification and management of complex infection cases, and the transfer of information across hospital systems may equip health services to evaluate the likelihood of a patient developing sepsis, and/or mitigate a subsequent sepsis hospitalisation.</w:t>
      </w:r>
    </w:p>
    <w:p w14:paraId="7AE6C79C" w14:textId="77777777" w:rsidR="009C13E0" w:rsidRPr="009C13E0" w:rsidRDefault="009C13E0" w:rsidP="009C13E0">
      <w:r w:rsidRPr="009C13E0">
        <w:t>Jurisdictions should also consider targeted subgroups, exploring local variation in hospital, geographic and patient level data to identify opportunities for local quality improvement including ways to strengthen health equity.</w:t>
      </w:r>
    </w:p>
    <w:p w14:paraId="0C81A753" w14:textId="0284A1D6" w:rsidR="00EA233B" w:rsidRDefault="009C13E0" w:rsidP="009C13E0">
      <w:r w:rsidRPr="009C13E0">
        <w:t>Tailored analysis of specific populations may also help health services better assess the prevalence and impact of sepsis on those groups. This includes paediatric and neonatal cohorts to ensure that the insights about risk factors are not masked by the weight of adult patient data</w:t>
      </w:r>
    </w:p>
    <w:p w14:paraId="4AC2FB32" w14:textId="77777777" w:rsidR="009C13E0" w:rsidRDefault="009C13E0" w:rsidP="009C13E0"/>
    <w:p w14:paraId="62D8782C" w14:textId="77777777" w:rsidR="009C13E0" w:rsidRDefault="009C13E0" w:rsidP="009C13E0"/>
    <w:p w14:paraId="485CF7A7" w14:textId="77777777" w:rsidR="009C13E0" w:rsidRDefault="009C13E0" w:rsidP="009C13E0"/>
    <w:p w14:paraId="5308A112" w14:textId="77777777" w:rsidR="009C13E0" w:rsidRDefault="009C13E0" w:rsidP="009C13E0"/>
    <w:p w14:paraId="6FD04D07" w14:textId="77777777" w:rsidR="009C13E0" w:rsidRDefault="009C13E0" w:rsidP="009C13E0"/>
    <w:p w14:paraId="0771F02D" w14:textId="77777777" w:rsidR="009C13E0" w:rsidRDefault="009C13E0" w:rsidP="009C13E0"/>
    <w:p w14:paraId="5D067209" w14:textId="77777777" w:rsidR="009C13E0" w:rsidRDefault="009C13E0" w:rsidP="009C13E0"/>
    <w:p w14:paraId="66DF5781" w14:textId="77777777" w:rsidR="009C13E0" w:rsidRDefault="009C13E0" w:rsidP="009C13E0"/>
    <w:p w14:paraId="4FC6DE9A" w14:textId="77777777" w:rsidR="009C13E0" w:rsidRDefault="009C13E0" w:rsidP="009C13E0"/>
    <w:p w14:paraId="69BC4DB7" w14:textId="77777777" w:rsidR="00412FFB" w:rsidRDefault="00412FFB" w:rsidP="007C0EA9">
      <w:pPr>
        <w:pStyle w:val="Heading2"/>
      </w:pPr>
      <w:bookmarkStart w:id="10" w:name="_Toc187133183"/>
      <w:bookmarkStart w:id="11" w:name="_Toc203549618"/>
      <w:bookmarkStart w:id="12" w:name="_Toc206495280"/>
      <w:r>
        <w:lastRenderedPageBreak/>
        <w:t>Report Infographic</w:t>
      </w:r>
      <w:bookmarkEnd w:id="10"/>
      <w:bookmarkEnd w:id="11"/>
      <w:bookmarkEnd w:id="12"/>
    </w:p>
    <w:p w14:paraId="6A64254E" w14:textId="569B2DC7" w:rsidR="009C13E0" w:rsidRDefault="00E36B44" w:rsidP="009C13E0">
      <w:r>
        <w:rPr>
          <w:noProof/>
        </w:rPr>
        <mc:AlternateContent>
          <mc:Choice Requires="wps">
            <w:drawing>
              <wp:anchor distT="45720" distB="45720" distL="114300" distR="114300" simplePos="0" relativeHeight="251682816" behindDoc="0" locked="0" layoutInCell="1" allowOverlap="1" wp14:anchorId="46B6495E" wp14:editId="1A38000A">
                <wp:simplePos x="0" y="0"/>
                <wp:positionH relativeFrom="margin">
                  <wp:align>center</wp:align>
                </wp:positionH>
                <wp:positionV relativeFrom="paragraph">
                  <wp:posOffset>7494630</wp:posOffset>
                </wp:positionV>
                <wp:extent cx="6619875" cy="971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71550"/>
                        </a:xfrm>
                        <a:prstGeom prst="rect">
                          <a:avLst/>
                        </a:prstGeom>
                        <a:solidFill>
                          <a:srgbClr val="FFFFFF"/>
                        </a:solidFill>
                        <a:ln w="9525">
                          <a:noFill/>
                          <a:miter lim="800000"/>
                          <a:headEnd/>
                          <a:tailEnd/>
                        </a:ln>
                      </wps:spPr>
                      <wps:txbx>
                        <w:txbxContent>
                          <w:p w14:paraId="4E46A3D9" w14:textId="77777777" w:rsidR="00E36B44" w:rsidRPr="008E4920" w:rsidRDefault="00E36B44" w:rsidP="00E36B44">
                            <w:pPr>
                              <w:rPr>
                                <w:sz w:val="18"/>
                                <w:szCs w:val="18"/>
                              </w:rPr>
                            </w:pPr>
                            <w:r w:rsidRPr="008E4920">
                              <w:rPr>
                                <w:sz w:val="18"/>
                                <w:szCs w:val="18"/>
                              </w:rPr>
                              <w:t>alt= “snapshot of patient journey 2022-2023 including demographics, health outcomes and sepsis separations” time”.</w:t>
                            </w:r>
                          </w:p>
                          <w:p w14:paraId="0708A88F" w14:textId="77777777" w:rsidR="00E36B44" w:rsidRPr="008E4920" w:rsidRDefault="00E36B44" w:rsidP="00E36B44">
                            <w:pPr>
                              <w:rPr>
                                <w:sz w:val="18"/>
                                <w:szCs w:val="18"/>
                              </w:rPr>
                            </w:pPr>
                            <w:r w:rsidRPr="008E4920">
                              <w:rPr>
                                <w:b/>
                                <w:bCs/>
                                <w:sz w:val="18"/>
                                <w:szCs w:val="18"/>
                              </w:rPr>
                              <w:t>HAC</w:t>
                            </w:r>
                            <w:r w:rsidRPr="008E4920">
                              <w:rPr>
                                <w:sz w:val="18"/>
                                <w:szCs w:val="18"/>
                              </w:rPr>
                              <w:t xml:space="preserve">: </w:t>
                            </w:r>
                            <w:r w:rsidRPr="008E4920">
                              <w:rPr>
                                <w:b/>
                                <w:bCs/>
                                <w:sz w:val="18"/>
                                <w:szCs w:val="18"/>
                              </w:rPr>
                              <w:t>H</w:t>
                            </w:r>
                            <w:r w:rsidRPr="008E4920">
                              <w:rPr>
                                <w:sz w:val="18"/>
                                <w:szCs w:val="18"/>
                              </w:rPr>
                              <w:t xml:space="preserve">ospital </w:t>
                            </w:r>
                            <w:r w:rsidRPr="008E4920">
                              <w:rPr>
                                <w:b/>
                                <w:bCs/>
                                <w:sz w:val="18"/>
                                <w:szCs w:val="18"/>
                              </w:rPr>
                              <w:t>A</w:t>
                            </w:r>
                            <w:r w:rsidRPr="008E4920">
                              <w:rPr>
                                <w:sz w:val="18"/>
                                <w:szCs w:val="18"/>
                              </w:rPr>
                              <w:t xml:space="preserve">cquired </w:t>
                            </w:r>
                            <w:r w:rsidRPr="008E4920">
                              <w:rPr>
                                <w:b/>
                                <w:bCs/>
                                <w:sz w:val="18"/>
                                <w:szCs w:val="18"/>
                              </w:rPr>
                              <w:t>C</w:t>
                            </w:r>
                            <w:r w:rsidRPr="008E4920">
                              <w:rPr>
                                <w:sz w:val="18"/>
                                <w:szCs w:val="18"/>
                              </w:rPr>
                              <w:t>omplication</w:t>
                            </w:r>
                            <w:r w:rsidRPr="008E4920">
                              <w:rPr>
                                <w:sz w:val="18"/>
                                <w:szCs w:val="18"/>
                                <w:lang w:val="en-US"/>
                              </w:rPr>
                              <w:t xml:space="preserve"> is a medical complication that can happen to a patient while in hospital that was not present when they were admitted, for example a surgical site infection or pressure ulcer.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6495E" id="_x0000_t202" coordsize="21600,21600" o:spt="202" path="m,l,21600r21600,l21600,xe">
                <v:stroke joinstyle="miter"/>
                <v:path gradientshapeok="t" o:connecttype="rect"/>
              </v:shapetype>
              <v:shape id="Text Box 2" o:spid="_x0000_s1026" type="#_x0000_t202" style="position:absolute;margin-left:0;margin-top:590.15pt;width:521.25pt;height:76.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" stroked="f">
                <v:textbox>
                  <w:txbxContent>
                    <w:p w14:paraId="4E46A3D9" w14:textId="77777777" w:rsidR="00E36B44" w:rsidRPr="008E4920" w:rsidRDefault="00E36B44" w:rsidP="00E36B44">
                      <w:pPr>
                        <w:rPr>
                          <w:sz w:val="18"/>
                          <w:szCs w:val="18"/>
                        </w:rPr>
                      </w:pPr>
                      <w:r w:rsidRPr="008E4920">
                        <w:rPr>
                          <w:sz w:val="18"/>
                          <w:szCs w:val="18"/>
                        </w:rPr>
                        <w:t>alt= “snapshot of patient journey 2022-2023 including demographics, health outcomes and sepsis separations” time”.</w:t>
                      </w:r>
                    </w:p>
                    <w:p w14:paraId="0708A88F" w14:textId="77777777" w:rsidR="00E36B44" w:rsidRPr="008E4920" w:rsidRDefault="00E36B44" w:rsidP="00E36B44">
                      <w:pPr>
                        <w:rPr>
                          <w:sz w:val="18"/>
                          <w:szCs w:val="18"/>
                        </w:rPr>
                      </w:pPr>
                      <w:r w:rsidRPr="008E4920">
                        <w:rPr>
                          <w:b/>
                          <w:bCs/>
                          <w:sz w:val="18"/>
                          <w:szCs w:val="18"/>
                        </w:rPr>
                        <w:t>HAC</w:t>
                      </w:r>
                      <w:r w:rsidRPr="008E4920">
                        <w:rPr>
                          <w:sz w:val="18"/>
                          <w:szCs w:val="18"/>
                        </w:rPr>
                        <w:t xml:space="preserve">: </w:t>
                      </w:r>
                      <w:r w:rsidRPr="008E4920">
                        <w:rPr>
                          <w:b/>
                          <w:bCs/>
                          <w:sz w:val="18"/>
                          <w:szCs w:val="18"/>
                        </w:rPr>
                        <w:t>H</w:t>
                      </w:r>
                      <w:r w:rsidRPr="008E4920">
                        <w:rPr>
                          <w:sz w:val="18"/>
                          <w:szCs w:val="18"/>
                        </w:rPr>
                        <w:t xml:space="preserve">ospital </w:t>
                      </w:r>
                      <w:r w:rsidRPr="008E4920">
                        <w:rPr>
                          <w:b/>
                          <w:bCs/>
                          <w:sz w:val="18"/>
                          <w:szCs w:val="18"/>
                        </w:rPr>
                        <w:t>A</w:t>
                      </w:r>
                      <w:r w:rsidRPr="008E4920">
                        <w:rPr>
                          <w:sz w:val="18"/>
                          <w:szCs w:val="18"/>
                        </w:rPr>
                        <w:t xml:space="preserve">cquired </w:t>
                      </w:r>
                      <w:r w:rsidRPr="008E4920">
                        <w:rPr>
                          <w:b/>
                          <w:bCs/>
                          <w:sz w:val="18"/>
                          <w:szCs w:val="18"/>
                        </w:rPr>
                        <w:t>C</w:t>
                      </w:r>
                      <w:r w:rsidRPr="008E4920">
                        <w:rPr>
                          <w:sz w:val="18"/>
                          <w:szCs w:val="18"/>
                        </w:rPr>
                        <w:t>omplication</w:t>
                      </w:r>
                      <w:r w:rsidRPr="008E4920">
                        <w:rPr>
                          <w:sz w:val="18"/>
                          <w:szCs w:val="18"/>
                          <w:lang w:val="en-US"/>
                        </w:rPr>
                        <w:t xml:space="preserve"> is a medical complication that can happen to a patient while in hospital that was not present when they were admitted, for example a surgical site infection or pressure ulcer.</w:t>
                      </w:r>
                    </w:p>
                  </w:txbxContent>
                </v:textbox>
                <w10:wrap type="square" anchorx="margin"/>
              </v:shape>
            </w:pict>
          </mc:Fallback>
        </mc:AlternateContent>
      </w:r>
      <w:r w:rsidR="008333D4">
        <w:rPr>
          <w:noProof/>
        </w:rPr>
        <w:drawing>
          <wp:inline distT="0" distB="0" distL="0" distR="0" wp14:anchorId="26994B60" wp14:editId="5BFC761C">
            <wp:extent cx="5175849" cy="7317986"/>
            <wp:effectExtent l="0" t="0" r="6350" b="0"/>
            <wp:docPr id="773092045" name="Picture 1" descr="A pink and purple informationa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92045" name="Picture 1" descr="A pink and purple informational char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849" cy="7317986"/>
                    </a:xfrm>
                    <a:prstGeom prst="rect">
                      <a:avLst/>
                    </a:prstGeom>
                    <a:noFill/>
                    <a:ln>
                      <a:noFill/>
                    </a:ln>
                  </pic:spPr>
                </pic:pic>
              </a:graphicData>
            </a:graphic>
          </wp:inline>
        </w:drawing>
      </w:r>
    </w:p>
    <w:p w14:paraId="43B7EB3A" w14:textId="77777777" w:rsidR="00BB1F16" w:rsidRPr="00BB1F16" w:rsidRDefault="00BB1F16" w:rsidP="00BB1F16">
      <w:pPr>
        <w:pStyle w:val="Heading1"/>
      </w:pPr>
      <w:bookmarkStart w:id="13" w:name="_Toc203549619"/>
      <w:bookmarkStart w:id="14" w:name="_Toc206495281"/>
      <w:r w:rsidRPr="00BB1F16">
        <w:lastRenderedPageBreak/>
        <w:t>Background and Introduction</w:t>
      </w:r>
      <w:bookmarkEnd w:id="13"/>
      <w:bookmarkEnd w:id="14"/>
    </w:p>
    <w:p w14:paraId="01C7E9D7" w14:textId="77777777" w:rsidR="00BB1F16" w:rsidRPr="00BB1F16" w:rsidRDefault="00BB1F16" w:rsidP="00BB1F16">
      <w:r w:rsidRPr="00BB1F16">
        <w:t>Health services need robust data to understand prevalence, recognition, responses, and impact of sepsis on populations, health services or systems; and to inform day to day clinical management.</w:t>
      </w:r>
    </w:p>
    <w:p w14:paraId="6D628171" w14:textId="37A50ADD" w:rsidR="00BB1F16" w:rsidRPr="00BB1F16" w:rsidRDefault="00BB1F16" w:rsidP="00BB1F16">
      <w:r w:rsidRPr="00BB1F16">
        <w:t>Using explicit sepsis codes from editions 8 to 12 of the ICD-10AM, this report developed as part of the National Sepsis Program Extension investigates trends in sepsis separations in Australian public hospitals. Understanding the sepsis patient journey by examining before and after sepsis admissions highlights parts of the public hospital system where targeted improvement in sepsis recognition and response may add the most value. This includes delivering better patient outcomes and in doing so decreasing the burden of sepsis on health systems.</w:t>
      </w:r>
    </w:p>
    <w:p w14:paraId="770CCFED" w14:textId="77777777" w:rsidR="00BB1F16" w:rsidRPr="00BB1F16" w:rsidRDefault="00BB1F16" w:rsidP="00BB1F16">
      <w:r w:rsidRPr="00BB1F16">
        <w:t>The report also highlights current data limitations that should be considered in the development of a National Sepsis Data Plan.</w:t>
      </w:r>
    </w:p>
    <w:p w14:paraId="41919C07" w14:textId="77777777" w:rsidR="00BB1F16" w:rsidRPr="00BB1F16" w:rsidRDefault="00BB1F16" w:rsidP="00BB1F16"/>
    <w:p w14:paraId="0A1B85CC" w14:textId="77777777" w:rsidR="00BB1F16" w:rsidRPr="00BB1F16" w:rsidRDefault="00BB1F16" w:rsidP="00BB1F16">
      <w:pPr>
        <w:pStyle w:val="Heading1"/>
      </w:pPr>
      <w:bookmarkStart w:id="15" w:name="_Toc187133185"/>
      <w:bookmarkStart w:id="16" w:name="_Toc187313265"/>
      <w:bookmarkStart w:id="17" w:name="_Toc203549620"/>
      <w:bookmarkStart w:id="18" w:name="_Toc206495282"/>
      <w:r w:rsidRPr="00BB1F16">
        <w:t>Data collection and methodology</w:t>
      </w:r>
      <w:bookmarkEnd w:id="15"/>
      <w:bookmarkEnd w:id="16"/>
      <w:bookmarkEnd w:id="17"/>
      <w:bookmarkEnd w:id="18"/>
    </w:p>
    <w:p w14:paraId="5CE8A100" w14:textId="7C531954" w:rsidR="00BB1F16" w:rsidRPr="00BB1F16" w:rsidRDefault="00BB1F16" w:rsidP="00BB1F16">
      <w:r w:rsidRPr="00BB1F16">
        <w:t xml:space="preserve">The Australian Commission on Safety and Quality in Health Care (Commission) conducted analyses on health outcomes for patients who received admitted care in public hospitals between 2013-14 and 2022-23 and coded with at least one explicit sepsis diagnosis under </w:t>
      </w:r>
      <w:hyperlink w:anchor="_Appendix_A:_Explicit" w:history="1">
        <w:r w:rsidRPr="00BB1F16">
          <w:rPr>
            <w:rStyle w:val="Hyperlink"/>
          </w:rPr>
          <w:t>Appendix A</w:t>
        </w:r>
      </w:hyperlink>
      <w:r w:rsidRPr="00BB1F16">
        <w:rPr>
          <w:u w:val="single"/>
        </w:rPr>
        <w:t>.</w:t>
      </w:r>
      <w:r w:rsidRPr="00BB1F16">
        <w:t xml:space="preserve"> This data was extracted from the Admitted Patient Care (APC) data collection collected by the Independent Health and Aged Care Pricing Authority (IHACPA).</w:t>
      </w:r>
    </w:p>
    <w:p w14:paraId="63755830" w14:textId="77777777" w:rsidR="00BB1F16" w:rsidRPr="00BB1F16" w:rsidRDefault="00BB1F16" w:rsidP="00BB1F16">
      <w:r w:rsidRPr="00BB1F16">
        <w:t>Key reporting groups are described below and illustrated in Figure 1.1</w:t>
      </w:r>
    </w:p>
    <w:p w14:paraId="27C50574" w14:textId="77777777" w:rsidR="00BB1F16" w:rsidRPr="00BB1F16" w:rsidRDefault="00BB1F16" w:rsidP="008E5623">
      <w:pPr>
        <w:numPr>
          <w:ilvl w:val="0"/>
          <w:numId w:val="8"/>
        </w:numPr>
      </w:pPr>
      <w:r w:rsidRPr="00BB1F16">
        <w:t>separations with sepsis recorded as the principal diagnosis</w:t>
      </w:r>
    </w:p>
    <w:p w14:paraId="4C6EE8B7" w14:textId="77777777" w:rsidR="00BB1F16" w:rsidRPr="00BB1F16" w:rsidRDefault="00BB1F16" w:rsidP="008E5623">
      <w:pPr>
        <w:numPr>
          <w:ilvl w:val="0"/>
          <w:numId w:val="8"/>
        </w:numPr>
      </w:pPr>
      <w:r w:rsidRPr="00BB1F16">
        <w:t>separations with sepsis recorded as an additional diagnosis</w:t>
      </w:r>
    </w:p>
    <w:p w14:paraId="55E28973" w14:textId="77777777" w:rsidR="00BB1F16" w:rsidRPr="00BB1F16" w:rsidRDefault="00BB1F16" w:rsidP="008E5623">
      <w:pPr>
        <w:numPr>
          <w:ilvl w:val="0"/>
          <w:numId w:val="8"/>
        </w:numPr>
      </w:pPr>
      <w:r w:rsidRPr="00BB1F16">
        <w:t>separations with either sepsis as principal or additional diagnoses</w:t>
      </w:r>
    </w:p>
    <w:p w14:paraId="6EBFD9DD" w14:textId="77777777" w:rsidR="00BB1F16" w:rsidRPr="00BB1F16" w:rsidRDefault="00BB1F16" w:rsidP="008E5623">
      <w:pPr>
        <w:numPr>
          <w:ilvl w:val="0"/>
          <w:numId w:val="8"/>
        </w:numPr>
      </w:pPr>
      <w:r w:rsidRPr="00BB1F16">
        <w:t>pre-sepsis separations within a pre-defined window</w:t>
      </w:r>
    </w:p>
    <w:p w14:paraId="5115F25D" w14:textId="77777777" w:rsidR="00BB1F16" w:rsidRDefault="00BB1F16" w:rsidP="008E5623">
      <w:pPr>
        <w:numPr>
          <w:ilvl w:val="0"/>
          <w:numId w:val="8"/>
        </w:numPr>
      </w:pPr>
      <w:r w:rsidRPr="00BB1F16">
        <w:t>post-sepsis readmissions within a pre-defined window.</w:t>
      </w:r>
    </w:p>
    <w:p w14:paraId="7B9901E4" w14:textId="513B4F73" w:rsidR="006157C3" w:rsidRDefault="006157C3" w:rsidP="006157C3"/>
    <w:p w14:paraId="51FFB605" w14:textId="44F5BCDB" w:rsidR="00BB1F16" w:rsidRPr="00BB1F16" w:rsidRDefault="001C603A" w:rsidP="00BB1F16">
      <w:pPr>
        <w:pStyle w:val="Caption"/>
      </w:pPr>
      <w:r>
        <w:t>Reporting groups</w:t>
      </w:r>
    </w:p>
    <w:p w14:paraId="6AB01FD0" w14:textId="1E218C78" w:rsidR="00024EFC" w:rsidRDefault="00024EFC">
      <w:r>
        <w:rPr>
          <w:noProof/>
        </w:rPr>
        <mc:AlternateContent>
          <mc:Choice Requires="wps">
            <w:drawing>
              <wp:anchor distT="45720" distB="45720" distL="114300" distR="114300" simplePos="0" relativeHeight="251684864" behindDoc="0" locked="0" layoutInCell="1" allowOverlap="1" wp14:anchorId="271D4B65" wp14:editId="03F5AC78">
                <wp:simplePos x="0" y="0"/>
                <wp:positionH relativeFrom="margin">
                  <wp:posOffset>-191135</wp:posOffset>
                </wp:positionH>
                <wp:positionV relativeFrom="paragraph">
                  <wp:posOffset>1632585</wp:posOffset>
                </wp:positionV>
                <wp:extent cx="6619875" cy="361950"/>
                <wp:effectExtent l="0" t="0" r="9525" b="0"/>
                <wp:wrapSquare wrapText="bothSides"/>
                <wp:docPr id="363455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61950"/>
                        </a:xfrm>
                        <a:prstGeom prst="rect">
                          <a:avLst/>
                        </a:prstGeom>
                        <a:solidFill>
                          <a:srgbClr val="FFFFFF"/>
                        </a:solidFill>
                        <a:ln w="9525">
                          <a:noFill/>
                          <a:miter lim="800000"/>
                          <a:headEnd/>
                          <a:tailEnd/>
                        </a:ln>
                      </wps:spPr>
                      <wps:txbx>
                        <w:txbxContent>
                          <w:p w14:paraId="01C16CF8" w14:textId="77777777" w:rsidR="00024EFC" w:rsidRDefault="00024EFC" w:rsidP="00024EFC">
                            <w:pPr>
                              <w:jc w:val="center"/>
                            </w:pPr>
                            <w:r w:rsidRPr="008201C0">
                              <w:rPr>
                                <w:sz w:val="20"/>
                                <w:szCs w:val="20"/>
                              </w:rPr>
                              <w:t>alt= “</w:t>
                            </w:r>
                            <w:r>
                              <w:rPr>
                                <w:sz w:val="20"/>
                                <w:szCs w:val="20"/>
                              </w:rPr>
                              <w:t>Data collection definitions for pre-sepsis, sepsis and post-sepsis separations</w:t>
                            </w:r>
                            <w:r w:rsidRPr="008201C0">
                              <w:rPr>
                                <w:sz w:val="20"/>
                                <w:szCs w:val="20"/>
                              </w:rPr>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D4B65" id="_x0000_s1027" type="#_x0000_t202" style="position:absolute;margin-left:-15.05pt;margin-top:128.55pt;width:521.25pt;height:2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MDw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" stroked="f">
                <v:textbox>
                  <w:txbxContent>
                    <w:p w14:paraId="01C16CF8" w14:textId="77777777" w:rsidR="00024EFC" w:rsidRDefault="00024EFC" w:rsidP="00024EFC">
                      <w:pPr>
                        <w:jc w:val="center"/>
                      </w:pPr>
                      <w:r w:rsidRPr="008201C0">
                        <w:rPr>
                          <w:sz w:val="20"/>
                          <w:szCs w:val="20"/>
                        </w:rPr>
                        <w:t>alt= “</w:t>
                      </w:r>
                      <w:r>
                        <w:rPr>
                          <w:sz w:val="20"/>
                          <w:szCs w:val="20"/>
                        </w:rPr>
                        <w:t>Data collection definitions for pre-sepsis, sepsis and post-sepsis separations</w:t>
                      </w:r>
                      <w:r w:rsidRPr="008201C0">
                        <w:rPr>
                          <w:sz w:val="20"/>
                          <w:szCs w:val="20"/>
                        </w:rPr>
                        <w:t>”</w:t>
                      </w:r>
                      <w:r>
                        <w:t>.</w:t>
                      </w:r>
                    </w:p>
                  </w:txbxContent>
                </v:textbox>
                <w10:wrap type="square" anchorx="margin"/>
              </v:shape>
            </w:pict>
          </mc:Fallback>
        </mc:AlternateContent>
      </w:r>
      <w:r w:rsidR="006157C3">
        <w:rPr>
          <w:noProof/>
        </w:rPr>
        <w:drawing>
          <wp:inline distT="0" distB="0" distL="0" distR="0" wp14:anchorId="79589C92" wp14:editId="6B4C36A0">
            <wp:extent cx="6151418" cy="1552575"/>
            <wp:effectExtent l="0" t="0" r="1905" b="0"/>
            <wp:docPr id="1215437323" name="Diagram 1">
              <a:extLst xmlns:a="http://schemas.openxmlformats.org/drawingml/2006/main">
                <a:ext uri="{FF2B5EF4-FFF2-40B4-BE49-F238E27FC236}">
                  <a16:creationId xmlns:a16="http://schemas.microsoft.com/office/drawing/2014/main" id="{18FE95CB-321F-EBCE-E518-1FC8162465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29820D7" w14:textId="2C8FA7B5" w:rsidR="001D4D0D" w:rsidRDefault="001D4D0D">
      <w:r>
        <w:br w:type="page"/>
      </w:r>
    </w:p>
    <w:p w14:paraId="74E53707" w14:textId="77777777" w:rsidR="006A768B" w:rsidRDefault="006A768B" w:rsidP="006A768B">
      <w:r>
        <w:lastRenderedPageBreak/>
        <w:t>Data was available for the entire population of admitted care patients in public hospitals, and subsequently no significance testing was performed. Therefore, differences observed in descriptive results reflect actual population differences, to the extent bound by how sepsis was identified in the data collection used.</w:t>
      </w:r>
    </w:p>
    <w:p w14:paraId="187CEAAD" w14:textId="77777777" w:rsidR="006A768B" w:rsidRDefault="006A768B" w:rsidP="006A768B">
      <w:r>
        <w:t>Readmissions were reported based on the date readmissions occurred, while separations were reported based on date of hospital discharge (separation date).</w:t>
      </w:r>
    </w:p>
    <w:p w14:paraId="0B43AE51" w14:textId="77777777" w:rsidR="006A768B" w:rsidRDefault="006A768B" w:rsidP="006A768B">
      <w:r>
        <w:t>Descriptive statistics for post-sepsis readmissions in 2022-23 were used to inform the appropriate window for the pre-sepsis and post-sepsis groups in all subsequent analyses.</w:t>
      </w:r>
    </w:p>
    <w:p w14:paraId="3E830722" w14:textId="77777777" w:rsidR="006A768B" w:rsidRPr="0065530D" w:rsidRDefault="006A768B" w:rsidP="006A768B">
      <w:pPr>
        <w:rPr>
          <w:rFonts w:eastAsia="DengXian" w:cstheme="minorHAnsi"/>
          <w:kern w:val="2"/>
          <w:lang w:eastAsia="zh-CN"/>
          <w14:ligatures w14:val="standardContextual"/>
        </w:rPr>
      </w:pPr>
      <w:r w:rsidRPr="0065530D">
        <w:rPr>
          <w:rFonts w:eastAsia="DengXian" w:cstheme="minorHAnsi"/>
          <w:kern w:val="2"/>
          <w:lang w:eastAsia="zh-CN"/>
          <w14:ligatures w14:val="standardContextual"/>
        </w:rPr>
        <w:t>Descriptive statistics were calculated for each reporting group, over the entire analysis period, and for selected years in more detail. Analysis period for the pre- and post- sepsis groups was limited to 2015-16 to 2022-23 due to data availability.</w:t>
      </w:r>
    </w:p>
    <w:p w14:paraId="43B5758C" w14:textId="77777777" w:rsidR="006A768B" w:rsidRPr="0065530D" w:rsidRDefault="006A768B" w:rsidP="006A768B">
      <w:pPr>
        <w:rPr>
          <w:rFonts w:eastAsia="DengXian" w:cstheme="minorHAnsi"/>
          <w:kern w:val="2"/>
          <w:lang w:eastAsia="zh-CN"/>
          <w14:ligatures w14:val="standardContextual"/>
        </w:rPr>
      </w:pPr>
      <w:r w:rsidRPr="0065530D">
        <w:rPr>
          <w:rFonts w:eastAsia="DengXian" w:cstheme="minorHAnsi"/>
          <w:kern w:val="2"/>
          <w:lang w:eastAsia="zh-CN"/>
          <w14:ligatures w14:val="standardContextual"/>
        </w:rPr>
        <w:t>Selected factors were analysed for each reporting group by financial year. Rates of sepsis, post-sepsis readmissions and pre-sepsis separations were presented per 10,000 population. Rates were standardised by age and sex to a reference population to account for differences in age and sex structure of population across time. The reference population was the Australian Bureau of Statistics’ 30 June 2001 Estimated Resident Population (ERP). Denominator population for each reporting year was based on the 30 June ERP prior to the start of each reporting year.</w:t>
      </w:r>
    </w:p>
    <w:p w14:paraId="236B5FAA" w14:textId="77777777" w:rsidR="006A768B" w:rsidRDefault="006A768B" w:rsidP="006A768B">
      <w:r w:rsidRPr="0065530D">
        <w:rPr>
          <w:rFonts w:eastAsia="DengXian" w:cstheme="minorHAnsi"/>
          <w:kern w:val="2"/>
          <w:lang w:eastAsia="zh-CN"/>
          <w14:ligatures w14:val="standardContextual"/>
        </w:rPr>
        <w:t>Cost of admitted care for each reporting year was estimated using the gross weighted activity unit (</w:t>
      </w:r>
      <w:r>
        <w:rPr>
          <w:rFonts w:eastAsia="DengXian" w:cstheme="minorHAnsi"/>
          <w:kern w:val="2"/>
          <w:lang w:eastAsia="zh-CN"/>
          <w14:ligatures w14:val="standardContextual"/>
        </w:rPr>
        <w:t>N</w:t>
      </w:r>
      <w:r w:rsidRPr="0065530D">
        <w:rPr>
          <w:rFonts w:eastAsia="DengXian" w:cstheme="minorHAnsi"/>
          <w:kern w:val="2"/>
          <w:lang w:eastAsia="zh-CN"/>
          <w14:ligatures w14:val="standardContextual"/>
        </w:rPr>
        <w:t xml:space="preserve">WAU) for an episode of care with the corresponding national efficient price (NEP) of that year. The NEP, and corresponding </w:t>
      </w:r>
      <w:r>
        <w:rPr>
          <w:rFonts w:eastAsia="DengXian" w:cstheme="minorHAnsi"/>
          <w:kern w:val="2"/>
          <w:lang w:eastAsia="zh-CN"/>
          <w14:ligatures w14:val="standardContextual"/>
        </w:rPr>
        <w:t>N</w:t>
      </w:r>
      <w:r w:rsidRPr="0065530D">
        <w:rPr>
          <w:rFonts w:eastAsia="DengXian" w:cstheme="minorHAnsi"/>
          <w:kern w:val="2"/>
          <w:lang w:eastAsia="zh-CN"/>
          <w14:ligatures w14:val="standardContextual"/>
        </w:rPr>
        <w:t>WAU algorithm, is determined annually by the IHACPA</w:t>
      </w:r>
      <w:r>
        <w:rPr>
          <w:rFonts w:eastAsia="DengXian" w:cstheme="minorHAnsi"/>
          <w:kern w:val="2"/>
          <w:lang w:eastAsia="zh-CN"/>
          <w14:ligatures w14:val="standardContextual"/>
        </w:rPr>
        <w:t>.</w:t>
      </w:r>
    </w:p>
    <w:p w14:paraId="583C3218" w14:textId="7A325EC5" w:rsidR="00D205F0" w:rsidRDefault="00D205F0" w:rsidP="00166072">
      <w:pPr>
        <w:pStyle w:val="TableCaption"/>
      </w:pPr>
      <w:r>
        <w:t>General inclusion and exclusion criteria</w:t>
      </w:r>
    </w:p>
    <w:tbl>
      <w:tblPr>
        <w:tblStyle w:val="SQHTable"/>
        <w:tblW w:w="513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35"/>
        <w:gridCol w:w="1271"/>
        <w:gridCol w:w="3514"/>
        <w:gridCol w:w="3512"/>
      </w:tblGrid>
      <w:tr w:rsidR="003F7A4E" w:rsidRPr="00D76BF4" w14:paraId="60D93026" w14:textId="77777777" w:rsidTr="00166072">
        <w:trPr>
          <w:cnfStyle w:val="100000000000" w:firstRow="1" w:lastRow="0" w:firstColumn="0" w:lastColumn="0" w:oddVBand="0" w:evenVBand="0" w:oddHBand="0" w:evenHBand="0" w:firstRowFirstColumn="0" w:firstRowLastColumn="0" w:lastRowFirstColumn="0" w:lastRowLastColumn="0"/>
          <w:trHeight w:val="340"/>
        </w:trPr>
        <w:tc>
          <w:tcPr>
            <w:tcW w:w="601" w:type="pct"/>
            <w:vAlign w:val="center"/>
          </w:tcPr>
          <w:p w14:paraId="5833BDA2" w14:textId="77777777" w:rsidR="003F7A4E" w:rsidRDefault="003F7A4E" w:rsidP="00166072">
            <w:pPr>
              <w:spacing w:before="0" w:after="0"/>
            </w:pPr>
            <w:r>
              <w:t>Type</w:t>
            </w:r>
          </w:p>
        </w:tc>
        <w:tc>
          <w:tcPr>
            <w:tcW w:w="673" w:type="pct"/>
            <w:vAlign w:val="center"/>
          </w:tcPr>
          <w:p w14:paraId="53FEDFDE" w14:textId="77777777" w:rsidR="003F7A4E" w:rsidRDefault="003F7A4E" w:rsidP="00166072">
            <w:pPr>
              <w:spacing w:before="0" w:after="0"/>
            </w:pPr>
            <w:r>
              <w:t>Criteria</w:t>
            </w:r>
          </w:p>
        </w:tc>
        <w:tc>
          <w:tcPr>
            <w:tcW w:w="1863" w:type="pct"/>
            <w:vAlign w:val="center"/>
          </w:tcPr>
          <w:p w14:paraId="73DF36B0" w14:textId="77777777" w:rsidR="003F7A4E" w:rsidRDefault="003F7A4E" w:rsidP="00166072">
            <w:pPr>
              <w:spacing w:before="0" w:after="0"/>
            </w:pPr>
            <w:r>
              <w:t>General analysis</w:t>
            </w:r>
          </w:p>
        </w:tc>
        <w:tc>
          <w:tcPr>
            <w:tcW w:w="1862" w:type="pct"/>
            <w:vAlign w:val="center"/>
          </w:tcPr>
          <w:p w14:paraId="5542057B" w14:textId="77777777" w:rsidR="003F7A4E" w:rsidRPr="00D76BF4" w:rsidRDefault="003F7A4E" w:rsidP="00166072">
            <w:pPr>
              <w:spacing w:before="0" w:after="0"/>
            </w:pPr>
            <w:r>
              <w:t>Readmissions</w:t>
            </w:r>
          </w:p>
        </w:tc>
      </w:tr>
      <w:tr w:rsidR="003F7A4E" w:rsidRPr="00040FF7" w14:paraId="42DC14FA" w14:textId="77777777" w:rsidTr="006F5124">
        <w:tc>
          <w:tcPr>
            <w:tcW w:w="601" w:type="pct"/>
          </w:tcPr>
          <w:p w14:paraId="0719144D" w14:textId="77777777" w:rsidR="003F7A4E" w:rsidRDefault="003F7A4E" w:rsidP="006F5124">
            <w:pPr>
              <w:spacing w:before="0" w:after="0"/>
            </w:pPr>
            <w:r>
              <w:t>Inclusion</w:t>
            </w:r>
          </w:p>
        </w:tc>
        <w:tc>
          <w:tcPr>
            <w:tcW w:w="673" w:type="pct"/>
          </w:tcPr>
          <w:p w14:paraId="682C7010" w14:textId="77777777" w:rsidR="003F7A4E" w:rsidRDefault="003F7A4E" w:rsidP="006F5124">
            <w:pPr>
              <w:spacing w:before="0" w:after="0"/>
            </w:pPr>
            <w:r>
              <w:t>Reporting period</w:t>
            </w:r>
          </w:p>
          <w:p w14:paraId="0BD40875" w14:textId="77777777" w:rsidR="003F7A4E" w:rsidRDefault="003F7A4E" w:rsidP="006F5124">
            <w:pPr>
              <w:spacing w:before="0" w:after="0"/>
            </w:pPr>
          </w:p>
        </w:tc>
        <w:tc>
          <w:tcPr>
            <w:tcW w:w="1863" w:type="pct"/>
          </w:tcPr>
          <w:p w14:paraId="60552088" w14:textId="77777777" w:rsidR="003F7A4E" w:rsidRPr="00040FF7" w:rsidRDefault="003F7A4E" w:rsidP="006F5124">
            <w:pPr>
              <w:spacing w:before="0" w:after="0"/>
              <w:rPr>
                <w:rFonts w:ascii="Arial" w:hAnsi="Arial" w:cs="Arial"/>
              </w:rPr>
            </w:pPr>
            <w:r w:rsidRPr="00040FF7">
              <w:rPr>
                <w:rFonts w:ascii="Arial" w:hAnsi="Arial" w:cs="Arial"/>
              </w:rPr>
              <w:t>2013-14 to 2022-23</w:t>
            </w:r>
          </w:p>
        </w:tc>
        <w:tc>
          <w:tcPr>
            <w:tcW w:w="1862" w:type="pct"/>
          </w:tcPr>
          <w:p w14:paraId="3CCDEBCE" w14:textId="77777777" w:rsidR="003F7A4E" w:rsidRPr="00040FF7" w:rsidRDefault="003F7A4E" w:rsidP="006F5124">
            <w:pPr>
              <w:spacing w:before="0" w:after="0"/>
              <w:rPr>
                <w:rFonts w:ascii="Arial" w:hAnsi="Arial" w:cs="Arial"/>
              </w:rPr>
            </w:pPr>
            <w:r w:rsidRPr="00040FF7">
              <w:rPr>
                <w:rFonts w:ascii="Arial" w:hAnsi="Arial" w:cs="Arial"/>
              </w:rPr>
              <w:t>2015-16 to 2022-23</w:t>
            </w:r>
          </w:p>
        </w:tc>
      </w:tr>
      <w:tr w:rsidR="003F7A4E" w:rsidRPr="0065530D" w14:paraId="3E98305E" w14:textId="77777777" w:rsidTr="006F5124">
        <w:trPr>
          <w:cnfStyle w:val="000000010000" w:firstRow="0" w:lastRow="0" w:firstColumn="0" w:lastColumn="0" w:oddVBand="0" w:evenVBand="0" w:oddHBand="0" w:evenHBand="1" w:firstRowFirstColumn="0" w:firstRowLastColumn="0" w:lastRowFirstColumn="0" w:lastRowLastColumn="0"/>
          <w:trHeight w:val="684"/>
        </w:trPr>
        <w:tc>
          <w:tcPr>
            <w:tcW w:w="601" w:type="pct"/>
          </w:tcPr>
          <w:p w14:paraId="101D9E2E" w14:textId="77777777" w:rsidR="003F7A4E" w:rsidRDefault="003F7A4E" w:rsidP="006F5124">
            <w:pPr>
              <w:spacing w:before="0" w:after="0"/>
            </w:pPr>
            <w:r>
              <w:t>Exclusion</w:t>
            </w:r>
          </w:p>
        </w:tc>
        <w:tc>
          <w:tcPr>
            <w:tcW w:w="673" w:type="pct"/>
          </w:tcPr>
          <w:p w14:paraId="5B49F8A4" w14:textId="77777777" w:rsidR="003F7A4E" w:rsidRDefault="003F7A4E" w:rsidP="006F5124">
            <w:pPr>
              <w:spacing w:before="0" w:after="0"/>
            </w:pPr>
            <w:r>
              <w:t>Care type</w:t>
            </w:r>
          </w:p>
        </w:tc>
        <w:tc>
          <w:tcPr>
            <w:tcW w:w="1863" w:type="pct"/>
          </w:tcPr>
          <w:p w14:paraId="3FD492AE" w14:textId="77777777" w:rsidR="003F7A4E" w:rsidRDefault="003F7A4E" w:rsidP="008E5623">
            <w:pPr>
              <w:pStyle w:val="ListParagraph"/>
              <w:numPr>
                <w:ilvl w:val="0"/>
                <w:numId w:val="9"/>
              </w:numPr>
              <w:spacing w:before="0" w:after="0"/>
              <w:ind w:left="321" w:hanging="321"/>
            </w:pPr>
            <w:r>
              <w:t>Organ procurement-posthumous</w:t>
            </w:r>
          </w:p>
          <w:p w14:paraId="590BF4A7" w14:textId="77777777" w:rsidR="003F7A4E" w:rsidRPr="0065530D" w:rsidRDefault="003F7A4E" w:rsidP="008E5623">
            <w:pPr>
              <w:pStyle w:val="ListParagraph"/>
              <w:numPr>
                <w:ilvl w:val="0"/>
                <w:numId w:val="9"/>
              </w:numPr>
              <w:spacing w:before="0" w:after="0"/>
              <w:ind w:left="321" w:hanging="321"/>
            </w:pPr>
            <w:r>
              <w:t>Hospital boarder</w:t>
            </w:r>
          </w:p>
        </w:tc>
        <w:tc>
          <w:tcPr>
            <w:tcW w:w="1862" w:type="pct"/>
          </w:tcPr>
          <w:p w14:paraId="3AB58389" w14:textId="77777777" w:rsidR="003F7A4E" w:rsidRPr="00040FF7" w:rsidRDefault="003F7A4E" w:rsidP="008E5623">
            <w:pPr>
              <w:pStyle w:val="ListParagraph"/>
              <w:numPr>
                <w:ilvl w:val="0"/>
                <w:numId w:val="11"/>
              </w:numPr>
              <w:spacing w:before="0" w:after="0"/>
              <w:ind w:left="312" w:hanging="284"/>
            </w:pPr>
            <w:r w:rsidRPr="00040FF7">
              <w:t>Subacute</w:t>
            </w:r>
          </w:p>
          <w:p w14:paraId="6083E294" w14:textId="77777777" w:rsidR="003F7A4E" w:rsidRPr="0065530D" w:rsidRDefault="003F7A4E" w:rsidP="008E5623">
            <w:pPr>
              <w:pStyle w:val="ListParagraph"/>
              <w:numPr>
                <w:ilvl w:val="0"/>
                <w:numId w:val="9"/>
              </w:numPr>
              <w:spacing w:before="0" w:after="0"/>
              <w:ind w:left="318" w:hanging="284"/>
            </w:pPr>
            <w:r>
              <w:t>Non-acute</w:t>
            </w:r>
          </w:p>
        </w:tc>
      </w:tr>
      <w:tr w:rsidR="003F7A4E" w:rsidRPr="0065530D" w14:paraId="5F9B84B5" w14:textId="77777777" w:rsidTr="006F5124">
        <w:trPr>
          <w:trHeight w:val="837"/>
        </w:trPr>
        <w:tc>
          <w:tcPr>
            <w:tcW w:w="601" w:type="pct"/>
          </w:tcPr>
          <w:p w14:paraId="6F844F80" w14:textId="77777777" w:rsidR="003F7A4E" w:rsidRPr="007517A6" w:rsidRDefault="003F7A4E" w:rsidP="006F5124">
            <w:pPr>
              <w:spacing w:before="0" w:after="0"/>
            </w:pPr>
            <w:r>
              <w:t>Exclusion</w:t>
            </w:r>
          </w:p>
        </w:tc>
        <w:tc>
          <w:tcPr>
            <w:tcW w:w="673" w:type="pct"/>
          </w:tcPr>
          <w:p w14:paraId="41EADB09" w14:textId="77777777" w:rsidR="003F7A4E" w:rsidRPr="007517A6" w:rsidRDefault="003F7A4E" w:rsidP="006F5124">
            <w:pPr>
              <w:spacing w:before="0" w:after="0"/>
            </w:pPr>
            <w:r>
              <w:t>AR-DRG</w:t>
            </w:r>
          </w:p>
        </w:tc>
        <w:tc>
          <w:tcPr>
            <w:tcW w:w="1863" w:type="pct"/>
          </w:tcPr>
          <w:p w14:paraId="69E1B3B8" w14:textId="77777777" w:rsidR="003F7A4E" w:rsidRDefault="003F7A4E" w:rsidP="008E5623">
            <w:pPr>
              <w:pStyle w:val="ListParagraph"/>
              <w:numPr>
                <w:ilvl w:val="0"/>
                <w:numId w:val="10"/>
              </w:numPr>
              <w:spacing w:before="0" w:after="0"/>
              <w:ind w:left="321" w:hanging="283"/>
            </w:pPr>
            <w:r>
              <w:t>Same day chemotherapy and dialysis</w:t>
            </w:r>
          </w:p>
          <w:p w14:paraId="12B896AD" w14:textId="77777777" w:rsidR="003F7A4E" w:rsidRPr="0065530D" w:rsidRDefault="003F7A4E" w:rsidP="008E5623">
            <w:pPr>
              <w:pStyle w:val="ListParagraph"/>
              <w:numPr>
                <w:ilvl w:val="0"/>
                <w:numId w:val="10"/>
              </w:numPr>
              <w:spacing w:before="0" w:after="0"/>
              <w:ind w:left="321" w:hanging="283"/>
            </w:pPr>
            <w:r>
              <w:t>Invalid/error AR-DRG</w:t>
            </w:r>
          </w:p>
        </w:tc>
        <w:tc>
          <w:tcPr>
            <w:tcW w:w="1862" w:type="pct"/>
          </w:tcPr>
          <w:p w14:paraId="4E7935DA" w14:textId="77777777" w:rsidR="003F7A4E" w:rsidRDefault="003F7A4E" w:rsidP="008E5623">
            <w:pPr>
              <w:pStyle w:val="ListParagraph"/>
              <w:numPr>
                <w:ilvl w:val="0"/>
                <w:numId w:val="10"/>
              </w:numPr>
              <w:spacing w:before="0" w:after="0"/>
              <w:ind w:left="318" w:hanging="284"/>
            </w:pPr>
            <w:r>
              <w:t>Same day chemotherapy and dialysis</w:t>
            </w:r>
          </w:p>
          <w:p w14:paraId="1B13BF38" w14:textId="77777777" w:rsidR="003F7A4E" w:rsidRPr="0065530D" w:rsidRDefault="003F7A4E" w:rsidP="008E5623">
            <w:pPr>
              <w:pStyle w:val="ListParagraph"/>
              <w:numPr>
                <w:ilvl w:val="0"/>
                <w:numId w:val="10"/>
              </w:numPr>
              <w:spacing w:before="0" w:after="0"/>
              <w:ind w:left="318" w:hanging="284"/>
            </w:pPr>
            <w:r>
              <w:t>Invalid /error AR-DRG</w:t>
            </w:r>
          </w:p>
        </w:tc>
      </w:tr>
      <w:tr w:rsidR="003F7A4E" w:rsidRPr="00D76BF4" w14:paraId="76E60B57" w14:textId="77777777" w:rsidTr="006F5124">
        <w:trPr>
          <w:cnfStyle w:val="000000010000" w:firstRow="0" w:lastRow="0" w:firstColumn="0" w:lastColumn="0" w:oddVBand="0" w:evenVBand="0" w:oddHBand="0" w:evenHBand="1" w:firstRowFirstColumn="0" w:firstRowLastColumn="0" w:lastRowFirstColumn="0" w:lastRowLastColumn="0"/>
        </w:trPr>
        <w:tc>
          <w:tcPr>
            <w:tcW w:w="601" w:type="pct"/>
          </w:tcPr>
          <w:p w14:paraId="6C3F0AE3" w14:textId="77777777" w:rsidR="003F7A4E" w:rsidRDefault="003F7A4E" w:rsidP="006F5124">
            <w:pPr>
              <w:spacing w:before="0" w:after="0"/>
            </w:pPr>
            <w:r>
              <w:t>Exclusion</w:t>
            </w:r>
          </w:p>
        </w:tc>
        <w:tc>
          <w:tcPr>
            <w:tcW w:w="673" w:type="pct"/>
          </w:tcPr>
          <w:p w14:paraId="49919F53" w14:textId="77777777" w:rsidR="003F7A4E" w:rsidRPr="00D76BF4" w:rsidRDefault="003F7A4E" w:rsidP="006F5124">
            <w:pPr>
              <w:spacing w:before="0" w:after="0"/>
            </w:pPr>
            <w:r>
              <w:t>Patient Age</w:t>
            </w:r>
          </w:p>
        </w:tc>
        <w:tc>
          <w:tcPr>
            <w:tcW w:w="1863" w:type="pct"/>
          </w:tcPr>
          <w:p w14:paraId="729A0C8A" w14:textId="77777777" w:rsidR="003F7A4E" w:rsidRPr="00D76BF4" w:rsidRDefault="003F7A4E" w:rsidP="006F5124">
            <w:pPr>
              <w:spacing w:before="0" w:after="0"/>
            </w:pPr>
            <w:r>
              <w:t>Negative or missing age</w:t>
            </w:r>
          </w:p>
        </w:tc>
        <w:tc>
          <w:tcPr>
            <w:tcW w:w="1862" w:type="pct"/>
          </w:tcPr>
          <w:p w14:paraId="1ADFFEB9" w14:textId="77777777" w:rsidR="003F7A4E" w:rsidRDefault="003F7A4E" w:rsidP="006F5124">
            <w:pPr>
              <w:spacing w:before="0" w:after="0"/>
            </w:pPr>
            <w:r>
              <w:t>Negative or missing age</w:t>
            </w:r>
          </w:p>
          <w:p w14:paraId="1E3BCAF6" w14:textId="77777777" w:rsidR="003F7A4E" w:rsidRPr="00D76BF4" w:rsidRDefault="003F7A4E" w:rsidP="006F5124">
            <w:pPr>
              <w:spacing w:before="0" w:after="0"/>
            </w:pPr>
          </w:p>
        </w:tc>
      </w:tr>
      <w:tr w:rsidR="003F7A4E" w:rsidRPr="00D76BF4" w14:paraId="293DD96C" w14:textId="77777777" w:rsidTr="006F5124">
        <w:tc>
          <w:tcPr>
            <w:tcW w:w="601" w:type="pct"/>
          </w:tcPr>
          <w:p w14:paraId="724E0FD9" w14:textId="77777777" w:rsidR="003F7A4E" w:rsidRDefault="003F7A4E" w:rsidP="006F5124">
            <w:pPr>
              <w:spacing w:before="0" w:after="0"/>
            </w:pPr>
            <w:r>
              <w:t>Exclusion</w:t>
            </w:r>
          </w:p>
        </w:tc>
        <w:tc>
          <w:tcPr>
            <w:tcW w:w="673" w:type="pct"/>
          </w:tcPr>
          <w:p w14:paraId="37C2F2CA" w14:textId="77777777" w:rsidR="003F7A4E" w:rsidRDefault="003F7A4E" w:rsidP="006F5124">
            <w:pPr>
              <w:spacing w:before="0" w:after="0"/>
            </w:pPr>
            <w:r>
              <w:t>Principal diagnosis</w:t>
            </w:r>
          </w:p>
          <w:p w14:paraId="4CE90C12" w14:textId="77777777" w:rsidR="003F7A4E" w:rsidRPr="00D76BF4" w:rsidRDefault="003F7A4E" w:rsidP="006F5124">
            <w:pPr>
              <w:spacing w:before="0" w:after="0"/>
            </w:pPr>
          </w:p>
        </w:tc>
        <w:tc>
          <w:tcPr>
            <w:tcW w:w="1863" w:type="pct"/>
          </w:tcPr>
          <w:p w14:paraId="2380DC77" w14:textId="77777777" w:rsidR="003F7A4E" w:rsidRPr="00D76BF4" w:rsidRDefault="003F7A4E" w:rsidP="006F5124">
            <w:pPr>
              <w:spacing w:before="0" w:after="0"/>
            </w:pPr>
            <w:r>
              <w:t>Missing principal diagnosis</w:t>
            </w:r>
          </w:p>
        </w:tc>
        <w:tc>
          <w:tcPr>
            <w:tcW w:w="1862" w:type="pct"/>
          </w:tcPr>
          <w:p w14:paraId="2196977A" w14:textId="77777777" w:rsidR="003F7A4E" w:rsidRPr="00D76BF4" w:rsidRDefault="003F7A4E" w:rsidP="006F5124">
            <w:pPr>
              <w:spacing w:before="0" w:after="0"/>
            </w:pPr>
            <w:r>
              <w:t>Missing principal diagnosis</w:t>
            </w:r>
          </w:p>
        </w:tc>
      </w:tr>
    </w:tbl>
    <w:p w14:paraId="5B616205" w14:textId="77777777" w:rsidR="00372883" w:rsidRPr="001D7D13" w:rsidRDefault="00372883" w:rsidP="00372883">
      <w:pPr>
        <w:pStyle w:val="Heading3"/>
      </w:pPr>
      <w:bookmarkStart w:id="19" w:name="_Toc187313267"/>
      <w:r w:rsidRPr="002B19E0">
        <w:t>Disaggregation</w:t>
      </w:r>
      <w:bookmarkEnd w:id="19"/>
    </w:p>
    <w:p w14:paraId="41FA3E12" w14:textId="519E91E2" w:rsidR="00372883" w:rsidRDefault="00372883" w:rsidP="00372883">
      <w:r w:rsidRPr="002B19E0">
        <w:t>Results are disaggregated using factors relating to patient demographics, hospital characteristics and outcomes. Postcode to ASGS 2021 concordance was used to derive patient remoteness and socio-economic disadvantage i.e. Index of Relative Socio-economic Disadvantage (IRSD). Remote and very remote categories were combined under ‘remote’ due to smaller numbers</w:t>
      </w:r>
      <w:r w:rsidR="00DB74B6">
        <w:t>.</w:t>
      </w:r>
    </w:p>
    <w:p w14:paraId="0ADB6E62" w14:textId="77777777" w:rsidR="006A768B" w:rsidRDefault="006A768B"/>
    <w:p w14:paraId="32CF243B" w14:textId="5290153D" w:rsidR="006A768B" w:rsidRDefault="00E55EBF" w:rsidP="00166072">
      <w:pPr>
        <w:pStyle w:val="TableCaption"/>
      </w:pPr>
      <w:r>
        <w:lastRenderedPageBreak/>
        <w:t>Disaggregation factors</w:t>
      </w:r>
    </w:p>
    <w:tbl>
      <w:tblPr>
        <w:tblStyle w:val="SQHTabl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29"/>
        <w:gridCol w:w="3945"/>
        <w:gridCol w:w="3510"/>
      </w:tblGrid>
      <w:tr w:rsidR="00483DE7" w:rsidRPr="00483DE7" w14:paraId="72FC96FA" w14:textId="77777777" w:rsidTr="00166072">
        <w:trPr>
          <w:cnfStyle w:val="100000000000" w:firstRow="1" w:lastRow="0" w:firstColumn="0" w:lastColumn="0" w:oddVBand="0" w:evenVBand="0" w:oddHBand="0" w:evenHBand="0" w:firstRowFirstColumn="0" w:firstRowLastColumn="0" w:lastRowFirstColumn="0" w:lastRowLastColumn="0"/>
          <w:trHeight w:val="567"/>
        </w:trPr>
        <w:tc>
          <w:tcPr>
            <w:tcW w:w="941" w:type="pct"/>
            <w:vAlign w:val="center"/>
          </w:tcPr>
          <w:p w14:paraId="6095760D" w14:textId="77777777" w:rsidR="00483DE7" w:rsidRPr="00483DE7" w:rsidRDefault="00483DE7" w:rsidP="00166072">
            <w:pPr>
              <w:spacing w:before="0" w:after="0"/>
            </w:pPr>
            <w:r w:rsidRPr="00483DE7">
              <w:t>Demographics</w:t>
            </w:r>
          </w:p>
        </w:tc>
        <w:tc>
          <w:tcPr>
            <w:tcW w:w="2148" w:type="pct"/>
            <w:vAlign w:val="center"/>
          </w:tcPr>
          <w:p w14:paraId="60DEC3E3" w14:textId="77777777" w:rsidR="00483DE7" w:rsidRPr="00483DE7" w:rsidRDefault="00483DE7" w:rsidP="00166072">
            <w:pPr>
              <w:spacing w:before="0" w:after="0"/>
            </w:pPr>
            <w:r w:rsidRPr="00483DE7">
              <w:t>Admitted care characteristics</w:t>
            </w:r>
          </w:p>
        </w:tc>
        <w:tc>
          <w:tcPr>
            <w:tcW w:w="1911" w:type="pct"/>
            <w:vAlign w:val="center"/>
          </w:tcPr>
          <w:p w14:paraId="5D0DBC45" w14:textId="77777777" w:rsidR="00483DE7" w:rsidRPr="00483DE7" w:rsidRDefault="00483DE7" w:rsidP="00166072">
            <w:pPr>
              <w:spacing w:before="0" w:after="0"/>
            </w:pPr>
            <w:r w:rsidRPr="00483DE7">
              <w:t>Readmission specific (202-23 only)</w:t>
            </w:r>
          </w:p>
        </w:tc>
      </w:tr>
      <w:tr w:rsidR="00483DE7" w:rsidRPr="00483DE7" w14:paraId="4708D946" w14:textId="77777777" w:rsidTr="006F5124">
        <w:tc>
          <w:tcPr>
            <w:tcW w:w="941" w:type="pct"/>
          </w:tcPr>
          <w:p w14:paraId="5F38F4F2" w14:textId="77777777" w:rsidR="00483DE7" w:rsidRPr="00483DE7" w:rsidRDefault="00483DE7" w:rsidP="008E5623">
            <w:pPr>
              <w:keepNext/>
              <w:numPr>
                <w:ilvl w:val="0"/>
                <w:numId w:val="12"/>
              </w:numPr>
              <w:spacing w:before="0" w:after="0"/>
              <w:ind w:left="317" w:hanging="284"/>
              <w:contextualSpacing/>
              <w:rPr>
                <w:rFonts w:ascii="Arial" w:eastAsia="Times New Roman" w:hAnsi="Arial" w:cs="Arial"/>
                <w:b/>
                <w:bCs/>
                <w:color w:val="auto"/>
                <w:lang w:eastAsia="en-AU"/>
              </w:rPr>
            </w:pPr>
            <w:r w:rsidRPr="00483DE7">
              <w:rPr>
                <w:rFonts w:ascii="Arial" w:eastAsia="Times New Roman" w:hAnsi="Arial" w:cs="Arial"/>
                <w:color w:val="auto"/>
                <w:lang w:eastAsia="en-AU"/>
              </w:rPr>
              <w:t>Age</w:t>
            </w:r>
          </w:p>
          <w:p w14:paraId="2719D922" w14:textId="77777777" w:rsidR="00483DE7" w:rsidRPr="00483DE7" w:rsidRDefault="00483DE7" w:rsidP="008E5623">
            <w:pPr>
              <w:keepNext/>
              <w:numPr>
                <w:ilvl w:val="0"/>
                <w:numId w:val="12"/>
              </w:numPr>
              <w:spacing w:before="0" w:after="0"/>
              <w:ind w:left="317" w:hanging="284"/>
              <w:contextualSpacing/>
              <w:rPr>
                <w:rFonts w:ascii="Arial" w:eastAsia="Times New Roman" w:hAnsi="Arial" w:cs="Arial"/>
                <w:b/>
                <w:bCs/>
                <w:color w:val="auto"/>
                <w:lang w:eastAsia="en-AU"/>
              </w:rPr>
            </w:pPr>
            <w:r w:rsidRPr="00483DE7">
              <w:rPr>
                <w:rFonts w:ascii="Arial" w:eastAsia="Times New Roman" w:hAnsi="Arial" w:cs="Arial"/>
                <w:color w:val="auto"/>
                <w:lang w:eastAsia="en-AU"/>
              </w:rPr>
              <w:t>Sex</w:t>
            </w:r>
          </w:p>
          <w:p w14:paraId="25ABB270" w14:textId="77777777" w:rsidR="00483DE7" w:rsidRPr="00483DE7" w:rsidRDefault="00483DE7" w:rsidP="008E5623">
            <w:pPr>
              <w:keepNext/>
              <w:numPr>
                <w:ilvl w:val="0"/>
                <w:numId w:val="12"/>
              </w:numPr>
              <w:spacing w:before="0" w:after="0"/>
              <w:ind w:left="317" w:hanging="284"/>
              <w:contextualSpacing/>
              <w:rPr>
                <w:rFonts w:ascii="Arial" w:eastAsia="Times New Roman" w:hAnsi="Arial" w:cs="Arial"/>
                <w:b/>
                <w:bCs/>
                <w:color w:val="auto"/>
                <w:lang w:eastAsia="en-AU"/>
              </w:rPr>
            </w:pPr>
            <w:r w:rsidRPr="00483DE7">
              <w:rPr>
                <w:rFonts w:ascii="Arial" w:eastAsia="Times New Roman" w:hAnsi="Arial" w:cs="Arial"/>
                <w:color w:val="auto"/>
                <w:lang w:eastAsia="en-AU"/>
              </w:rPr>
              <w:t>First Nations</w:t>
            </w:r>
          </w:p>
          <w:p w14:paraId="46E9384C" w14:textId="77777777" w:rsidR="00483DE7" w:rsidRPr="00483DE7" w:rsidRDefault="00483DE7" w:rsidP="008E5623">
            <w:pPr>
              <w:keepNext/>
              <w:numPr>
                <w:ilvl w:val="0"/>
                <w:numId w:val="12"/>
              </w:numPr>
              <w:spacing w:before="0" w:after="0"/>
              <w:ind w:left="317" w:hanging="284"/>
              <w:contextualSpacing/>
              <w:rPr>
                <w:rFonts w:ascii="Arial" w:eastAsia="Times New Roman" w:hAnsi="Arial" w:cs="Arial"/>
                <w:b/>
                <w:bCs/>
                <w:color w:val="auto"/>
                <w:lang w:eastAsia="en-AU"/>
              </w:rPr>
            </w:pPr>
            <w:r w:rsidRPr="00483DE7">
              <w:rPr>
                <w:rFonts w:ascii="Arial" w:eastAsia="Times New Roman" w:hAnsi="Arial" w:cs="Arial"/>
                <w:color w:val="auto"/>
                <w:lang w:eastAsia="en-AU"/>
              </w:rPr>
              <w:t>Remoteness</w:t>
            </w:r>
          </w:p>
          <w:p w14:paraId="7C218BA1" w14:textId="77777777" w:rsidR="00483DE7" w:rsidRPr="00483DE7" w:rsidRDefault="00483DE7" w:rsidP="008E5623">
            <w:pPr>
              <w:keepNext/>
              <w:numPr>
                <w:ilvl w:val="0"/>
                <w:numId w:val="12"/>
              </w:numPr>
              <w:spacing w:before="0" w:after="0"/>
              <w:ind w:left="317" w:hanging="284"/>
              <w:contextualSpacing/>
              <w:rPr>
                <w:rFonts w:ascii="Arial" w:eastAsia="Times New Roman" w:hAnsi="Arial" w:cs="Arial"/>
                <w:b/>
                <w:bCs/>
                <w:color w:val="auto"/>
                <w:lang w:eastAsia="en-AU"/>
              </w:rPr>
            </w:pPr>
            <w:r w:rsidRPr="00483DE7">
              <w:rPr>
                <w:rFonts w:ascii="Arial" w:eastAsia="Times New Roman" w:hAnsi="Arial" w:cs="Arial"/>
                <w:color w:val="auto"/>
                <w:lang w:eastAsia="en-AU"/>
              </w:rPr>
              <w:t>Comorbidities</w:t>
            </w:r>
          </w:p>
          <w:p w14:paraId="2DF69F64" w14:textId="77777777" w:rsidR="00483DE7" w:rsidRPr="00483DE7" w:rsidRDefault="00483DE7" w:rsidP="008E5623">
            <w:pPr>
              <w:keepNext/>
              <w:numPr>
                <w:ilvl w:val="0"/>
                <w:numId w:val="12"/>
              </w:numPr>
              <w:spacing w:before="0" w:after="0"/>
              <w:ind w:left="317" w:hanging="284"/>
              <w:contextualSpacing/>
              <w:rPr>
                <w:rFonts w:ascii="Arial" w:eastAsia="Times New Roman" w:hAnsi="Arial" w:cs="Arial"/>
                <w:b/>
                <w:bCs/>
                <w:color w:val="auto"/>
                <w:lang w:eastAsia="en-AU"/>
              </w:rPr>
            </w:pPr>
            <w:r w:rsidRPr="00483DE7">
              <w:rPr>
                <w:rFonts w:ascii="Arial" w:eastAsia="Times New Roman" w:hAnsi="Arial" w:cs="Arial"/>
                <w:color w:val="auto"/>
                <w:lang w:eastAsia="en-AU"/>
              </w:rPr>
              <w:t>Socio-economic disadvantage</w:t>
            </w:r>
          </w:p>
          <w:p w14:paraId="694D9B90" w14:textId="77777777" w:rsidR="00483DE7" w:rsidRPr="00483DE7" w:rsidRDefault="00483DE7" w:rsidP="00483DE7">
            <w:pPr>
              <w:spacing w:before="0" w:after="0"/>
              <w:rPr>
                <w:rFonts w:ascii="Arial" w:hAnsi="Arial" w:cs="Arial"/>
              </w:rPr>
            </w:pPr>
          </w:p>
        </w:tc>
        <w:tc>
          <w:tcPr>
            <w:tcW w:w="2148" w:type="pct"/>
          </w:tcPr>
          <w:p w14:paraId="6155D427"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Urgency of admission</w:t>
            </w:r>
          </w:p>
          <w:p w14:paraId="34B8CB23"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Transfers from another hospital</w:t>
            </w:r>
          </w:p>
          <w:p w14:paraId="3055D7EE"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Length of stay (overall, ICU)</w:t>
            </w:r>
          </w:p>
          <w:p w14:paraId="6849939C"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Admission to ICU</w:t>
            </w:r>
          </w:p>
          <w:p w14:paraId="69B0B2D1"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Remoteness (hospital)</w:t>
            </w:r>
          </w:p>
          <w:p w14:paraId="3AC8F263"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Sepsis on admission vs hospital-acquired</w:t>
            </w:r>
          </w:p>
          <w:p w14:paraId="4A07A079"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Maternal sepsis</w:t>
            </w:r>
          </w:p>
          <w:p w14:paraId="21A41A00"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Principal diagnosis</w:t>
            </w:r>
          </w:p>
          <w:p w14:paraId="2F8635E3"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Diagnosis Related Group</w:t>
            </w:r>
          </w:p>
          <w:p w14:paraId="4ACE0EAB"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HACs</w:t>
            </w:r>
          </w:p>
          <w:p w14:paraId="5E15A1B7"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Discharge/transfer to residential aged care service</w:t>
            </w:r>
          </w:p>
          <w:p w14:paraId="7EE9E363" w14:textId="77777777" w:rsidR="00483DE7" w:rsidRPr="00483DE7" w:rsidRDefault="00483DE7" w:rsidP="008E5623">
            <w:pPr>
              <w:keepNext/>
              <w:numPr>
                <w:ilvl w:val="0"/>
                <w:numId w:val="12"/>
              </w:numPr>
              <w:spacing w:before="0" w:after="0"/>
              <w:ind w:left="311" w:hanging="311"/>
              <w:contextualSpacing/>
              <w:rPr>
                <w:rFonts w:ascii="Arial" w:eastAsia="Times New Roman" w:hAnsi="Arial" w:cs="Arial"/>
                <w:color w:val="auto"/>
                <w:lang w:eastAsia="en-AU"/>
              </w:rPr>
            </w:pPr>
            <w:r w:rsidRPr="00483DE7">
              <w:rPr>
                <w:rFonts w:ascii="Arial" w:eastAsia="Times New Roman" w:hAnsi="Arial" w:cs="Arial"/>
                <w:color w:val="auto"/>
                <w:lang w:eastAsia="en-AU"/>
              </w:rPr>
              <w:t>Top 3 ICD-10-AM codes for sepsis</w:t>
            </w:r>
          </w:p>
        </w:tc>
        <w:tc>
          <w:tcPr>
            <w:tcW w:w="1911" w:type="pct"/>
          </w:tcPr>
          <w:p w14:paraId="6DC53B1B" w14:textId="77777777" w:rsidR="00483DE7" w:rsidRPr="00483DE7" w:rsidRDefault="00483DE7" w:rsidP="00483DE7">
            <w:pPr>
              <w:keepNext/>
              <w:spacing w:before="0" w:after="0"/>
              <w:rPr>
                <w:rFonts w:ascii="Arial" w:hAnsi="Arial" w:cs="Arial"/>
              </w:rPr>
            </w:pPr>
            <w:r w:rsidRPr="00483DE7">
              <w:rPr>
                <w:rFonts w:ascii="Arial" w:hAnsi="Arial" w:cs="Arial"/>
              </w:rPr>
              <w:t>Readmission intervals at</w:t>
            </w:r>
          </w:p>
          <w:p w14:paraId="42797B9C" w14:textId="77777777" w:rsidR="00483DE7" w:rsidRPr="00483DE7" w:rsidRDefault="00483DE7" w:rsidP="008E5623">
            <w:pPr>
              <w:keepNext/>
              <w:numPr>
                <w:ilvl w:val="0"/>
                <w:numId w:val="13"/>
              </w:numPr>
              <w:spacing w:before="0" w:after="0"/>
              <w:ind w:left="228" w:hanging="228"/>
              <w:contextualSpacing/>
              <w:rPr>
                <w:rFonts w:ascii="Arial" w:eastAsia="Times New Roman" w:hAnsi="Arial" w:cs="Arial"/>
                <w:color w:val="auto"/>
                <w:lang w:eastAsia="en-AU"/>
              </w:rPr>
            </w:pPr>
            <w:r w:rsidRPr="00483DE7">
              <w:rPr>
                <w:rFonts w:ascii="Arial" w:eastAsia="Times New Roman" w:hAnsi="Arial" w:cs="Arial"/>
                <w:color w:val="auto"/>
                <w:lang w:eastAsia="en-AU"/>
              </w:rPr>
              <w:t>7 days</w:t>
            </w:r>
          </w:p>
          <w:p w14:paraId="4987F2CD" w14:textId="77777777" w:rsidR="00483DE7" w:rsidRPr="00483DE7" w:rsidRDefault="00483DE7" w:rsidP="008E5623">
            <w:pPr>
              <w:keepNext/>
              <w:numPr>
                <w:ilvl w:val="0"/>
                <w:numId w:val="13"/>
              </w:numPr>
              <w:spacing w:before="0" w:after="0"/>
              <w:ind w:left="228" w:hanging="228"/>
              <w:contextualSpacing/>
              <w:rPr>
                <w:rFonts w:ascii="Arial" w:eastAsia="Times New Roman" w:hAnsi="Arial" w:cs="Arial"/>
                <w:color w:val="auto"/>
                <w:lang w:eastAsia="en-AU"/>
              </w:rPr>
            </w:pPr>
            <w:r w:rsidRPr="00483DE7">
              <w:rPr>
                <w:rFonts w:ascii="Arial" w:eastAsia="Times New Roman" w:hAnsi="Arial" w:cs="Arial"/>
                <w:color w:val="auto"/>
                <w:lang w:eastAsia="en-AU"/>
              </w:rPr>
              <w:t>30 days</w:t>
            </w:r>
          </w:p>
          <w:p w14:paraId="7F7A8839" w14:textId="77777777" w:rsidR="00483DE7" w:rsidRPr="00483DE7" w:rsidRDefault="00483DE7" w:rsidP="008E5623">
            <w:pPr>
              <w:keepNext/>
              <w:numPr>
                <w:ilvl w:val="0"/>
                <w:numId w:val="13"/>
              </w:numPr>
              <w:spacing w:before="0" w:after="0"/>
              <w:ind w:left="228" w:hanging="228"/>
              <w:contextualSpacing/>
              <w:rPr>
                <w:rFonts w:ascii="Arial" w:eastAsia="Times New Roman" w:hAnsi="Arial" w:cs="Arial"/>
                <w:color w:val="auto"/>
                <w:lang w:eastAsia="en-AU"/>
              </w:rPr>
            </w:pPr>
            <w:r w:rsidRPr="00483DE7">
              <w:rPr>
                <w:rFonts w:ascii="Arial" w:eastAsia="Times New Roman" w:hAnsi="Arial" w:cs="Arial"/>
                <w:color w:val="auto"/>
                <w:lang w:eastAsia="en-AU"/>
              </w:rPr>
              <w:t>90 days</w:t>
            </w:r>
          </w:p>
          <w:p w14:paraId="1AC8E62D" w14:textId="77777777" w:rsidR="00483DE7" w:rsidRPr="00483DE7" w:rsidRDefault="00483DE7" w:rsidP="008E5623">
            <w:pPr>
              <w:keepNext/>
              <w:numPr>
                <w:ilvl w:val="0"/>
                <w:numId w:val="13"/>
              </w:numPr>
              <w:spacing w:before="0" w:after="0"/>
              <w:ind w:left="228" w:hanging="228"/>
              <w:contextualSpacing/>
              <w:rPr>
                <w:rFonts w:ascii="Arial" w:eastAsia="Times New Roman" w:hAnsi="Arial" w:cs="Arial"/>
                <w:color w:val="auto"/>
                <w:lang w:eastAsia="en-AU"/>
              </w:rPr>
            </w:pPr>
            <w:r w:rsidRPr="00483DE7">
              <w:rPr>
                <w:rFonts w:ascii="Arial" w:eastAsia="Times New Roman" w:hAnsi="Arial" w:cs="Arial"/>
                <w:color w:val="auto"/>
                <w:lang w:eastAsia="en-AU"/>
              </w:rPr>
              <w:t>120 days</w:t>
            </w:r>
          </w:p>
          <w:p w14:paraId="2832FC61" w14:textId="77777777" w:rsidR="00483DE7" w:rsidRPr="00483DE7" w:rsidRDefault="00483DE7" w:rsidP="008E5623">
            <w:pPr>
              <w:keepNext/>
              <w:numPr>
                <w:ilvl w:val="0"/>
                <w:numId w:val="13"/>
              </w:numPr>
              <w:spacing w:before="0" w:after="0"/>
              <w:ind w:left="228" w:hanging="228"/>
              <w:contextualSpacing/>
              <w:rPr>
                <w:rFonts w:ascii="Arial" w:eastAsia="Times New Roman" w:hAnsi="Arial" w:cs="Arial"/>
                <w:color w:val="auto"/>
                <w:lang w:eastAsia="en-AU"/>
              </w:rPr>
            </w:pPr>
            <w:r w:rsidRPr="00483DE7">
              <w:rPr>
                <w:rFonts w:ascii="Arial" w:eastAsia="Times New Roman" w:hAnsi="Arial" w:cs="Arial"/>
                <w:color w:val="auto"/>
                <w:lang w:eastAsia="en-AU"/>
              </w:rPr>
              <w:t>365 days</w:t>
            </w:r>
          </w:p>
        </w:tc>
      </w:tr>
    </w:tbl>
    <w:p w14:paraId="6D6E5142" w14:textId="77777777" w:rsidR="006A768B" w:rsidRDefault="006A768B"/>
    <w:p w14:paraId="054C6261" w14:textId="77777777" w:rsidR="005F7165" w:rsidRPr="005F7165" w:rsidRDefault="005F7165" w:rsidP="005F7165">
      <w:pPr>
        <w:pStyle w:val="Heading3"/>
      </w:pPr>
      <w:bookmarkStart w:id="20" w:name="_Toc187133188"/>
      <w:bookmarkStart w:id="21" w:name="_Toc187313268"/>
      <w:r w:rsidRPr="005F7165">
        <w:t>Sepsis definition</w:t>
      </w:r>
      <w:bookmarkEnd w:id="20"/>
      <w:bookmarkEnd w:id="21"/>
    </w:p>
    <w:p w14:paraId="5E66CFD2" w14:textId="6DD53BCD" w:rsidR="005F7165" w:rsidRPr="005F7165" w:rsidRDefault="005F7165" w:rsidP="005F7165">
      <w:r w:rsidRPr="005F7165">
        <w:t>Sepsis was identified using 51 ICD-10-AM codes (8</w:t>
      </w:r>
      <w:r w:rsidRPr="005F7165">
        <w:rPr>
          <w:vertAlign w:val="superscript"/>
        </w:rPr>
        <w:t>th</w:t>
      </w:r>
      <w:r w:rsidRPr="005F7165">
        <w:t xml:space="preserve"> to 12</w:t>
      </w:r>
      <w:r w:rsidRPr="005F7165">
        <w:rPr>
          <w:vertAlign w:val="superscript"/>
        </w:rPr>
        <w:t>th</w:t>
      </w:r>
      <w:r w:rsidRPr="005F7165">
        <w:t xml:space="preserve"> edition) based on an ‘explicit’ definition, recorded as either principal or additional diagnoses. The complete list of explicit sepsis codes is provided in </w:t>
      </w:r>
      <w:hyperlink w:anchor="_Appendix_A:_Explicit" w:history="1">
        <w:r w:rsidRPr="005F7165">
          <w:rPr>
            <w:rStyle w:val="Hyperlink"/>
          </w:rPr>
          <w:t>Appendix A</w:t>
        </w:r>
      </w:hyperlink>
      <w:r w:rsidRPr="005F7165">
        <w:t>. Implicit sepsis definition, for example the presence of at least one infection code together with organ dysfunction, was not considered in this analysis. Therefore ‘sepsis’ in this report refers to</w:t>
      </w:r>
      <w:r w:rsidRPr="005F7165">
        <w:rPr>
          <w:i/>
          <w:iCs/>
        </w:rPr>
        <w:t xml:space="preserve"> only explicitly defined cases of sepsis</w:t>
      </w:r>
      <w:r w:rsidRPr="005F7165">
        <w:t>, and as such there is a likely undercount of sepsis cases that were not recorded with explicit codes.</w:t>
      </w:r>
    </w:p>
    <w:p w14:paraId="293F880D" w14:textId="77777777" w:rsidR="005F7165" w:rsidRPr="005F7165" w:rsidRDefault="005F7165" w:rsidP="005F7165">
      <w:r w:rsidRPr="005F7165">
        <w:t>Applying the same reasoning, designation of 'non-sepsis principal diagnoses' or ‘non-sepsis DRGs’ for those who received, would eventually receive, or returned to hospital after sepsis treatment does not imply said conditions were unrelated to sepsis. Instead, the intention was to identify possible prevalent conditions within each population cohort that may have contributed to or presented increased risk of requiring sepsis treatment.</w:t>
      </w:r>
    </w:p>
    <w:p w14:paraId="05532F9F" w14:textId="77777777" w:rsidR="005F7165" w:rsidRPr="005F7165" w:rsidRDefault="005F7165" w:rsidP="005F7165">
      <w:pPr>
        <w:pStyle w:val="Heading3"/>
      </w:pPr>
      <w:bookmarkStart w:id="22" w:name="_Toc187133189"/>
      <w:bookmarkStart w:id="23" w:name="_Toc187313269"/>
      <w:r w:rsidRPr="005F7165">
        <w:t>Maternal sepsis definition</w:t>
      </w:r>
      <w:bookmarkEnd w:id="22"/>
      <w:bookmarkEnd w:id="23"/>
    </w:p>
    <w:p w14:paraId="1B0A43B4" w14:textId="7C3BDF1B" w:rsidR="006A768B" w:rsidRDefault="005F7165">
      <w:r w:rsidRPr="005F7165">
        <w:t>Maternal sepsis required at least one explicit sepsis code (</w:t>
      </w:r>
      <w:hyperlink w:anchor="_Appendix_A:_Explicit" w:history="1">
        <w:r w:rsidRPr="005F7165">
          <w:rPr>
            <w:rStyle w:val="Hyperlink"/>
          </w:rPr>
          <w:t>Appendix A</w:t>
        </w:r>
      </w:hyperlink>
      <w:r w:rsidRPr="005F7165">
        <w:t xml:space="preserve">) recorded in the same episode of care with at least one maternal code in </w:t>
      </w:r>
      <w:hyperlink w:anchor="_Appendix_B:_Maternal" w:history="1">
        <w:r w:rsidRPr="005F7165">
          <w:rPr>
            <w:rStyle w:val="Hyperlink"/>
          </w:rPr>
          <w:t>Appendix B</w:t>
        </w:r>
      </w:hyperlink>
      <w:r w:rsidRPr="005F7165">
        <w:t>. Maternal codes were selected to cover the period from pregnancy to postpartum. The denominator population for maternal sepsis calculation was restricted to that of the total corresponding female separations/readmissions over the same analysis period.</w:t>
      </w:r>
    </w:p>
    <w:p w14:paraId="4AD097D4" w14:textId="77777777" w:rsidR="006B2725" w:rsidRPr="006B2725" w:rsidRDefault="006B2725" w:rsidP="006B2725">
      <w:pPr>
        <w:pStyle w:val="Heading3"/>
      </w:pPr>
      <w:bookmarkStart w:id="24" w:name="_Toc187133190"/>
      <w:bookmarkStart w:id="25" w:name="_Toc187313270"/>
      <w:r w:rsidRPr="006B2725">
        <w:t>Health outcomes</w:t>
      </w:r>
      <w:bookmarkEnd w:id="24"/>
      <w:bookmarkEnd w:id="25"/>
    </w:p>
    <w:p w14:paraId="3F5D7117" w14:textId="77777777" w:rsidR="006B2725" w:rsidRPr="006B2725" w:rsidRDefault="006B2725" w:rsidP="006B2725">
      <w:r w:rsidRPr="006B2725">
        <w:t>Outcomes were derived based on IHACPA’s APC data collection. In-hospital mortality was determined using the recorded separation mode, and surgical separations were defined based on the Australian Refined Diagnosis Related Groups</w:t>
      </w:r>
      <w:r w:rsidRPr="006B2725">
        <w:rPr>
          <w:vertAlign w:val="superscript"/>
        </w:rPr>
        <w:footnoteReference w:id="7"/>
      </w:r>
      <w:r w:rsidRPr="006B2725">
        <w:t xml:space="preserve"> (AR-DRG) classification system. An episode of admitted care is assigned to a Diagnosis Related Group (DRG), taking into account the diagnoses and interventions as well as other characteristics such as age and sex. The highest DRG complexity is assigned for the purpose of public hospital funding. One episode of admitted care can only be assigned one DRG. Therefore, a sepsis separation may not be </w:t>
      </w:r>
      <w:r w:rsidRPr="006B2725">
        <w:lastRenderedPageBreak/>
        <w:t>classified under the Septicaemia DRG. A more general infection related DRG might be more suitable, despite treatment for sepsis.</w:t>
      </w:r>
    </w:p>
    <w:p w14:paraId="7EC8475C" w14:textId="77777777" w:rsidR="006B2725" w:rsidRPr="006B2725" w:rsidRDefault="006B2725" w:rsidP="006B2725">
      <w:r w:rsidRPr="006B2725">
        <w:t>Hospital-acquired complications</w:t>
      </w:r>
      <w:r w:rsidRPr="006B2725">
        <w:rPr>
          <w:vertAlign w:val="superscript"/>
        </w:rPr>
        <w:footnoteReference w:id="8"/>
      </w:r>
      <w:r w:rsidRPr="006B2725">
        <w:t xml:space="preserve"> (HACs) were determined using ICD-10-AM (8</w:t>
      </w:r>
      <w:r w:rsidRPr="006B2725">
        <w:rPr>
          <w:vertAlign w:val="superscript"/>
        </w:rPr>
        <w:t>th</w:t>
      </w:r>
      <w:r w:rsidRPr="006B2725">
        <w:t xml:space="preserve"> to 12</w:t>
      </w:r>
      <w:r w:rsidRPr="006B2725">
        <w:rPr>
          <w:vertAlign w:val="superscript"/>
        </w:rPr>
        <w:t>th</w:t>
      </w:r>
      <w:r w:rsidRPr="006B2725">
        <w:t xml:space="preserve"> editions) for 12 of the 16 HACs defined in version 3.1 of the HACs List. Hospital-acquired healthcare-associated infections (HAIs) were excluded from analysis due to overlap with the definition for sepsis. It was not feasible to identify unplanned ICU admission HACs from the dataset at the time of the report and these were therefore excluded from analysis.</w:t>
      </w:r>
    </w:p>
    <w:p w14:paraId="29F99A08" w14:textId="42097654" w:rsidR="006A768B" w:rsidRDefault="006B2725">
      <w:r w:rsidRPr="006B2725">
        <w:t>Unless otherwise stated, results are presented as the number of separations or readmissions, not individual patients. Similarly, the denominator for descriptive statistics, unless stated otherwise, refers to the total separations or readmissions for the reporting year, not number of people in the population. A change in care type, such as statistical discharge from an initial care type record and statistical admission for a new care type, will result in a new separation record. Therefore, only records marked as acute care were considered for readmissions</w:t>
      </w:r>
      <w:r w:rsidR="00F8201A">
        <w:t>.</w:t>
      </w:r>
    </w:p>
    <w:p w14:paraId="69295E22" w14:textId="77777777" w:rsidR="00C57869" w:rsidRPr="00C57869" w:rsidRDefault="00C57869" w:rsidP="00C57869">
      <w:pPr>
        <w:pStyle w:val="Heading3"/>
      </w:pPr>
      <w:bookmarkStart w:id="26" w:name="_Toc187133191"/>
      <w:bookmarkStart w:id="27" w:name="_Toc187313271"/>
      <w:r w:rsidRPr="00C57869">
        <w:t>Post sepsis readmissions</w:t>
      </w:r>
      <w:bookmarkEnd w:id="26"/>
      <w:bookmarkEnd w:id="27"/>
    </w:p>
    <w:p w14:paraId="730D388F" w14:textId="77777777" w:rsidR="00C57869" w:rsidRPr="00C57869" w:rsidRDefault="00C57869" w:rsidP="00C57869">
      <w:r w:rsidRPr="00C57869">
        <w:t>A readmission was associated with the patient’s last hospital stay (index separation), irrespective of whether the patient returned to the same treating hospital.</w:t>
      </w:r>
    </w:p>
    <w:p w14:paraId="5D3FA99A" w14:textId="77777777" w:rsidR="00C57869" w:rsidRPr="00C57869" w:rsidRDefault="00C57869" w:rsidP="00C57869">
      <w:r w:rsidRPr="00C57869">
        <w:t xml:space="preserve">People for whom episodes of admitted care could not be linked due to invalid pins, a care type of </w:t>
      </w:r>
      <w:r w:rsidRPr="00C57869">
        <w:rPr>
          <w:i/>
          <w:iCs/>
        </w:rPr>
        <w:t>organ procurement – posthumou</w:t>
      </w:r>
      <w:r w:rsidRPr="00C57869">
        <w:t xml:space="preserve">s or </w:t>
      </w:r>
      <w:r w:rsidRPr="00C57869">
        <w:rPr>
          <w:i/>
          <w:iCs/>
        </w:rPr>
        <w:t>hospital boarder</w:t>
      </w:r>
      <w:r w:rsidRPr="00C57869">
        <w:t xml:space="preserve"> or died in hospital according to the recorded separation mode, were excluded from the index separation definition. The readmission definition applied the same exclusion criteria for invalid pins, with the additional restriction to limit the scope to acute care episodes only.</w:t>
      </w:r>
    </w:p>
    <w:p w14:paraId="6E5A6943" w14:textId="77777777" w:rsidR="00C57869" w:rsidRPr="00C57869" w:rsidRDefault="00C57869" w:rsidP="00C57869">
      <w:r w:rsidRPr="00C57869">
        <w:t>A readmission interval refers to the difference (in days) between an index’ separation date and the admission date of the associated readmission.</w:t>
      </w:r>
    </w:p>
    <w:p w14:paraId="1D8513E5" w14:textId="77777777" w:rsidR="00C57869" w:rsidRPr="00C57869" w:rsidRDefault="00C57869" w:rsidP="00C57869">
      <w:r w:rsidRPr="00C57869">
        <w:t>Data was first examined for all readmissions which occurred in the 2022-23. These readmissions occurred within 365 days following an earlier index sepsis separation, and patients may have been readmitted for any reason. The percentage of readmissions was analysed by readmission interval, the associated top 3 principal diagnoses and DRGs as indications of reasons for readmission, from 7 days to up to 365 days following an index sepsis separation. This determined the appropriate readmission interval for subsequent readmission analyses. A 30-day readmission interval was selected as it covered a majority of readmissions over the shortest period.</w:t>
      </w:r>
    </w:p>
    <w:p w14:paraId="1559090B" w14:textId="77777777" w:rsidR="00C57869" w:rsidRPr="00C57869" w:rsidRDefault="00C57869" w:rsidP="00C57869">
      <w:pPr>
        <w:pStyle w:val="Heading3"/>
      </w:pPr>
      <w:bookmarkStart w:id="28" w:name="_Toc187133192"/>
      <w:bookmarkStart w:id="29" w:name="_Toc187313272"/>
      <w:r w:rsidRPr="00C57869">
        <w:t>Pre-sepsis separations</w:t>
      </w:r>
      <w:bookmarkEnd w:id="28"/>
      <w:bookmarkEnd w:id="29"/>
    </w:p>
    <w:p w14:paraId="13BC9E1A" w14:textId="77777777" w:rsidR="00C57869" w:rsidRPr="00C57869" w:rsidRDefault="00C57869" w:rsidP="00C57869">
      <w:r w:rsidRPr="00C57869">
        <w:t>Sepsis separations were traced back to each patients’ last episode of admitted care, allowing for up to a pre-defined window between date of the last discharge and subsequent episode of admitted care where sepsis was recorded. A period of 30 days was selected to maintain consistency with the interval used in the readmissions group.</w:t>
      </w:r>
    </w:p>
    <w:p w14:paraId="5EEDAA3F" w14:textId="4609FA47" w:rsidR="006A768B" w:rsidRDefault="00C57869" w:rsidP="00C57869">
      <w:r w:rsidRPr="00C57869">
        <w:t>A consequence of the definitions used for pre- and post-sepsis episodes is that the same sepsis episode can serve as both a readmission for a prior hospitalisation, as well as the index of a subsequent readmission, depending on when each event occurred relative to the reporting period. While there is no requirement for a pre-sepsis episode to involve sepsis treatment, sepsis could still have been diagnosed in that episode, documented as being present on admission or hospital acquired.</w:t>
      </w:r>
    </w:p>
    <w:p w14:paraId="42466CA0" w14:textId="77777777" w:rsidR="006A768B" w:rsidRDefault="006A768B"/>
    <w:p w14:paraId="0C384E21" w14:textId="77777777" w:rsidR="00F90DE9" w:rsidRPr="00F90DE9" w:rsidRDefault="00F90DE9" w:rsidP="00F90DE9">
      <w:pPr>
        <w:pStyle w:val="Heading1"/>
      </w:pPr>
      <w:bookmarkStart w:id="30" w:name="_Toc203549621"/>
      <w:bookmarkStart w:id="31" w:name="_Toc206495283"/>
      <w:bookmarkStart w:id="32" w:name="_Toc187313274"/>
      <w:r w:rsidRPr="00F90DE9">
        <w:lastRenderedPageBreak/>
        <w:t>Key Findings</w:t>
      </w:r>
      <w:bookmarkEnd w:id="30"/>
      <w:bookmarkEnd w:id="31"/>
    </w:p>
    <w:p w14:paraId="671A1191" w14:textId="77777777" w:rsidR="00F90DE9" w:rsidRPr="00F90DE9" w:rsidRDefault="00F90DE9" w:rsidP="007C0EA9">
      <w:pPr>
        <w:pStyle w:val="Heading2"/>
      </w:pPr>
      <w:bookmarkStart w:id="33" w:name="_Toc203549622"/>
      <w:bookmarkStart w:id="34" w:name="_Toc206495284"/>
      <w:r w:rsidRPr="00F90DE9">
        <w:t>Sepsis in admitted care</w:t>
      </w:r>
      <w:bookmarkEnd w:id="32"/>
      <w:bookmarkEnd w:id="33"/>
      <w:bookmarkEnd w:id="34"/>
    </w:p>
    <w:p w14:paraId="6E20CFC0" w14:textId="40FFA515" w:rsidR="00F90DE9" w:rsidRPr="00F90DE9" w:rsidRDefault="00F90DE9" w:rsidP="00F90DE9">
      <w:r w:rsidRPr="00F90DE9">
        <w:t>Between 2013-14 to 2022-23, there were over 900,000 admitted care separations in public hospitals involving sepsis (</w:t>
      </w:r>
      <w:hyperlink w:anchor="_Table_1._Overall" w:history="1">
        <w:r w:rsidR="00E318CF" w:rsidRPr="00142C86">
          <w:rPr>
            <w:rStyle w:val="Hyperlink"/>
            <w:color w:val="282AE0"/>
          </w:rPr>
          <w:t>Table 1</w:t>
        </w:r>
      </w:hyperlink>
      <w:r w:rsidRPr="00F90DE9">
        <w:t>). The following characteristics were observed, as a percentage out of total sepsis separations:</w:t>
      </w:r>
    </w:p>
    <w:p w14:paraId="7BCEDE0D" w14:textId="77777777" w:rsidR="00F90DE9" w:rsidRPr="00F90DE9" w:rsidRDefault="00F90DE9" w:rsidP="003223B2">
      <w:pPr>
        <w:pStyle w:val="Heading3"/>
      </w:pPr>
      <w:r w:rsidRPr="00F90DE9">
        <w:t>Demographic characteristics</w:t>
      </w:r>
    </w:p>
    <w:p w14:paraId="4A2988BD" w14:textId="77777777" w:rsidR="00F90DE9" w:rsidRPr="00F90DE9" w:rsidRDefault="00F90DE9" w:rsidP="008E5623">
      <w:pPr>
        <w:numPr>
          <w:ilvl w:val="0"/>
          <w:numId w:val="14"/>
        </w:numPr>
      </w:pPr>
      <w:r w:rsidRPr="00F90DE9">
        <w:t>mostly male (54.7%)</w:t>
      </w:r>
    </w:p>
    <w:p w14:paraId="366FA9C8" w14:textId="77777777" w:rsidR="00F90DE9" w:rsidRPr="00F90DE9" w:rsidRDefault="00F90DE9" w:rsidP="008E5623">
      <w:pPr>
        <w:numPr>
          <w:ilvl w:val="0"/>
          <w:numId w:val="14"/>
        </w:numPr>
      </w:pPr>
      <w:r w:rsidRPr="00F90DE9">
        <w:t>highest representation from older patients (59.0% aged 65 years and over, followed by 31.7% for other adults (18-64 years), 7.3% for children below 1 year, and 1.9% for those aged 1-17 years)</w:t>
      </w:r>
    </w:p>
    <w:p w14:paraId="74D11F71" w14:textId="77777777" w:rsidR="00F90DE9" w:rsidRPr="00F90DE9" w:rsidRDefault="00F90DE9" w:rsidP="008E5623">
      <w:pPr>
        <w:numPr>
          <w:ilvl w:val="0"/>
          <w:numId w:val="14"/>
        </w:numPr>
      </w:pPr>
      <w:r w:rsidRPr="00F90DE9">
        <w:t>mostly lived in major cities (64.0%)</w:t>
      </w:r>
    </w:p>
    <w:p w14:paraId="15B01E53" w14:textId="77777777" w:rsidR="00F90DE9" w:rsidRPr="00F90DE9" w:rsidRDefault="00F90DE9" w:rsidP="008E5623">
      <w:pPr>
        <w:numPr>
          <w:ilvl w:val="0"/>
          <w:numId w:val="14"/>
        </w:numPr>
      </w:pPr>
      <w:r w:rsidRPr="00F90DE9">
        <w:t>almost 1 in 3 had diabetes (28.7%), followed by renal disease (15.8%) and cancer (13.4%)</w:t>
      </w:r>
    </w:p>
    <w:p w14:paraId="20881BC3" w14:textId="77777777" w:rsidR="00F90DE9" w:rsidRPr="00F90DE9" w:rsidRDefault="00F90DE9" w:rsidP="008E5623">
      <w:pPr>
        <w:numPr>
          <w:ilvl w:val="0"/>
          <w:numId w:val="14"/>
        </w:numPr>
      </w:pPr>
      <w:r w:rsidRPr="00F90DE9">
        <w:t>majority were treated for sepsis recorded as present on admission (87.2%)</w:t>
      </w:r>
    </w:p>
    <w:p w14:paraId="209DD7DE" w14:textId="77777777" w:rsidR="00F90DE9" w:rsidRPr="00F90DE9" w:rsidRDefault="00F90DE9" w:rsidP="008E5623">
      <w:pPr>
        <w:numPr>
          <w:ilvl w:val="0"/>
          <w:numId w:val="14"/>
        </w:numPr>
      </w:pPr>
      <w:r w:rsidRPr="00F90DE9">
        <w:t>39.5% recorded sepsis as the principal diagnosis</w:t>
      </w:r>
    </w:p>
    <w:p w14:paraId="626F12D3" w14:textId="77777777" w:rsidR="00F90DE9" w:rsidRPr="00F90DE9" w:rsidRDefault="00F90DE9" w:rsidP="008E5623">
      <w:pPr>
        <w:numPr>
          <w:ilvl w:val="0"/>
          <w:numId w:val="14"/>
        </w:numPr>
      </w:pPr>
      <w:r w:rsidRPr="00F90DE9">
        <w:t>representation of maternal sepsis (6.9%) and Aboriginal or Torres Strait Islander patients (5.8%).</w:t>
      </w:r>
    </w:p>
    <w:p w14:paraId="26E47B84" w14:textId="77777777" w:rsidR="008C3D81" w:rsidRPr="008C3D81" w:rsidRDefault="008C3D81" w:rsidP="003223B2">
      <w:pPr>
        <w:pStyle w:val="Heading3"/>
      </w:pPr>
      <w:r w:rsidRPr="008C3D81">
        <w:t>Admitted care characteristics</w:t>
      </w:r>
    </w:p>
    <w:p w14:paraId="2663404F" w14:textId="3790521E" w:rsidR="008C3D81" w:rsidRPr="008C3D81" w:rsidRDefault="008C3D81" w:rsidP="008C3D81">
      <w:r w:rsidRPr="008C3D81">
        <w:t xml:space="preserve">2022-23 sepsis separations showed </w:t>
      </w:r>
      <w:r w:rsidRPr="00DB74B6">
        <w:t>(</w:t>
      </w:r>
      <w:hyperlink w:anchor="_Table_7._Admitted_1" w:history="1">
        <w:r w:rsidRPr="00142C86">
          <w:rPr>
            <w:rStyle w:val="Hyperlink"/>
          </w:rPr>
          <w:t>Table</w:t>
        </w:r>
        <w:r w:rsidRPr="008C3D81">
          <w:rPr>
            <w:rStyle w:val="Hyperlink"/>
          </w:rPr>
          <w:t xml:space="preserve"> 7</w:t>
        </w:r>
      </w:hyperlink>
      <w:r w:rsidRPr="008C3D81">
        <w:t>):</w:t>
      </w:r>
    </w:p>
    <w:p w14:paraId="48A6E9DF" w14:textId="77777777" w:rsidR="008C3D81" w:rsidRPr="008C3D81" w:rsidRDefault="008C3D81" w:rsidP="008E5623">
      <w:pPr>
        <w:numPr>
          <w:ilvl w:val="0"/>
          <w:numId w:val="15"/>
        </w:numPr>
      </w:pPr>
      <w:r w:rsidRPr="008C3D81">
        <w:t>majority of sepsis treated at major city hospitals (67.5%)</w:t>
      </w:r>
    </w:p>
    <w:p w14:paraId="4666DB51" w14:textId="77777777" w:rsidR="008C3D81" w:rsidRPr="008C3D81" w:rsidRDefault="008C3D81" w:rsidP="008E5623">
      <w:pPr>
        <w:numPr>
          <w:ilvl w:val="0"/>
          <w:numId w:val="15"/>
        </w:numPr>
      </w:pPr>
      <w:r w:rsidRPr="008C3D81">
        <w:t>3 in 4 were emergency admissions (77.9%)</w:t>
      </w:r>
    </w:p>
    <w:p w14:paraId="72F87AF4" w14:textId="77777777" w:rsidR="008C3D81" w:rsidRPr="008C3D81" w:rsidRDefault="008C3D81" w:rsidP="008E5623">
      <w:pPr>
        <w:numPr>
          <w:ilvl w:val="0"/>
          <w:numId w:val="15"/>
        </w:numPr>
      </w:pPr>
      <w:r w:rsidRPr="008C3D81">
        <w:t>1 in 10 were transfers from another hospital (12.2%)</w:t>
      </w:r>
    </w:p>
    <w:p w14:paraId="4191DC40" w14:textId="77777777" w:rsidR="008C3D81" w:rsidRPr="008C3D81" w:rsidRDefault="008C3D81" w:rsidP="008E5623">
      <w:pPr>
        <w:numPr>
          <w:ilvl w:val="0"/>
          <w:numId w:val="15"/>
        </w:numPr>
      </w:pPr>
      <w:r w:rsidRPr="008C3D81">
        <w:t>average length of stay was 13 days</w:t>
      </w:r>
    </w:p>
    <w:p w14:paraId="13BB5599" w14:textId="77777777" w:rsidR="008C3D81" w:rsidRPr="008C3D81" w:rsidRDefault="008C3D81" w:rsidP="008E5623">
      <w:pPr>
        <w:numPr>
          <w:ilvl w:val="0"/>
          <w:numId w:val="15"/>
        </w:numPr>
      </w:pPr>
      <w:r w:rsidRPr="008C3D81">
        <w:t>1 in 4 were admitted to the ICU (27.8%), with an average ICU stay of 168 hours (7 days)</w:t>
      </w:r>
    </w:p>
    <w:p w14:paraId="14CF99F6" w14:textId="77777777" w:rsidR="008C3D81" w:rsidRPr="008C3D81" w:rsidRDefault="008C3D81" w:rsidP="008E5623">
      <w:pPr>
        <w:numPr>
          <w:ilvl w:val="0"/>
          <w:numId w:val="15"/>
        </w:numPr>
      </w:pPr>
      <w:r w:rsidRPr="008C3D81">
        <w:t>most were for non-surgical reasons (81.9%)</w:t>
      </w:r>
    </w:p>
    <w:p w14:paraId="7B5241DD" w14:textId="77777777" w:rsidR="008C3D81" w:rsidRPr="008C3D81" w:rsidRDefault="008C3D81" w:rsidP="008E5623">
      <w:pPr>
        <w:numPr>
          <w:ilvl w:val="0"/>
          <w:numId w:val="15"/>
        </w:numPr>
      </w:pPr>
      <w:r w:rsidRPr="008C3D81">
        <w:t>representation of maternal sepsis (7.7%)</w:t>
      </w:r>
    </w:p>
    <w:p w14:paraId="1DB5B0C6" w14:textId="77777777" w:rsidR="008C3D81" w:rsidRPr="008C3D81" w:rsidRDefault="008C3D81" w:rsidP="008E5623">
      <w:pPr>
        <w:numPr>
          <w:ilvl w:val="0"/>
          <w:numId w:val="15"/>
        </w:numPr>
      </w:pPr>
      <w:r w:rsidRPr="008C3D81">
        <w:t>12.0% developed a non-HAI HAC</w:t>
      </w:r>
      <w:r w:rsidRPr="008C3D81">
        <w:rPr>
          <w:vertAlign w:val="superscript"/>
        </w:rPr>
        <w:footnoteReference w:id="9"/>
      </w:r>
      <w:r w:rsidRPr="008C3D81">
        <w:t>. Respiratory complications were the most common (3.6%), followed by delirium (3.4%) and cardiac complications (3.3%)</w:t>
      </w:r>
    </w:p>
    <w:p w14:paraId="5E4B6E93" w14:textId="77777777" w:rsidR="008C3D81" w:rsidRPr="008C3D81" w:rsidRDefault="008C3D81" w:rsidP="008E5623">
      <w:pPr>
        <w:numPr>
          <w:ilvl w:val="0"/>
          <w:numId w:val="15"/>
        </w:numPr>
      </w:pPr>
      <w:r w:rsidRPr="008C3D81">
        <w:t>low representation from residential aged care patients (2.2%).</w:t>
      </w:r>
    </w:p>
    <w:p w14:paraId="0EDDE4A8" w14:textId="77777777" w:rsidR="008C3D81" w:rsidRPr="008C3D81" w:rsidRDefault="008C3D81" w:rsidP="008C3D81"/>
    <w:p w14:paraId="7199C00B" w14:textId="5F00E6AF" w:rsidR="008C3D81" w:rsidRPr="008C3D81" w:rsidRDefault="008C3D81" w:rsidP="008C3D81">
      <w:r w:rsidRPr="008C3D81">
        <w:t>There were similar characteristics in the sepsis group before and after the COVID-19 pandemic (2017-18, vs 2022-23), including patient remoteness (</w:t>
      </w:r>
      <w:hyperlink w:anchor="_Table_4._Demographic" w:history="1">
        <w:r w:rsidRPr="008C3D81">
          <w:rPr>
            <w:rStyle w:val="Hyperlink"/>
          </w:rPr>
          <w:t>Table 4</w:t>
        </w:r>
      </w:hyperlink>
      <w:r w:rsidRPr="008C3D81">
        <w:t xml:space="preserve"> , vs </w:t>
      </w:r>
      <w:hyperlink w:anchor="_Table_5._Demographic" w:history="1">
        <w:r w:rsidRPr="008C3D81">
          <w:rPr>
            <w:rStyle w:val="Hyperlink"/>
          </w:rPr>
          <w:t>Table 5</w:t>
        </w:r>
      </w:hyperlink>
      <w:r w:rsidRPr="008C3D81">
        <w:t>) and hospital transfers (</w:t>
      </w:r>
      <w:hyperlink w:anchor="_Table_6._Admitted" w:history="1">
        <w:r w:rsidRPr="008C3D81">
          <w:rPr>
            <w:rStyle w:val="Hyperlink"/>
          </w:rPr>
          <w:t>Table 6</w:t>
        </w:r>
      </w:hyperlink>
      <w:r w:rsidRPr="008C3D81">
        <w:t xml:space="preserve"> , vs </w:t>
      </w:r>
      <w:hyperlink w:anchor="_Table_7._Admitted_1" w:history="1">
        <w:r w:rsidRPr="008C3D81">
          <w:rPr>
            <w:rStyle w:val="Hyperlink"/>
          </w:rPr>
          <w:t>Table 7</w:t>
        </w:r>
      </w:hyperlink>
      <w:r w:rsidRPr="008C3D81">
        <w:t>).</w:t>
      </w:r>
    </w:p>
    <w:p w14:paraId="6D031E55" w14:textId="77777777" w:rsidR="005F0275" w:rsidRPr="005F0275" w:rsidRDefault="005F0275" w:rsidP="007C0EA9">
      <w:pPr>
        <w:pStyle w:val="Heading2"/>
      </w:pPr>
      <w:bookmarkStart w:id="35" w:name="_Toc203549623"/>
      <w:bookmarkStart w:id="36" w:name="_Toc206495285"/>
      <w:r w:rsidRPr="005F0275">
        <w:lastRenderedPageBreak/>
        <w:t>Sepsis recorded as secondary diagnosis</w:t>
      </w:r>
      <w:bookmarkEnd w:id="35"/>
      <w:bookmarkEnd w:id="36"/>
    </w:p>
    <w:p w14:paraId="2BAF82DD" w14:textId="65411A38" w:rsidR="005F0275" w:rsidRPr="005F0275" w:rsidRDefault="005F0275" w:rsidP="005F0275">
      <w:r w:rsidRPr="005F0275">
        <w:t>In 2022-23, when compared to separations with sepsis as the principal diagnosis, separations where sepsis was present as a secondary diagnosis (</w:t>
      </w:r>
      <w:hyperlink w:anchor="_Table_5._Demographic" w:history="1">
        <w:r w:rsidRPr="005F0275">
          <w:rPr>
            <w:rStyle w:val="Hyperlink"/>
          </w:rPr>
          <w:t>Table 5</w:t>
        </w:r>
      </w:hyperlink>
      <w:r w:rsidRPr="005F0275">
        <w:t xml:space="preserve"> , </w:t>
      </w:r>
      <w:hyperlink w:anchor="_Table_7._Admitted_1" w:history="1">
        <w:r w:rsidRPr="005F0275">
          <w:rPr>
            <w:rStyle w:val="Hyperlink"/>
          </w:rPr>
          <w:t>Table 7</w:t>
        </w:r>
      </w:hyperlink>
      <w:r w:rsidRPr="005F0275">
        <w:t>).</w:t>
      </w:r>
    </w:p>
    <w:p w14:paraId="073C25FD" w14:textId="77777777" w:rsidR="005F0275" w:rsidRPr="005F0275" w:rsidRDefault="005F0275" w:rsidP="00C70E35">
      <w:pPr>
        <w:pStyle w:val="Heading3"/>
      </w:pPr>
      <w:r w:rsidRPr="005F0275">
        <w:t>Demographic characteristics</w:t>
      </w:r>
    </w:p>
    <w:p w14:paraId="298A1C40" w14:textId="77777777" w:rsidR="005F0275" w:rsidRPr="005F0275" w:rsidRDefault="005F0275" w:rsidP="008E5623">
      <w:pPr>
        <w:numPr>
          <w:ilvl w:val="0"/>
          <w:numId w:val="16"/>
        </w:numPr>
      </w:pPr>
      <w:r w:rsidRPr="005F0275">
        <w:t>were slightly younger (median age of 70, vs 72 years)</w:t>
      </w:r>
    </w:p>
    <w:p w14:paraId="326A85B6" w14:textId="77777777" w:rsidR="005F0275" w:rsidRPr="005F0275" w:rsidRDefault="005F0275" w:rsidP="008E5623">
      <w:pPr>
        <w:numPr>
          <w:ilvl w:val="0"/>
          <w:numId w:val="16"/>
        </w:numPr>
      </w:pPr>
      <w:r w:rsidRPr="005F0275">
        <w:t>slightly higher proportion living in major cities (63.0%, vs 57.3%)</w:t>
      </w:r>
    </w:p>
    <w:p w14:paraId="3B987561" w14:textId="77777777" w:rsidR="005F0275" w:rsidRPr="005F0275" w:rsidRDefault="005F0275" w:rsidP="008E5623">
      <w:pPr>
        <w:numPr>
          <w:ilvl w:val="0"/>
          <w:numId w:val="16"/>
        </w:numPr>
      </w:pPr>
      <w:r w:rsidRPr="005F0275">
        <w:t>similar levels of socio-economic status (25.1% for patients from the most socio-economic disadvantaged areas, vs 26.3%).</w:t>
      </w:r>
    </w:p>
    <w:p w14:paraId="62DBD10B" w14:textId="77777777" w:rsidR="005F0275" w:rsidRPr="005F0275" w:rsidRDefault="005F0275" w:rsidP="005F0275">
      <w:pPr>
        <w:pStyle w:val="Heading3"/>
      </w:pPr>
      <w:r w:rsidRPr="005F0275">
        <w:t>Admitted care characteristics</w:t>
      </w:r>
    </w:p>
    <w:p w14:paraId="25EF85CA" w14:textId="77777777" w:rsidR="005F0275" w:rsidRPr="005F0275" w:rsidRDefault="005F0275" w:rsidP="008E5623">
      <w:pPr>
        <w:numPr>
          <w:ilvl w:val="0"/>
          <w:numId w:val="16"/>
        </w:numPr>
      </w:pPr>
      <w:r w:rsidRPr="005F0275">
        <w:t>lower rates of emergency admissions (77.1% vs 81.2%)</w:t>
      </w:r>
    </w:p>
    <w:p w14:paraId="70EC5459" w14:textId="77777777" w:rsidR="005F0275" w:rsidRPr="005F0275" w:rsidRDefault="005F0275" w:rsidP="008E5623">
      <w:pPr>
        <w:numPr>
          <w:ilvl w:val="0"/>
          <w:numId w:val="16"/>
        </w:numPr>
      </w:pPr>
      <w:r w:rsidRPr="005F0275">
        <w:t>almost twice the average length of stay (15 vs 8 days)</w:t>
      </w:r>
    </w:p>
    <w:p w14:paraId="356CBC7D" w14:textId="77777777" w:rsidR="005F0275" w:rsidRPr="005F0275" w:rsidRDefault="005F0275" w:rsidP="008E5623">
      <w:pPr>
        <w:numPr>
          <w:ilvl w:val="0"/>
          <w:numId w:val="16"/>
        </w:numPr>
      </w:pPr>
      <w:r w:rsidRPr="005F0275">
        <w:t>1.6 times as many admissions to ICU (35.2%, vs 21.8%), and longer ICU stays (average 176 hours, vs 104 hours)</w:t>
      </w:r>
    </w:p>
    <w:p w14:paraId="2787DF74" w14:textId="77777777" w:rsidR="005F0275" w:rsidRPr="005F0275" w:rsidRDefault="005F0275" w:rsidP="008E5623">
      <w:pPr>
        <w:numPr>
          <w:ilvl w:val="0"/>
          <w:numId w:val="16"/>
        </w:numPr>
      </w:pPr>
      <w:r w:rsidRPr="005F0275">
        <w:t>higher proportion of HACs (15.1% developed a non-HAI HAC, vs 6.2%). Common HAC groups were</w:t>
      </w:r>
    </w:p>
    <w:p w14:paraId="22942907" w14:textId="77777777" w:rsidR="005F0275" w:rsidRPr="005F0275" w:rsidRDefault="005F0275" w:rsidP="008E5623">
      <w:pPr>
        <w:numPr>
          <w:ilvl w:val="1"/>
          <w:numId w:val="16"/>
        </w:numPr>
      </w:pPr>
      <w:r w:rsidRPr="005F0275">
        <w:t>respiratory complications (4.7%, vs 1.3%)</w:t>
      </w:r>
    </w:p>
    <w:p w14:paraId="28F6BAC0" w14:textId="77777777" w:rsidR="005F0275" w:rsidRPr="005F0275" w:rsidRDefault="005F0275" w:rsidP="008E5623">
      <w:pPr>
        <w:numPr>
          <w:ilvl w:val="1"/>
          <w:numId w:val="16"/>
        </w:numPr>
      </w:pPr>
      <w:r w:rsidRPr="005F0275">
        <w:t>delirium (4.4%, vs 1.4%)</w:t>
      </w:r>
    </w:p>
    <w:p w14:paraId="1C671CFC" w14:textId="77777777" w:rsidR="005F0275" w:rsidRPr="005F0275" w:rsidRDefault="005F0275" w:rsidP="008E5623">
      <w:pPr>
        <w:numPr>
          <w:ilvl w:val="1"/>
          <w:numId w:val="16"/>
        </w:numPr>
      </w:pPr>
      <w:r w:rsidRPr="005F0275">
        <w:t>cardiac complications (4.2%, vs 1.8%).</w:t>
      </w:r>
    </w:p>
    <w:p w14:paraId="5E447FDF" w14:textId="77777777" w:rsidR="008942CC" w:rsidRPr="008942CC" w:rsidRDefault="008942CC" w:rsidP="007C0EA9">
      <w:pPr>
        <w:pStyle w:val="Heading2"/>
      </w:pPr>
      <w:bookmarkStart w:id="37" w:name="_Toc187133196"/>
      <w:bookmarkStart w:id="38" w:name="_Toc187313276"/>
      <w:bookmarkStart w:id="39" w:name="_Toc203549624"/>
      <w:bookmarkStart w:id="40" w:name="_Toc206495286"/>
      <w:r w:rsidRPr="008942CC">
        <w:t>30-day post-sepsis readmissions</w:t>
      </w:r>
      <w:bookmarkEnd w:id="37"/>
      <w:bookmarkEnd w:id="38"/>
      <w:bookmarkEnd w:id="39"/>
      <w:bookmarkEnd w:id="40"/>
    </w:p>
    <w:p w14:paraId="04EA8287" w14:textId="77777777" w:rsidR="008942CC" w:rsidRPr="008942CC" w:rsidRDefault="008942CC" w:rsidP="008942CC">
      <w:r w:rsidRPr="008942CC">
        <w:t>From 2015-16 to 2022-23, there were 202,763 subsequent readmissions within 30 days following a sepsis separation (</w:t>
      </w:r>
      <w:hyperlink w:anchor="_Table_1._Overall" w:history="1">
        <w:r w:rsidRPr="008942CC">
          <w:rPr>
            <w:rStyle w:val="Hyperlink"/>
          </w:rPr>
          <w:t>Table 1</w:t>
        </w:r>
      </w:hyperlink>
      <w:r w:rsidRPr="008942CC">
        <w:t>).</w:t>
      </w:r>
    </w:p>
    <w:p w14:paraId="339E39D4" w14:textId="685B8A11" w:rsidR="008942CC" w:rsidRPr="008942CC" w:rsidRDefault="008942CC" w:rsidP="008942CC">
      <w:r w:rsidRPr="008942CC">
        <w:t>In 2022-23, 54.6% of readmissions within a year of a sepsis separation occurred in the first 30 days (</w:t>
      </w:r>
      <w:hyperlink w:anchor="_Table_2._All" w:history="1">
        <w:r w:rsidRPr="008942CC">
          <w:rPr>
            <w:rStyle w:val="Hyperlink"/>
          </w:rPr>
          <w:t>Table 2</w:t>
        </w:r>
      </w:hyperlink>
      <w:r w:rsidRPr="008942CC">
        <w:t xml:space="preserve">). </w:t>
      </w:r>
      <w:r w:rsidRPr="008942CC">
        <w:rPr>
          <w:i/>
          <w:iCs/>
        </w:rPr>
        <w:t>Sepsis, unspecified (A419)</w:t>
      </w:r>
      <w:r w:rsidRPr="008942CC">
        <w:t xml:space="preserve"> was the most common sepsis diagnosis for each readmission interval analysed (</w:t>
      </w:r>
      <w:hyperlink w:anchor="_Table_3._Top" w:history="1">
        <w:r w:rsidRPr="008942CC">
          <w:rPr>
            <w:rStyle w:val="Hyperlink"/>
          </w:rPr>
          <w:t>Table 3</w:t>
        </w:r>
      </w:hyperlink>
      <w:r w:rsidRPr="008942CC">
        <w:t>).</w:t>
      </w:r>
    </w:p>
    <w:p w14:paraId="581D4A1D" w14:textId="659DADE4" w:rsidR="008942CC" w:rsidRPr="008942CC" w:rsidRDefault="008942CC" w:rsidP="008942CC">
      <w:r w:rsidRPr="008942CC">
        <w:t>Compared to the sepsis group, 30-day post-sepsis readmissions in 2022-23 showed the below characteristics ((</w:t>
      </w:r>
      <w:hyperlink w:anchor="_Table_5._Demographic" w:history="1">
        <w:r w:rsidRPr="008942CC">
          <w:rPr>
            <w:rStyle w:val="Hyperlink"/>
          </w:rPr>
          <w:t>Table 5</w:t>
        </w:r>
      </w:hyperlink>
      <w:r w:rsidRPr="008942CC">
        <w:rPr>
          <w:u w:val="single"/>
        </w:rPr>
        <w:t>)</w:t>
      </w:r>
      <w:r w:rsidRPr="008942CC">
        <w:t>, (</w:t>
      </w:r>
      <w:hyperlink w:anchor="_Table_7._Admitted_1" w:history="1">
        <w:r w:rsidRPr="008942CC">
          <w:rPr>
            <w:rStyle w:val="Hyperlink"/>
          </w:rPr>
          <w:t>Table 7</w:t>
        </w:r>
      </w:hyperlink>
      <w:r w:rsidRPr="008942CC">
        <w:t>)).</w:t>
      </w:r>
    </w:p>
    <w:p w14:paraId="76B11B0A" w14:textId="77777777" w:rsidR="008942CC" w:rsidRPr="008942CC" w:rsidRDefault="008942CC" w:rsidP="008942CC">
      <w:pPr>
        <w:pStyle w:val="Heading3"/>
      </w:pPr>
      <w:r w:rsidRPr="008942CC">
        <w:t>Demographic characteristics</w:t>
      </w:r>
    </w:p>
    <w:p w14:paraId="03674D0A" w14:textId="77777777" w:rsidR="008942CC" w:rsidRPr="008942CC" w:rsidRDefault="008942CC" w:rsidP="008E5623">
      <w:pPr>
        <w:numPr>
          <w:ilvl w:val="0"/>
          <w:numId w:val="17"/>
        </w:numPr>
      </w:pPr>
      <w:r w:rsidRPr="008942CC">
        <w:t>slightly younger (median age 68, vs 70)</w:t>
      </w:r>
    </w:p>
    <w:p w14:paraId="2D033C98" w14:textId="77777777" w:rsidR="008942CC" w:rsidRPr="008942CC" w:rsidRDefault="008942CC" w:rsidP="008E5623">
      <w:pPr>
        <w:numPr>
          <w:ilvl w:val="0"/>
          <w:numId w:val="17"/>
        </w:numPr>
      </w:pPr>
      <w:r w:rsidRPr="008942CC">
        <w:t>slightly more representation from Aboriginal and/or Torres Strait Islander patients (8.9%, vs 6.8%)</w:t>
      </w:r>
      <w:r w:rsidRPr="008942CC">
        <w:rPr>
          <w:vertAlign w:val="superscript"/>
        </w:rPr>
        <w:footnoteReference w:id="10"/>
      </w:r>
    </w:p>
    <w:p w14:paraId="70386364" w14:textId="77777777" w:rsidR="008942CC" w:rsidRPr="008942CC" w:rsidRDefault="008942CC" w:rsidP="008E5623">
      <w:pPr>
        <w:numPr>
          <w:ilvl w:val="0"/>
          <w:numId w:val="17"/>
        </w:numPr>
      </w:pPr>
      <w:r w:rsidRPr="008942CC">
        <w:t>higher proportions who lived outside of major cities (46.4%, vs 39.0%)</w:t>
      </w:r>
    </w:p>
    <w:p w14:paraId="3E49DACE" w14:textId="77777777" w:rsidR="008942CC" w:rsidRPr="008942CC" w:rsidRDefault="008942CC" w:rsidP="008E5623">
      <w:pPr>
        <w:numPr>
          <w:ilvl w:val="0"/>
          <w:numId w:val="17"/>
        </w:numPr>
      </w:pPr>
      <w:r w:rsidRPr="008942CC">
        <w:t>similar proportions of those with diabetes (31.4%, vs 31.1%), followed by renal disease (13.2%, vs 16.5%) and cancer (14.1%, 13.0%)</w:t>
      </w:r>
    </w:p>
    <w:p w14:paraId="325BE4D5" w14:textId="77777777" w:rsidR="008942CC" w:rsidRPr="008942CC" w:rsidRDefault="008942CC" w:rsidP="008E5623">
      <w:pPr>
        <w:numPr>
          <w:ilvl w:val="0"/>
          <w:numId w:val="17"/>
        </w:numPr>
      </w:pPr>
      <w:r w:rsidRPr="008942CC">
        <w:lastRenderedPageBreak/>
        <w:t>greater representation from patients in areas with the most socio-economic disadvantage (28.4%, vs 25.4%).</w:t>
      </w:r>
    </w:p>
    <w:p w14:paraId="20BF526A" w14:textId="77777777" w:rsidR="003D5EAF" w:rsidRPr="003D5EAF" w:rsidRDefault="003D5EAF" w:rsidP="003D5EAF">
      <w:pPr>
        <w:pStyle w:val="Heading3"/>
      </w:pPr>
      <w:r w:rsidRPr="003D5EAF">
        <w:t>Admitted care characteristics</w:t>
      </w:r>
    </w:p>
    <w:p w14:paraId="66C962D4" w14:textId="77777777" w:rsidR="003D5EAF" w:rsidRPr="003D5EAF" w:rsidRDefault="003D5EAF" w:rsidP="008E5623">
      <w:pPr>
        <w:numPr>
          <w:ilvl w:val="0"/>
          <w:numId w:val="18"/>
        </w:numPr>
      </w:pPr>
      <w:r w:rsidRPr="003D5EAF">
        <w:t>more transfers from other hospitals (30.5%, vs 12.2%)</w:t>
      </w:r>
    </w:p>
    <w:p w14:paraId="56E1534E" w14:textId="77777777" w:rsidR="003D5EAF" w:rsidRPr="003D5EAF" w:rsidRDefault="003D5EAF" w:rsidP="008E5623">
      <w:pPr>
        <w:numPr>
          <w:ilvl w:val="0"/>
          <w:numId w:val="18"/>
        </w:numPr>
      </w:pPr>
      <w:r w:rsidRPr="003D5EAF">
        <w:t>less ICU admissions (12.0%, vs 27.8%), and shorter average ICU stay (129hrs, vs 168hrs)</w:t>
      </w:r>
    </w:p>
    <w:p w14:paraId="1D45AD95" w14:textId="77777777" w:rsidR="003D5EAF" w:rsidRPr="003D5EAF" w:rsidRDefault="003D5EAF" w:rsidP="008E5623">
      <w:pPr>
        <w:numPr>
          <w:ilvl w:val="0"/>
          <w:numId w:val="18"/>
        </w:numPr>
      </w:pPr>
      <w:r w:rsidRPr="003D5EAF">
        <w:t>fewer sepsis present on admission (23.3%, vs 90.0%)</w:t>
      </w:r>
    </w:p>
    <w:p w14:paraId="1520E33B" w14:textId="77777777" w:rsidR="003D5EAF" w:rsidRPr="003D5EAF" w:rsidRDefault="003D5EAF" w:rsidP="008E5623">
      <w:pPr>
        <w:numPr>
          <w:ilvl w:val="0"/>
          <w:numId w:val="18"/>
        </w:numPr>
      </w:pPr>
      <w:r w:rsidRPr="003D5EAF">
        <w:t>lower proportion of non-HAI HACs (5.5%, vs 12.0%)</w:t>
      </w:r>
    </w:p>
    <w:p w14:paraId="29BA0775" w14:textId="77777777" w:rsidR="003D5EAF" w:rsidRPr="003D5EAF" w:rsidRDefault="003D5EAF" w:rsidP="008E5623">
      <w:pPr>
        <w:numPr>
          <w:ilvl w:val="0"/>
          <w:numId w:val="18"/>
        </w:numPr>
      </w:pPr>
      <w:r w:rsidRPr="003D5EAF">
        <w:t>less maternal sepsis (1.5%, vs 7.7%)</w:t>
      </w:r>
    </w:p>
    <w:p w14:paraId="60BCCFBF" w14:textId="77777777" w:rsidR="003D5EAF" w:rsidRPr="003D5EAF" w:rsidRDefault="003D5EAF" w:rsidP="008E5623">
      <w:pPr>
        <w:numPr>
          <w:ilvl w:val="0"/>
          <w:numId w:val="18"/>
        </w:numPr>
      </w:pPr>
      <w:r w:rsidRPr="003D5EAF">
        <w:t>top 3 non-sepsis principal diagnoses were</w:t>
      </w:r>
    </w:p>
    <w:p w14:paraId="467AADB9" w14:textId="77777777" w:rsidR="003D5EAF" w:rsidRPr="003D5EAF" w:rsidRDefault="003D5EAF" w:rsidP="008E5623">
      <w:pPr>
        <w:numPr>
          <w:ilvl w:val="1"/>
          <w:numId w:val="18"/>
        </w:numPr>
      </w:pPr>
      <w:r w:rsidRPr="003D5EAF">
        <w:rPr>
          <w:i/>
          <w:iCs/>
        </w:rPr>
        <w:t>Urinary tract infection, site not specified (N390)</w:t>
      </w:r>
      <w:r w:rsidRPr="003D5EAF">
        <w:t xml:space="preserve"> (3.1%)</w:t>
      </w:r>
    </w:p>
    <w:p w14:paraId="6B677C27" w14:textId="77777777" w:rsidR="003D5EAF" w:rsidRPr="003D5EAF" w:rsidRDefault="003D5EAF" w:rsidP="008E5623">
      <w:pPr>
        <w:numPr>
          <w:ilvl w:val="1"/>
          <w:numId w:val="18"/>
        </w:numPr>
      </w:pPr>
      <w:r w:rsidRPr="003D5EAF">
        <w:rPr>
          <w:i/>
          <w:iCs/>
        </w:rPr>
        <w:t xml:space="preserve">Pneumonia, unspecified (J189) </w:t>
      </w:r>
      <w:r w:rsidRPr="003D5EAF">
        <w:t>(2.4%)</w:t>
      </w:r>
    </w:p>
    <w:p w14:paraId="7C12DE39" w14:textId="77777777" w:rsidR="003D5EAF" w:rsidRPr="003D5EAF" w:rsidRDefault="003D5EAF" w:rsidP="008E5623">
      <w:pPr>
        <w:numPr>
          <w:ilvl w:val="1"/>
          <w:numId w:val="18"/>
        </w:numPr>
      </w:pPr>
      <w:r w:rsidRPr="003D5EAF">
        <w:rPr>
          <w:i/>
          <w:iCs/>
        </w:rPr>
        <w:t xml:space="preserve">Cellulitis of lower limb (L0313) </w:t>
      </w:r>
      <w:r w:rsidRPr="003D5EAF">
        <w:t>(1.9%)</w:t>
      </w:r>
    </w:p>
    <w:p w14:paraId="7AE42CDC" w14:textId="77777777" w:rsidR="003D5EAF" w:rsidRPr="003D5EAF" w:rsidRDefault="003D5EAF" w:rsidP="008E5623">
      <w:pPr>
        <w:numPr>
          <w:ilvl w:val="0"/>
          <w:numId w:val="18"/>
        </w:numPr>
      </w:pPr>
      <w:r w:rsidRPr="003D5EAF">
        <w:t>top 2 non-sepsis DRGs were</w:t>
      </w:r>
    </w:p>
    <w:p w14:paraId="1E99F361" w14:textId="77777777" w:rsidR="003D5EAF" w:rsidRPr="003D5EAF" w:rsidRDefault="003D5EAF" w:rsidP="008E5623">
      <w:pPr>
        <w:numPr>
          <w:ilvl w:val="1"/>
          <w:numId w:val="18"/>
        </w:numPr>
        <w:rPr>
          <w:i/>
          <w:iCs/>
        </w:rPr>
      </w:pPr>
      <w:r w:rsidRPr="003D5EAF">
        <w:rPr>
          <w:i/>
          <w:iCs/>
        </w:rPr>
        <w:t>Respiratory Infections and Inflammations, Major Complexity (E62A)</w:t>
      </w:r>
      <w:r w:rsidRPr="003D5EAF">
        <w:t xml:space="preserve"> (4.1%)</w:t>
      </w:r>
    </w:p>
    <w:p w14:paraId="131A82AB" w14:textId="77777777" w:rsidR="003D5EAF" w:rsidRPr="003D5EAF" w:rsidRDefault="003D5EAF" w:rsidP="008E5623">
      <w:pPr>
        <w:numPr>
          <w:ilvl w:val="1"/>
          <w:numId w:val="18"/>
        </w:numPr>
        <w:rPr>
          <w:i/>
          <w:iCs/>
        </w:rPr>
      </w:pPr>
      <w:r w:rsidRPr="003D5EAF">
        <w:rPr>
          <w:i/>
          <w:iCs/>
        </w:rPr>
        <w:t xml:space="preserve">Kidney and Urinary Tract Infections, Major Complexity (L63A) </w:t>
      </w:r>
      <w:r w:rsidRPr="003D5EAF">
        <w:t>(3.0%).</w:t>
      </w:r>
    </w:p>
    <w:p w14:paraId="3A254204" w14:textId="77777777" w:rsidR="00102DBC" w:rsidRPr="00102DBC" w:rsidRDefault="00102DBC" w:rsidP="007C0EA9">
      <w:pPr>
        <w:pStyle w:val="Heading2"/>
      </w:pPr>
      <w:bookmarkStart w:id="41" w:name="_Toc187133197"/>
      <w:bookmarkStart w:id="42" w:name="_Toc187313277"/>
      <w:bookmarkStart w:id="43" w:name="_Toc203549625"/>
      <w:bookmarkStart w:id="44" w:name="_Toc206495287"/>
      <w:r w:rsidRPr="00102DBC">
        <w:t>30-day pre-sepsis separations</w:t>
      </w:r>
      <w:bookmarkEnd w:id="41"/>
      <w:bookmarkEnd w:id="42"/>
      <w:bookmarkEnd w:id="43"/>
      <w:bookmarkEnd w:id="44"/>
    </w:p>
    <w:p w14:paraId="42625F95" w14:textId="77777777" w:rsidR="00102DBC" w:rsidRPr="00102DBC" w:rsidRDefault="00102DBC" w:rsidP="00102DBC">
      <w:r w:rsidRPr="00102DBC">
        <w:t>In 2022-23, there were 24,498 instances where a patient was discharged from hospital up to 30 days before a subsequent sepsis admission.</w:t>
      </w:r>
    </w:p>
    <w:p w14:paraId="52F99F95" w14:textId="498524EF" w:rsidR="00102DBC" w:rsidRPr="00102DBC" w:rsidRDefault="00102DBC" w:rsidP="00102DBC">
      <w:r w:rsidRPr="00102DBC">
        <w:t>Compared with the sepsis group, the 30-day pre-sepsis group showed the following characteristics (</w:t>
      </w:r>
      <w:hyperlink w:anchor="_Table_5._Demographic" w:history="1">
        <w:r w:rsidRPr="00102DBC">
          <w:rPr>
            <w:rStyle w:val="Hyperlink"/>
          </w:rPr>
          <w:t>Table 5</w:t>
        </w:r>
      </w:hyperlink>
      <w:r w:rsidRPr="00102DBC">
        <w:t xml:space="preserve">, </w:t>
      </w:r>
      <w:hyperlink w:anchor="_Table_7._Admitted_1" w:history="1">
        <w:r w:rsidRPr="00102DBC">
          <w:rPr>
            <w:rStyle w:val="Hyperlink"/>
          </w:rPr>
          <w:t>Table 7</w:t>
        </w:r>
      </w:hyperlink>
      <w:r w:rsidRPr="00102DBC">
        <w:t xml:space="preserve"> ):</w:t>
      </w:r>
    </w:p>
    <w:p w14:paraId="4D6C09C5" w14:textId="77777777" w:rsidR="00102DBC" w:rsidRPr="00102DBC" w:rsidRDefault="00102DBC" w:rsidP="008E5623">
      <w:pPr>
        <w:numPr>
          <w:ilvl w:val="0"/>
          <w:numId w:val="18"/>
        </w:numPr>
      </w:pPr>
      <w:r w:rsidRPr="00102DBC">
        <w:t>slightly younger (median age 68, vs 70)</w:t>
      </w:r>
    </w:p>
    <w:p w14:paraId="44BFA0F5" w14:textId="77777777" w:rsidR="00102DBC" w:rsidRPr="00102DBC" w:rsidRDefault="00102DBC" w:rsidP="008E5623">
      <w:pPr>
        <w:numPr>
          <w:ilvl w:val="0"/>
          <w:numId w:val="18"/>
        </w:numPr>
      </w:pPr>
      <w:r w:rsidRPr="00102DBC">
        <w:t>1 in 5 had sepsis documented as present on admission (18.9%, vs 90.0%)</w:t>
      </w:r>
    </w:p>
    <w:p w14:paraId="068EC168" w14:textId="77777777" w:rsidR="00102DBC" w:rsidRPr="00102DBC" w:rsidRDefault="00102DBC" w:rsidP="008E5623">
      <w:pPr>
        <w:numPr>
          <w:ilvl w:val="0"/>
          <w:numId w:val="18"/>
        </w:numPr>
      </w:pPr>
      <w:r w:rsidRPr="00102DBC">
        <w:t>higher proportion of patients who lived outside of major cities (43.4%, vs 39.0%)</w:t>
      </w:r>
    </w:p>
    <w:p w14:paraId="2D9E6390" w14:textId="77777777" w:rsidR="00102DBC" w:rsidRPr="00102DBC" w:rsidRDefault="00102DBC" w:rsidP="008E5623">
      <w:pPr>
        <w:numPr>
          <w:ilvl w:val="0"/>
          <w:numId w:val="18"/>
        </w:numPr>
      </w:pPr>
      <w:r w:rsidRPr="00102DBC">
        <w:t>higher proportion of patients in the most socio-economic disadvantaged areas (27.7%, vs 25.4%)</w:t>
      </w:r>
    </w:p>
    <w:p w14:paraId="305E484E" w14:textId="77777777" w:rsidR="00102DBC" w:rsidRPr="00102DBC" w:rsidRDefault="00102DBC" w:rsidP="008E5623">
      <w:pPr>
        <w:numPr>
          <w:ilvl w:val="0"/>
          <w:numId w:val="18"/>
        </w:numPr>
      </w:pPr>
      <w:r w:rsidRPr="00102DBC">
        <w:t>nearly 1 in 6 had cancer (16.0%, vs 13.0%), with similar profiles for diabetes (29.6% vs 31.1%) and renal disease (11.3%, 16.5%)</w:t>
      </w:r>
    </w:p>
    <w:p w14:paraId="2C08ACA2" w14:textId="77777777" w:rsidR="00102DBC" w:rsidRPr="00102DBC" w:rsidRDefault="00102DBC" w:rsidP="008E5623">
      <w:pPr>
        <w:numPr>
          <w:ilvl w:val="0"/>
          <w:numId w:val="18"/>
        </w:numPr>
      </w:pPr>
      <w:r w:rsidRPr="00102DBC">
        <w:t>lower emergency admissions (61.6%, vs 77.9%)</w:t>
      </w:r>
    </w:p>
    <w:p w14:paraId="63D38396" w14:textId="77777777" w:rsidR="00102DBC" w:rsidRPr="00102DBC" w:rsidRDefault="00102DBC" w:rsidP="008E5623">
      <w:pPr>
        <w:numPr>
          <w:ilvl w:val="0"/>
          <w:numId w:val="18"/>
        </w:numPr>
      </w:pPr>
      <w:r w:rsidRPr="00102DBC">
        <w:t>shorter average hospital stays (7 days, vs 13 days)</w:t>
      </w:r>
    </w:p>
    <w:p w14:paraId="446C0F4C" w14:textId="77777777" w:rsidR="00102DBC" w:rsidRPr="00102DBC" w:rsidRDefault="00102DBC" w:rsidP="008E5623">
      <w:pPr>
        <w:numPr>
          <w:ilvl w:val="0"/>
          <w:numId w:val="18"/>
        </w:numPr>
      </w:pPr>
      <w:r w:rsidRPr="00102DBC">
        <w:t>lower rates of admission to ICU (9.4%, vs 27.8%), and shorter ICU stays (average 103 hours, vs 168 hours)</w:t>
      </w:r>
    </w:p>
    <w:p w14:paraId="0093AF7B" w14:textId="77777777" w:rsidR="00102DBC" w:rsidRPr="00102DBC" w:rsidRDefault="00102DBC" w:rsidP="008E5623">
      <w:pPr>
        <w:numPr>
          <w:ilvl w:val="0"/>
          <w:numId w:val="18"/>
        </w:numPr>
      </w:pPr>
      <w:r w:rsidRPr="00102DBC">
        <w:t>lower proportion of non-HAI HACs (4.7%, vs 12.0%)</w:t>
      </w:r>
    </w:p>
    <w:p w14:paraId="3CBF9F22" w14:textId="77777777" w:rsidR="00102DBC" w:rsidRPr="00102DBC" w:rsidRDefault="00102DBC" w:rsidP="008E5623">
      <w:pPr>
        <w:numPr>
          <w:ilvl w:val="0"/>
          <w:numId w:val="18"/>
        </w:numPr>
      </w:pPr>
      <w:r w:rsidRPr="00102DBC">
        <w:t>top 3 non-sepsis principal diagnoses were</w:t>
      </w:r>
    </w:p>
    <w:p w14:paraId="1E489D97" w14:textId="77777777" w:rsidR="00102DBC" w:rsidRPr="00102DBC" w:rsidRDefault="00102DBC" w:rsidP="008E5623">
      <w:pPr>
        <w:numPr>
          <w:ilvl w:val="1"/>
          <w:numId w:val="18"/>
        </w:numPr>
      </w:pPr>
      <w:r w:rsidRPr="00102DBC">
        <w:rPr>
          <w:i/>
          <w:iCs/>
        </w:rPr>
        <w:t xml:space="preserve">Urinary tract infection, site not specified (N390) </w:t>
      </w:r>
      <w:r w:rsidRPr="00102DBC">
        <w:t>(2.4%)</w:t>
      </w:r>
    </w:p>
    <w:p w14:paraId="62D27EAC" w14:textId="77777777" w:rsidR="00102DBC" w:rsidRPr="00102DBC" w:rsidRDefault="00102DBC" w:rsidP="008E5623">
      <w:pPr>
        <w:numPr>
          <w:ilvl w:val="1"/>
          <w:numId w:val="18"/>
        </w:numPr>
        <w:rPr>
          <w:i/>
          <w:iCs/>
        </w:rPr>
      </w:pPr>
      <w:r w:rsidRPr="00102DBC">
        <w:rPr>
          <w:i/>
          <w:iCs/>
        </w:rPr>
        <w:t>Single spontaneous delivery (O80)</w:t>
      </w:r>
      <w:r w:rsidRPr="00102DBC">
        <w:t xml:space="preserve"> (2.1%)</w:t>
      </w:r>
    </w:p>
    <w:p w14:paraId="40527E00" w14:textId="77777777" w:rsidR="00102DBC" w:rsidRPr="00102DBC" w:rsidRDefault="00102DBC" w:rsidP="008E5623">
      <w:pPr>
        <w:numPr>
          <w:ilvl w:val="1"/>
          <w:numId w:val="18"/>
        </w:numPr>
      </w:pPr>
      <w:r w:rsidRPr="00102DBC">
        <w:rPr>
          <w:i/>
          <w:iCs/>
        </w:rPr>
        <w:t>Pneumonia, unspecified (J189)</w:t>
      </w:r>
      <w:r w:rsidRPr="00102DBC">
        <w:t xml:space="preserve"> (1.9%)</w:t>
      </w:r>
    </w:p>
    <w:p w14:paraId="37B8A6F5" w14:textId="77777777" w:rsidR="00102DBC" w:rsidRPr="00102DBC" w:rsidRDefault="00102DBC" w:rsidP="008E5623">
      <w:pPr>
        <w:numPr>
          <w:ilvl w:val="0"/>
          <w:numId w:val="18"/>
        </w:numPr>
      </w:pPr>
      <w:r w:rsidRPr="00102DBC">
        <w:lastRenderedPageBreak/>
        <w:t>Top 2 non-sepsis DRGs were</w:t>
      </w:r>
    </w:p>
    <w:p w14:paraId="41E9E07E" w14:textId="77777777" w:rsidR="00102DBC" w:rsidRPr="00102DBC" w:rsidRDefault="00102DBC" w:rsidP="008E5623">
      <w:pPr>
        <w:numPr>
          <w:ilvl w:val="1"/>
          <w:numId w:val="18"/>
        </w:numPr>
      </w:pPr>
      <w:r w:rsidRPr="00102DBC">
        <w:rPr>
          <w:i/>
          <w:iCs/>
        </w:rPr>
        <w:t>Respiratory Infections and Inflammations, Major Complexity (E62A)</w:t>
      </w:r>
      <w:r w:rsidRPr="00102DBC">
        <w:t xml:space="preserve"> (2.8%)</w:t>
      </w:r>
    </w:p>
    <w:p w14:paraId="4456134C" w14:textId="77777777" w:rsidR="00102DBC" w:rsidRPr="00102DBC" w:rsidRDefault="00102DBC" w:rsidP="008E5623">
      <w:pPr>
        <w:numPr>
          <w:ilvl w:val="1"/>
          <w:numId w:val="18"/>
        </w:numPr>
      </w:pPr>
      <w:r w:rsidRPr="00102DBC">
        <w:rPr>
          <w:i/>
          <w:iCs/>
        </w:rPr>
        <w:t xml:space="preserve">Kidney and Urinary Tract Infections, Major Complexity (L63A) </w:t>
      </w:r>
      <w:r w:rsidRPr="00102DBC">
        <w:t>(2.3%).</w:t>
      </w:r>
    </w:p>
    <w:p w14:paraId="377FDCA7" w14:textId="77777777" w:rsidR="00C70E35" w:rsidRPr="00C70E35" w:rsidRDefault="00C70E35" w:rsidP="007C0EA9">
      <w:pPr>
        <w:pStyle w:val="Heading2"/>
      </w:pPr>
      <w:bookmarkStart w:id="45" w:name="_Toc187133198"/>
      <w:bookmarkStart w:id="46" w:name="_Toc187313278"/>
      <w:bookmarkStart w:id="47" w:name="_Toc203549626"/>
      <w:bookmarkStart w:id="48" w:name="_Toc206495288"/>
      <w:r w:rsidRPr="00C70E35">
        <w:t>Trends over time</w:t>
      </w:r>
      <w:bookmarkEnd w:id="45"/>
      <w:bookmarkEnd w:id="46"/>
      <w:bookmarkEnd w:id="47"/>
      <w:bookmarkEnd w:id="48"/>
    </w:p>
    <w:p w14:paraId="3F40B9C6" w14:textId="0F17411E" w:rsidR="00C70E35" w:rsidRPr="00C70E35" w:rsidRDefault="00C70E35" w:rsidP="00C70E35">
      <w:r w:rsidRPr="00C70E35">
        <w:t>While the top 3 sepsis diagnosis codes remained the same, proportion of sepsis separations accounted for by the top 2 increased over time (</w:t>
      </w:r>
      <w:hyperlink w:anchor="_Table_8._Health" w:history="1">
        <w:r w:rsidRPr="00C70E35">
          <w:rPr>
            <w:rStyle w:val="Hyperlink"/>
          </w:rPr>
          <w:t>Table 8</w:t>
        </w:r>
      </w:hyperlink>
      <w:r w:rsidRPr="00C70E35">
        <w:t>):</w:t>
      </w:r>
    </w:p>
    <w:p w14:paraId="3123C93B" w14:textId="77777777" w:rsidR="00C70E35" w:rsidRPr="00C70E35" w:rsidRDefault="00C70E35" w:rsidP="008E5623">
      <w:pPr>
        <w:numPr>
          <w:ilvl w:val="0"/>
          <w:numId w:val="19"/>
        </w:numPr>
      </w:pPr>
      <w:r w:rsidRPr="00C70E35">
        <w:t xml:space="preserve">most common diagnosis was </w:t>
      </w:r>
      <w:r w:rsidRPr="00C70E35">
        <w:rPr>
          <w:i/>
          <w:iCs/>
        </w:rPr>
        <w:t>Sepsis, unspecified (A419)</w:t>
      </w:r>
    </w:p>
    <w:p w14:paraId="44EBB047" w14:textId="77777777" w:rsidR="00C70E35" w:rsidRPr="00C70E35" w:rsidRDefault="00C70E35" w:rsidP="008E5623">
      <w:pPr>
        <w:numPr>
          <w:ilvl w:val="1"/>
          <w:numId w:val="19"/>
        </w:numPr>
      </w:pPr>
      <w:r w:rsidRPr="00C70E35">
        <w:t>increased for sepsis separations, from 43.6% in 2013-14 to 60.7% in 2022-23</w:t>
      </w:r>
    </w:p>
    <w:p w14:paraId="20D67773" w14:textId="77777777" w:rsidR="00C70E35" w:rsidRPr="00C70E35" w:rsidRDefault="00C70E35" w:rsidP="008E5623">
      <w:pPr>
        <w:numPr>
          <w:ilvl w:val="0"/>
          <w:numId w:val="19"/>
        </w:numPr>
      </w:pPr>
      <w:r w:rsidRPr="00C70E35">
        <w:t xml:space="preserve">second most common was </w:t>
      </w:r>
      <w:r w:rsidRPr="00C70E35">
        <w:rPr>
          <w:i/>
          <w:iCs/>
        </w:rPr>
        <w:t>Septic shock (R572)</w:t>
      </w:r>
    </w:p>
    <w:p w14:paraId="5EB14095" w14:textId="77777777" w:rsidR="00C70E35" w:rsidRPr="00C70E35" w:rsidRDefault="00C70E35" w:rsidP="008E5623">
      <w:pPr>
        <w:numPr>
          <w:ilvl w:val="1"/>
          <w:numId w:val="19"/>
        </w:numPr>
      </w:pPr>
      <w:r w:rsidRPr="00C70E35">
        <w:t>increased for sepsis separations, from 14.6% in 2013-14 to 21.9% in 2022-23</w:t>
      </w:r>
    </w:p>
    <w:p w14:paraId="51076ABF" w14:textId="77777777" w:rsidR="00C70E35" w:rsidRPr="00C70E35" w:rsidRDefault="00C70E35" w:rsidP="008E5623">
      <w:pPr>
        <w:numPr>
          <w:ilvl w:val="0"/>
          <w:numId w:val="19"/>
        </w:numPr>
      </w:pPr>
      <w:r w:rsidRPr="00C70E35">
        <w:t xml:space="preserve">in third place was </w:t>
      </w:r>
      <w:r w:rsidRPr="00C70E35">
        <w:rPr>
          <w:i/>
          <w:iCs/>
        </w:rPr>
        <w:t>Sepsis due to Escherichia coli [E. Coli] (A4151)</w:t>
      </w:r>
    </w:p>
    <w:p w14:paraId="2496FA54" w14:textId="77777777" w:rsidR="00C70E35" w:rsidRPr="00C70E35" w:rsidRDefault="00C70E35" w:rsidP="008E5623">
      <w:pPr>
        <w:numPr>
          <w:ilvl w:val="1"/>
          <w:numId w:val="19"/>
        </w:numPr>
      </w:pPr>
      <w:r w:rsidRPr="00C70E35">
        <w:t>decreased from 11.4% in 2013-14 to 9.9% 2022-23 in the sepsis group.</w:t>
      </w:r>
    </w:p>
    <w:p w14:paraId="4F0E334B" w14:textId="77777777" w:rsidR="00C70E35" w:rsidRPr="00C70E35" w:rsidRDefault="00C70E35" w:rsidP="00C70E35">
      <w:r w:rsidRPr="00C70E35">
        <w:t>The following showed minor changes between earliest to latest analysis periods (</w:t>
      </w:r>
      <w:hyperlink w:anchor="_Table_8._Health" w:history="1">
        <w:r w:rsidRPr="00C70E35">
          <w:rPr>
            <w:rStyle w:val="Hyperlink"/>
          </w:rPr>
          <w:t>Table 8</w:t>
        </w:r>
      </w:hyperlink>
      <w:r w:rsidRPr="00C70E35">
        <w:t>):</w:t>
      </w:r>
    </w:p>
    <w:p w14:paraId="6ED2A8B9" w14:textId="1BF9210D" w:rsidR="00C70E35" w:rsidRPr="00C70E35" w:rsidRDefault="00C70E35" w:rsidP="008E5623">
      <w:pPr>
        <w:numPr>
          <w:ilvl w:val="0"/>
          <w:numId w:val="20"/>
        </w:numPr>
      </w:pPr>
      <w:r w:rsidRPr="00C70E35">
        <w:t>age and sex adjusted rates (</w:t>
      </w:r>
      <w:r w:rsidRPr="00C70E35">
        <w:rPr>
          <w:b/>
          <w:bCs/>
        </w:rPr>
        <w:t xml:space="preserve">Figure </w:t>
      </w:r>
      <w:r w:rsidR="00DB74B6">
        <w:rPr>
          <w:b/>
          <w:bCs/>
        </w:rPr>
        <w:t>2</w:t>
      </w:r>
      <w:r w:rsidRPr="00C70E35">
        <w:t>)</w:t>
      </w:r>
    </w:p>
    <w:p w14:paraId="229FB14D" w14:textId="77777777" w:rsidR="00C70E35" w:rsidRPr="00C70E35" w:rsidRDefault="00C70E35" w:rsidP="008E5623">
      <w:pPr>
        <w:numPr>
          <w:ilvl w:val="1"/>
          <w:numId w:val="20"/>
        </w:numPr>
      </w:pPr>
      <w:r w:rsidRPr="00C70E35">
        <w:t>from 26 to 27 per 10,000 population for sepsis separations, though middle years (2015-16 to 2019-20) were almost 50% higher</w:t>
      </w:r>
    </w:p>
    <w:p w14:paraId="6361A69F" w14:textId="77777777" w:rsidR="00C70E35" w:rsidRPr="00C70E35" w:rsidRDefault="00C70E35" w:rsidP="008E5623">
      <w:pPr>
        <w:numPr>
          <w:ilvl w:val="1"/>
          <w:numId w:val="20"/>
        </w:numPr>
      </w:pPr>
      <w:r w:rsidRPr="00C70E35">
        <w:t>8 to 7 per 10,000 population for 30-day post-sepsis readmissions</w:t>
      </w:r>
    </w:p>
    <w:p w14:paraId="3441FED3" w14:textId="77777777" w:rsidR="00C70E35" w:rsidRPr="00C70E35" w:rsidRDefault="00C70E35" w:rsidP="00C70E35">
      <w:r w:rsidRPr="00C70E35">
        <w:t>10 to 8 per 10,000 population for 30-day pre-sepsis separations.</w:t>
      </w:r>
    </w:p>
    <w:p w14:paraId="47207DA5" w14:textId="3007DFDC" w:rsidR="006A768B" w:rsidRDefault="006A768B"/>
    <w:p w14:paraId="5C2214AB" w14:textId="77777777" w:rsidR="00380698" w:rsidRPr="004C26A5" w:rsidRDefault="00380698" w:rsidP="00380698">
      <w:pPr>
        <w:pStyle w:val="Caption"/>
        <w:ind w:left="0" w:firstLine="0"/>
      </w:pPr>
      <w:r w:rsidRPr="004C26A5">
        <w:t>Rate per 100,000 population, age and sex standardised</w:t>
      </w:r>
    </w:p>
    <w:p w14:paraId="697DE90F" w14:textId="169C196B" w:rsidR="006A768B" w:rsidRDefault="00CF3753" w:rsidP="00380698">
      <w:pPr>
        <w:pStyle w:val="Caption"/>
        <w:numPr>
          <w:ilvl w:val="0"/>
          <w:numId w:val="0"/>
        </w:numPr>
        <w:ind w:left="357"/>
      </w:pPr>
      <w:r>
        <w:rPr>
          <w:noProof/>
        </w:rPr>
        <mc:AlternateContent>
          <mc:Choice Requires="wps">
            <w:drawing>
              <wp:anchor distT="45720" distB="45720" distL="114300" distR="114300" simplePos="0" relativeHeight="251686912" behindDoc="0" locked="0" layoutInCell="1" allowOverlap="1" wp14:anchorId="6B3BF95F" wp14:editId="628B5752">
                <wp:simplePos x="0" y="0"/>
                <wp:positionH relativeFrom="column">
                  <wp:posOffset>-354842</wp:posOffset>
                </wp:positionH>
                <wp:positionV relativeFrom="paragraph">
                  <wp:posOffset>2677956</wp:posOffset>
                </wp:positionV>
                <wp:extent cx="6619875" cy="361950"/>
                <wp:effectExtent l="0" t="0" r="9525" b="0"/>
                <wp:wrapSquare wrapText="bothSides"/>
                <wp:docPr id="689028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61950"/>
                        </a:xfrm>
                        <a:prstGeom prst="rect">
                          <a:avLst/>
                        </a:prstGeom>
                        <a:solidFill>
                          <a:srgbClr val="FFFFFF"/>
                        </a:solidFill>
                        <a:ln w="9525">
                          <a:noFill/>
                          <a:miter lim="800000"/>
                          <a:headEnd/>
                          <a:tailEnd/>
                        </a:ln>
                      </wps:spPr>
                      <wps:txbx>
                        <w:txbxContent>
                          <w:p w14:paraId="2B2F9354" w14:textId="77777777" w:rsidR="00CF3753" w:rsidRDefault="00CF3753" w:rsidP="00CF3753">
                            <w:r w:rsidRPr="008201C0">
                              <w:rPr>
                                <w:sz w:val="20"/>
                                <w:szCs w:val="20"/>
                              </w:rPr>
                              <w:t>alt= “</w:t>
                            </w:r>
                            <w:r>
                              <w:rPr>
                                <w:sz w:val="20"/>
                                <w:szCs w:val="20"/>
                              </w:rPr>
                              <w:t>age and sex adjusted pre-sepsis, sepsis and post-sepsis separations between 2013-14 and 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F95F" id="_x0000_s1028" type="#_x0000_t202" style="position:absolute;left:0;text-align:left;margin-left:-27.95pt;margin-top:210.85pt;width:521.25pt;height:2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0NEQIAAP0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" stroked="f">
                <v:textbox>
                  <w:txbxContent>
                    <w:p w14:paraId="2B2F9354" w14:textId="77777777" w:rsidR="00CF3753" w:rsidRDefault="00CF3753" w:rsidP="00CF3753">
                      <w:r w:rsidRPr="008201C0">
                        <w:rPr>
                          <w:sz w:val="20"/>
                          <w:szCs w:val="20"/>
                        </w:rPr>
                        <w:t>alt= “</w:t>
                      </w:r>
                      <w:r>
                        <w:rPr>
                          <w:sz w:val="20"/>
                          <w:szCs w:val="20"/>
                        </w:rPr>
                        <w:t>age and sex adjusted pre-sepsis, sepsis and post-sepsis separations between 2013-14 and 2022-2023”.</w:t>
                      </w:r>
                    </w:p>
                  </w:txbxContent>
                </v:textbox>
                <w10:wrap type="square"/>
              </v:shape>
            </w:pict>
          </mc:Fallback>
        </mc:AlternateContent>
      </w:r>
      <w:r w:rsidR="00D8271A">
        <w:rPr>
          <w:noProof/>
        </w:rPr>
        <w:drawing>
          <wp:inline distT="0" distB="0" distL="0" distR="0" wp14:anchorId="70142974" wp14:editId="156FE1B6">
            <wp:extent cx="5192827" cy="2527540"/>
            <wp:effectExtent l="0" t="0" r="8255" b="6350"/>
            <wp:docPr id="1607249661" name="Chart 1">
              <a:extLst xmlns:a="http://schemas.openxmlformats.org/drawingml/2006/main">
                <a:ext uri="{FF2B5EF4-FFF2-40B4-BE49-F238E27FC236}">
                  <a16:creationId xmlns:a16="http://schemas.microsoft.com/office/drawing/2014/main" id="{21D0C07E-97C8-1B1A-4977-E4381ABE9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D311F6" w14:textId="03B054FC" w:rsidR="006A768B" w:rsidRDefault="006A768B"/>
    <w:p w14:paraId="100D91C4" w14:textId="1D4C63C4" w:rsidR="006A768B" w:rsidRDefault="006A768B"/>
    <w:p w14:paraId="3ED5CAFF" w14:textId="77777777" w:rsidR="006A768B" w:rsidRDefault="006A768B"/>
    <w:p w14:paraId="543420E9" w14:textId="6CD1EEA1" w:rsidR="004702B9" w:rsidRPr="004702B9" w:rsidRDefault="004702B9" w:rsidP="008E5623">
      <w:pPr>
        <w:keepNext/>
        <w:numPr>
          <w:ilvl w:val="0"/>
          <w:numId w:val="19"/>
        </w:numPr>
        <w:spacing w:before="0" w:after="160" w:line="259" w:lineRule="auto"/>
        <w:ind w:hanging="357"/>
        <w:contextualSpacing/>
        <w:rPr>
          <w:rFonts w:eastAsia="Times New Roman"/>
          <w:color w:val="auto"/>
          <w:lang w:eastAsia="en-AU"/>
        </w:rPr>
      </w:pPr>
      <w:r w:rsidRPr="004702B9">
        <w:rPr>
          <w:rFonts w:eastAsia="Times New Roman"/>
          <w:color w:val="auto"/>
          <w:lang w:eastAsia="en-AU"/>
        </w:rPr>
        <w:lastRenderedPageBreak/>
        <w:t>in-hospital mortality (</w:t>
      </w:r>
      <w:r w:rsidRPr="004702B9">
        <w:rPr>
          <w:rFonts w:eastAsia="Times New Roman"/>
          <w:b/>
          <w:bCs/>
          <w:color w:val="auto"/>
          <w:lang w:eastAsia="en-AU"/>
        </w:rPr>
        <w:t xml:space="preserve">Figure </w:t>
      </w:r>
      <w:r w:rsidR="00DB74B6">
        <w:rPr>
          <w:rFonts w:eastAsia="Times New Roman"/>
          <w:b/>
          <w:bCs/>
          <w:color w:val="auto"/>
          <w:lang w:eastAsia="en-AU"/>
        </w:rPr>
        <w:t>3</w:t>
      </w:r>
      <w:r w:rsidRPr="004702B9">
        <w:rPr>
          <w:rFonts w:eastAsia="Times New Roman"/>
          <w:color w:val="auto"/>
          <w:lang w:eastAsia="en-AU"/>
        </w:rPr>
        <w:t>):</w:t>
      </w:r>
    </w:p>
    <w:p w14:paraId="6EDF7843" w14:textId="77777777" w:rsidR="004702B9" w:rsidRPr="004702B9" w:rsidRDefault="004702B9" w:rsidP="008E5623">
      <w:pPr>
        <w:keepNext/>
        <w:numPr>
          <w:ilvl w:val="1"/>
          <w:numId w:val="19"/>
        </w:numPr>
        <w:spacing w:before="0" w:after="160" w:line="259" w:lineRule="auto"/>
        <w:ind w:hanging="357"/>
        <w:contextualSpacing/>
        <w:rPr>
          <w:rFonts w:eastAsia="Times New Roman"/>
          <w:color w:val="auto"/>
          <w:lang w:eastAsia="en-AU"/>
        </w:rPr>
      </w:pPr>
      <w:r w:rsidRPr="004702B9">
        <w:rPr>
          <w:rFonts w:eastAsia="Times New Roman"/>
          <w:color w:val="auto"/>
          <w:lang w:eastAsia="en-AU"/>
        </w:rPr>
        <w:t>13.2% to 14.5% for sepsis separations</w:t>
      </w:r>
    </w:p>
    <w:p w14:paraId="0E159894" w14:textId="77777777" w:rsidR="004702B9" w:rsidRPr="004702B9" w:rsidRDefault="004702B9" w:rsidP="008E5623">
      <w:pPr>
        <w:keepNext/>
        <w:numPr>
          <w:ilvl w:val="1"/>
          <w:numId w:val="19"/>
        </w:numPr>
        <w:spacing w:before="0" w:after="160" w:line="259" w:lineRule="auto"/>
        <w:ind w:hanging="357"/>
        <w:contextualSpacing/>
        <w:rPr>
          <w:rFonts w:eastAsia="Times New Roman"/>
          <w:color w:val="auto"/>
          <w:lang w:eastAsia="en-AU"/>
        </w:rPr>
      </w:pPr>
      <w:r w:rsidRPr="004702B9">
        <w:rPr>
          <w:rFonts w:eastAsia="Times New Roman"/>
          <w:color w:val="auto"/>
          <w:lang w:eastAsia="en-AU"/>
        </w:rPr>
        <w:t>4.5% to 4.7% for 30-day post-sepsis readmissions.</w:t>
      </w:r>
    </w:p>
    <w:p w14:paraId="395FBB09" w14:textId="02887436" w:rsidR="004702B9" w:rsidRDefault="004702B9" w:rsidP="004702B9">
      <w:pPr>
        <w:pStyle w:val="Caption"/>
      </w:pPr>
      <w:r>
        <w:t>In-hospital mortality (%)</w:t>
      </w:r>
    </w:p>
    <w:p w14:paraId="51B8C32A" w14:textId="47DEDB03" w:rsidR="006A768B" w:rsidRDefault="005D02E1">
      <w:r>
        <w:rPr>
          <w:noProof/>
        </w:rPr>
        <mc:AlternateContent>
          <mc:Choice Requires="wps">
            <w:drawing>
              <wp:anchor distT="45720" distB="45720" distL="114300" distR="114300" simplePos="0" relativeHeight="251688960" behindDoc="0" locked="0" layoutInCell="1" allowOverlap="1" wp14:anchorId="6DF69423" wp14:editId="26916E6A">
                <wp:simplePos x="0" y="0"/>
                <wp:positionH relativeFrom="margin">
                  <wp:posOffset>-441363</wp:posOffset>
                </wp:positionH>
                <wp:positionV relativeFrom="paragraph">
                  <wp:posOffset>2986035</wp:posOffset>
                </wp:positionV>
                <wp:extent cx="6687185" cy="344805"/>
                <wp:effectExtent l="0" t="0" r="0" b="0"/>
                <wp:wrapSquare wrapText="bothSides"/>
                <wp:docPr id="2147195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344805"/>
                        </a:xfrm>
                        <a:prstGeom prst="rect">
                          <a:avLst/>
                        </a:prstGeom>
                        <a:solidFill>
                          <a:srgbClr val="FFFFFF"/>
                        </a:solidFill>
                        <a:ln w="9525">
                          <a:noFill/>
                          <a:miter lim="800000"/>
                          <a:headEnd/>
                          <a:tailEnd/>
                        </a:ln>
                      </wps:spPr>
                      <wps:txbx>
                        <w:txbxContent>
                          <w:p w14:paraId="108E9482" w14:textId="77777777" w:rsidR="005D02E1" w:rsidRDefault="005D02E1" w:rsidP="005D02E1">
                            <w:r w:rsidRPr="008201C0">
                              <w:rPr>
                                <w:sz w:val="20"/>
                                <w:szCs w:val="20"/>
                              </w:rPr>
                              <w:t>alt= “</w:t>
                            </w:r>
                            <w:r>
                              <w:rPr>
                                <w:sz w:val="20"/>
                                <w:szCs w:val="20"/>
                              </w:rPr>
                              <w:t>percentage of in-hospital mortality for sepsis and post-sepsis separations between 2013-14 and 2022-23</w:t>
                            </w:r>
                            <w:r w:rsidRPr="008201C0">
                              <w:rPr>
                                <w:sz w:val="20"/>
                                <w:szCs w:val="20"/>
                              </w:rPr>
                              <w: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69423" id="_x0000_s1029" type="#_x0000_t202" style="position:absolute;margin-left:-34.75pt;margin-top:235.1pt;width:526.55pt;height:27.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" stroked="f">
                <v:textbox>
                  <w:txbxContent>
                    <w:p w14:paraId="108E9482" w14:textId="77777777" w:rsidR="005D02E1" w:rsidRDefault="005D02E1" w:rsidP="005D02E1">
                      <w:r w:rsidRPr="008201C0">
                        <w:rPr>
                          <w:sz w:val="20"/>
                          <w:szCs w:val="20"/>
                        </w:rPr>
                        <w:t>alt= “</w:t>
                      </w:r>
                      <w:r>
                        <w:rPr>
                          <w:sz w:val="20"/>
                          <w:szCs w:val="20"/>
                        </w:rPr>
                        <w:t>percentage of in-hospital mortality for sepsis and post-sepsis separations between 2013-14 and 2022-23</w:t>
                      </w:r>
                      <w:r w:rsidRPr="008201C0">
                        <w:rPr>
                          <w:sz w:val="20"/>
                          <w:szCs w:val="20"/>
                        </w:rPr>
                        <w:t>”</w:t>
                      </w:r>
                      <w:r>
                        <w:rPr>
                          <w:sz w:val="20"/>
                          <w:szCs w:val="20"/>
                        </w:rPr>
                        <w:t>.</w:t>
                      </w:r>
                    </w:p>
                  </w:txbxContent>
                </v:textbox>
                <w10:wrap type="square" anchorx="margin"/>
              </v:shape>
            </w:pict>
          </mc:Fallback>
        </mc:AlternateContent>
      </w:r>
      <w:r w:rsidR="005E3316">
        <w:rPr>
          <w:noProof/>
        </w:rPr>
        <w:drawing>
          <wp:inline distT="0" distB="0" distL="0" distR="0" wp14:anchorId="4999622F" wp14:editId="6257F920">
            <wp:extent cx="5477773" cy="2803585"/>
            <wp:effectExtent l="0" t="0" r="8890" b="0"/>
            <wp:docPr id="166887304" name="Chart 1">
              <a:extLst xmlns:a="http://schemas.openxmlformats.org/drawingml/2006/main">
                <a:ext uri="{FF2B5EF4-FFF2-40B4-BE49-F238E27FC236}">
                  <a16:creationId xmlns:a16="http://schemas.microsoft.com/office/drawing/2014/main" id="{8E57B29C-C07F-C09F-ACCA-5632A4BFA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59682E" w14:textId="77777777" w:rsidR="006A768B" w:rsidRDefault="006A768B"/>
    <w:p w14:paraId="2182ACB2" w14:textId="0F0ACFC4" w:rsidR="006A768B" w:rsidRPr="00C9172B" w:rsidRDefault="00696921" w:rsidP="008E5623">
      <w:pPr>
        <w:numPr>
          <w:ilvl w:val="0"/>
          <w:numId w:val="19"/>
        </w:numPr>
        <w:spacing w:before="0" w:after="160" w:line="259" w:lineRule="auto"/>
        <w:contextualSpacing/>
      </w:pPr>
      <w:r w:rsidRPr="00696921">
        <w:rPr>
          <w:rFonts w:eastAsia="Times New Roman"/>
          <w:color w:val="auto"/>
          <w:lang w:eastAsia="en-AU"/>
        </w:rPr>
        <w:t>average length of stay (</w:t>
      </w:r>
      <w:r w:rsidRPr="00696921">
        <w:rPr>
          <w:rFonts w:eastAsia="Times New Roman"/>
          <w:b/>
          <w:bCs/>
          <w:color w:val="auto"/>
          <w:lang w:eastAsia="en-AU"/>
        </w:rPr>
        <w:t xml:space="preserve">Figure </w:t>
      </w:r>
      <w:r w:rsidR="00DB74B6">
        <w:rPr>
          <w:rFonts w:eastAsia="Times New Roman"/>
          <w:b/>
          <w:bCs/>
          <w:color w:val="auto"/>
          <w:lang w:eastAsia="en-AU"/>
        </w:rPr>
        <w:t>4</w:t>
      </w:r>
      <w:r w:rsidRPr="00696921">
        <w:rPr>
          <w:rFonts w:eastAsia="Times New Roman"/>
          <w:color w:val="auto"/>
          <w:lang w:eastAsia="en-AU"/>
        </w:rPr>
        <w:t>):</w:t>
      </w:r>
    </w:p>
    <w:p w14:paraId="4D038921" w14:textId="77777777" w:rsidR="00C9172B" w:rsidRDefault="00C9172B" w:rsidP="008E5623">
      <w:pPr>
        <w:pStyle w:val="ListParagraph"/>
        <w:numPr>
          <w:ilvl w:val="1"/>
          <w:numId w:val="19"/>
        </w:numPr>
        <w:spacing w:before="0" w:after="160" w:line="259" w:lineRule="auto"/>
      </w:pPr>
      <w:r>
        <w:t>13 days for sepsis separations</w:t>
      </w:r>
    </w:p>
    <w:p w14:paraId="1BB0A044" w14:textId="77777777" w:rsidR="00C9172B" w:rsidRDefault="00C9172B" w:rsidP="008E5623">
      <w:pPr>
        <w:pStyle w:val="ListParagraph"/>
        <w:numPr>
          <w:ilvl w:val="1"/>
          <w:numId w:val="19"/>
        </w:numPr>
        <w:spacing w:before="0" w:after="160" w:line="259" w:lineRule="auto"/>
      </w:pPr>
      <w:r>
        <w:t>9 to 8 days for 30-day post-sepsis readmissions</w:t>
      </w:r>
    </w:p>
    <w:p w14:paraId="62010C0B" w14:textId="77777777" w:rsidR="00C9172B" w:rsidRDefault="00C9172B" w:rsidP="008E5623">
      <w:pPr>
        <w:pStyle w:val="ListParagraph"/>
        <w:numPr>
          <w:ilvl w:val="1"/>
          <w:numId w:val="19"/>
        </w:numPr>
        <w:spacing w:before="0" w:after="160" w:line="259" w:lineRule="auto"/>
      </w:pPr>
      <w:r>
        <w:t>7 days for 30-day pre-sepsis separations.</w:t>
      </w:r>
    </w:p>
    <w:p w14:paraId="75B9361B" w14:textId="70CE96D6" w:rsidR="00C9172B" w:rsidRDefault="009E4E09" w:rsidP="00C9172B">
      <w:pPr>
        <w:pStyle w:val="Caption"/>
      </w:pPr>
      <w:r>
        <w:t>Average length of stay in hospital</w:t>
      </w:r>
    </w:p>
    <w:p w14:paraId="4B6B9887" w14:textId="3C23B682" w:rsidR="006A768B" w:rsidRDefault="00BF4AC2">
      <w:r>
        <w:rPr>
          <w:noProof/>
        </w:rPr>
        <w:drawing>
          <wp:inline distT="0" distB="0" distL="0" distR="0" wp14:anchorId="411D6415" wp14:editId="41BF8073">
            <wp:extent cx="5479200" cy="2441276"/>
            <wp:effectExtent l="0" t="0" r="7620" b="0"/>
            <wp:docPr id="872790498" name="Chart 1">
              <a:extLst xmlns:a="http://schemas.openxmlformats.org/drawingml/2006/main">
                <a:ext uri="{FF2B5EF4-FFF2-40B4-BE49-F238E27FC236}">
                  <a16:creationId xmlns:a16="http://schemas.microsoft.com/office/drawing/2014/main" id="{7ABC3FC4-3EEE-6F7E-13E1-E6A37A33A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943B06" w14:textId="0B3BC1B4" w:rsidR="005D02E1" w:rsidRDefault="00D34844">
      <w:r>
        <w:rPr>
          <w:noProof/>
        </w:rPr>
        <mc:AlternateContent>
          <mc:Choice Requires="wps">
            <w:drawing>
              <wp:anchor distT="45720" distB="45720" distL="114300" distR="114300" simplePos="0" relativeHeight="251691008" behindDoc="0" locked="0" layoutInCell="1" allowOverlap="1" wp14:anchorId="00FB43A9" wp14:editId="0E82D376">
                <wp:simplePos x="0" y="0"/>
                <wp:positionH relativeFrom="margin">
                  <wp:align>center</wp:align>
                </wp:positionH>
                <wp:positionV relativeFrom="paragraph">
                  <wp:posOffset>219274</wp:posOffset>
                </wp:positionV>
                <wp:extent cx="6724650" cy="361950"/>
                <wp:effectExtent l="0" t="0" r="0" b="0"/>
                <wp:wrapSquare wrapText="bothSides"/>
                <wp:docPr id="1408484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61950"/>
                        </a:xfrm>
                        <a:prstGeom prst="rect">
                          <a:avLst/>
                        </a:prstGeom>
                        <a:solidFill>
                          <a:srgbClr val="FFFFFF"/>
                        </a:solidFill>
                        <a:ln w="9525">
                          <a:noFill/>
                          <a:miter lim="800000"/>
                          <a:headEnd/>
                          <a:tailEnd/>
                        </a:ln>
                      </wps:spPr>
                      <wps:txbx>
                        <w:txbxContent>
                          <w:p w14:paraId="43C70644" w14:textId="77777777" w:rsidR="00D34844" w:rsidRDefault="00D34844" w:rsidP="00D34844">
                            <w:r w:rsidRPr="008201C0">
                              <w:rPr>
                                <w:sz w:val="20"/>
                                <w:szCs w:val="20"/>
                              </w:rPr>
                              <w:t>alt= “</w:t>
                            </w:r>
                            <w:r>
                              <w:rPr>
                                <w:sz w:val="20"/>
                                <w:szCs w:val="20"/>
                              </w:rPr>
                              <w:t>Average length of stay (days) pre-sepsis, sepsis and post-sepsis separations between 2013-14 and 2022-23</w:t>
                            </w:r>
                            <w:r w:rsidRPr="008201C0">
                              <w:rPr>
                                <w:sz w:val="20"/>
                                <w:szCs w:val="20"/>
                              </w:rPr>
                              <w: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B43A9" id="_x0000_s1030" type="#_x0000_t202" style="position:absolute;margin-left:0;margin-top:17.25pt;width:529.5pt;height:28.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uIEA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" stroked="f">
                <v:textbox>
                  <w:txbxContent>
                    <w:p w14:paraId="43C70644" w14:textId="77777777" w:rsidR="00D34844" w:rsidRDefault="00D34844" w:rsidP="00D34844">
                      <w:r w:rsidRPr="008201C0">
                        <w:rPr>
                          <w:sz w:val="20"/>
                          <w:szCs w:val="20"/>
                        </w:rPr>
                        <w:t>alt= “</w:t>
                      </w:r>
                      <w:r>
                        <w:rPr>
                          <w:sz w:val="20"/>
                          <w:szCs w:val="20"/>
                        </w:rPr>
                        <w:t>Average length of stay (days) pre-sepsis, sepsis and post-sepsis separations between 2013-14 and 2022-23</w:t>
                      </w:r>
                      <w:r w:rsidRPr="008201C0">
                        <w:rPr>
                          <w:sz w:val="20"/>
                          <w:szCs w:val="20"/>
                        </w:rPr>
                        <w:t>”</w:t>
                      </w:r>
                      <w:r>
                        <w:rPr>
                          <w:sz w:val="20"/>
                          <w:szCs w:val="20"/>
                        </w:rPr>
                        <w:t>.</w:t>
                      </w:r>
                    </w:p>
                  </w:txbxContent>
                </v:textbox>
                <w10:wrap type="square" anchorx="margin"/>
              </v:shape>
            </w:pict>
          </mc:Fallback>
        </mc:AlternateContent>
      </w:r>
    </w:p>
    <w:p w14:paraId="7C97AED5" w14:textId="053CDECB" w:rsidR="005D02E1" w:rsidRDefault="005D02E1"/>
    <w:p w14:paraId="64F49F3F" w14:textId="4B4D7158" w:rsidR="009240E0" w:rsidRPr="00602753" w:rsidRDefault="00602753" w:rsidP="008E5623">
      <w:pPr>
        <w:numPr>
          <w:ilvl w:val="0"/>
          <w:numId w:val="19"/>
        </w:numPr>
        <w:spacing w:before="0" w:after="160" w:line="259" w:lineRule="auto"/>
        <w:contextualSpacing/>
        <w:rPr>
          <w:rFonts w:eastAsia="Times New Roman"/>
          <w:color w:val="auto"/>
          <w:lang w:eastAsia="en-AU"/>
        </w:rPr>
      </w:pPr>
      <w:r w:rsidRPr="00602753">
        <w:rPr>
          <w:rFonts w:eastAsia="Times New Roman"/>
          <w:color w:val="auto"/>
          <w:lang w:eastAsia="en-AU"/>
        </w:rPr>
        <w:t>admission to ICU (</w:t>
      </w:r>
      <w:r w:rsidRPr="00602753">
        <w:rPr>
          <w:rFonts w:eastAsia="Times New Roman"/>
          <w:b/>
          <w:bCs/>
          <w:color w:val="auto"/>
          <w:lang w:eastAsia="en-AU"/>
        </w:rPr>
        <w:t xml:space="preserve">Figure </w:t>
      </w:r>
      <w:r w:rsidR="00DB74B6">
        <w:rPr>
          <w:rFonts w:eastAsia="Times New Roman"/>
          <w:b/>
          <w:bCs/>
          <w:color w:val="auto"/>
          <w:lang w:eastAsia="en-AU"/>
        </w:rPr>
        <w:t>5</w:t>
      </w:r>
      <w:r w:rsidRPr="00602753">
        <w:rPr>
          <w:rFonts w:eastAsia="Times New Roman"/>
          <w:color w:val="auto"/>
          <w:lang w:eastAsia="en-AU"/>
        </w:rPr>
        <w:t>):</w:t>
      </w:r>
    </w:p>
    <w:p w14:paraId="427A4A2B" w14:textId="77777777" w:rsidR="009240E0" w:rsidRPr="009240E0" w:rsidRDefault="009240E0" w:rsidP="008E5623">
      <w:pPr>
        <w:numPr>
          <w:ilvl w:val="1"/>
          <w:numId w:val="19"/>
        </w:numPr>
        <w:spacing w:before="0" w:after="160" w:line="259" w:lineRule="auto"/>
        <w:contextualSpacing/>
        <w:rPr>
          <w:rFonts w:eastAsia="Times New Roman"/>
          <w:color w:val="auto"/>
          <w:lang w:eastAsia="en-AU"/>
        </w:rPr>
      </w:pPr>
      <w:r w:rsidRPr="009240E0">
        <w:rPr>
          <w:rFonts w:eastAsia="Times New Roman"/>
          <w:color w:val="auto"/>
          <w:lang w:eastAsia="en-AU"/>
        </w:rPr>
        <w:t>10.6% to 12.0% for 30-day post-sepsis readmissions</w:t>
      </w:r>
    </w:p>
    <w:p w14:paraId="687C3ACC" w14:textId="77777777" w:rsidR="009240E0" w:rsidRPr="009240E0" w:rsidRDefault="009240E0" w:rsidP="008E5623">
      <w:pPr>
        <w:numPr>
          <w:ilvl w:val="1"/>
          <w:numId w:val="19"/>
        </w:numPr>
        <w:spacing w:before="0" w:after="160" w:line="259" w:lineRule="auto"/>
        <w:contextualSpacing/>
        <w:rPr>
          <w:rFonts w:eastAsia="Times New Roman"/>
          <w:color w:val="auto"/>
          <w:lang w:eastAsia="en-AU"/>
        </w:rPr>
      </w:pPr>
      <w:r w:rsidRPr="009240E0">
        <w:rPr>
          <w:rFonts w:eastAsia="Times New Roman"/>
          <w:color w:val="auto"/>
          <w:lang w:eastAsia="en-AU"/>
        </w:rPr>
        <w:t xml:space="preserve">7.9% to 9.4% for 30-day </w:t>
      </w:r>
      <w:r w:rsidRPr="009240E0">
        <w:rPr>
          <w:rFonts w:eastAsia="Times New Roman"/>
          <w:color w:val="auto"/>
          <w:vertAlign w:val="superscript"/>
          <w:lang w:eastAsia="en-AU"/>
        </w:rPr>
        <w:endnoteReference w:id="1"/>
      </w:r>
      <w:r w:rsidRPr="009240E0">
        <w:rPr>
          <w:rFonts w:eastAsia="Times New Roman"/>
          <w:color w:val="auto"/>
          <w:lang w:eastAsia="en-AU"/>
        </w:rPr>
        <w:t>pre-sepsis separations.</w:t>
      </w:r>
    </w:p>
    <w:p w14:paraId="00E88286" w14:textId="77777777" w:rsidR="009240E0" w:rsidRPr="009240E0" w:rsidRDefault="009240E0" w:rsidP="009240E0">
      <w:r w:rsidRPr="009240E0">
        <w:t>The following outcomes showed more notable changes over time (</w:t>
      </w:r>
      <w:hyperlink w:anchor="_Table_8._Health" w:history="1">
        <w:r w:rsidRPr="009240E0">
          <w:rPr>
            <w:color w:val="282EA0"/>
            <w:u w:val="single"/>
          </w:rPr>
          <w:t>Table 8</w:t>
        </w:r>
      </w:hyperlink>
      <w:r w:rsidRPr="009240E0">
        <w:t>):</w:t>
      </w:r>
    </w:p>
    <w:p w14:paraId="72E3FD0F" w14:textId="77777777" w:rsidR="009240E0" w:rsidRPr="009240E0" w:rsidRDefault="009240E0" w:rsidP="008E5623">
      <w:pPr>
        <w:numPr>
          <w:ilvl w:val="0"/>
          <w:numId w:val="22"/>
        </w:numPr>
        <w:spacing w:before="0" w:after="160" w:line="259" w:lineRule="auto"/>
        <w:contextualSpacing/>
        <w:rPr>
          <w:rFonts w:eastAsia="Times New Roman"/>
          <w:color w:val="auto"/>
          <w:lang w:eastAsia="en-AU"/>
        </w:rPr>
      </w:pPr>
      <w:r w:rsidRPr="009240E0">
        <w:rPr>
          <w:rFonts w:eastAsia="Times New Roman"/>
          <w:color w:val="auto"/>
          <w:lang w:eastAsia="en-AU"/>
        </w:rPr>
        <w:t>estimated averaged cost increased:</w:t>
      </w:r>
    </w:p>
    <w:p w14:paraId="2F701300" w14:textId="77777777" w:rsidR="009240E0" w:rsidRPr="009240E0" w:rsidRDefault="009240E0" w:rsidP="008E5623">
      <w:pPr>
        <w:numPr>
          <w:ilvl w:val="1"/>
          <w:numId w:val="22"/>
        </w:numPr>
        <w:spacing w:before="0" w:after="160" w:line="259" w:lineRule="auto"/>
        <w:contextualSpacing/>
        <w:rPr>
          <w:rFonts w:eastAsia="Times New Roman"/>
          <w:color w:val="auto"/>
          <w:lang w:eastAsia="en-AU"/>
        </w:rPr>
      </w:pPr>
      <w:r w:rsidRPr="009240E0">
        <w:rPr>
          <w:rFonts w:eastAsia="Times New Roman"/>
          <w:color w:val="auto"/>
          <w:lang w:eastAsia="en-AU"/>
        </w:rPr>
        <w:t>by 50% for sepsis separations, from $20,934 in 2013-14 to $31,440 in 2022-23</w:t>
      </w:r>
    </w:p>
    <w:p w14:paraId="7995B140" w14:textId="77777777" w:rsidR="009240E0" w:rsidRPr="009240E0" w:rsidRDefault="009240E0" w:rsidP="008E5623">
      <w:pPr>
        <w:numPr>
          <w:ilvl w:val="1"/>
          <w:numId w:val="22"/>
        </w:numPr>
        <w:spacing w:before="0" w:after="160" w:line="259" w:lineRule="auto"/>
        <w:contextualSpacing/>
        <w:rPr>
          <w:rFonts w:eastAsia="Times New Roman"/>
          <w:color w:val="auto"/>
          <w:lang w:eastAsia="en-AU"/>
        </w:rPr>
      </w:pPr>
      <w:r w:rsidRPr="009240E0">
        <w:rPr>
          <w:rFonts w:eastAsia="Times New Roman"/>
          <w:color w:val="auto"/>
          <w:lang w:eastAsia="en-AU"/>
        </w:rPr>
        <w:t>by 22% for 30 day all cause readmissions following sepsis, from $14,748 in 2015-16 to $17,954 in 2022-23.</w:t>
      </w:r>
    </w:p>
    <w:p w14:paraId="7EBDE4AC" w14:textId="2CCF7246" w:rsidR="009240E0" w:rsidRPr="009240E0" w:rsidRDefault="009240E0" w:rsidP="008E5623">
      <w:pPr>
        <w:numPr>
          <w:ilvl w:val="0"/>
          <w:numId w:val="22"/>
        </w:numPr>
        <w:spacing w:before="0" w:after="160" w:line="259" w:lineRule="auto"/>
        <w:contextualSpacing/>
        <w:rPr>
          <w:rFonts w:eastAsia="Times New Roman"/>
          <w:color w:val="auto"/>
          <w:lang w:eastAsia="en-AU"/>
        </w:rPr>
      </w:pPr>
      <w:r w:rsidRPr="009240E0">
        <w:rPr>
          <w:rFonts w:eastAsia="Times New Roman"/>
          <w:color w:val="auto"/>
          <w:lang w:eastAsia="en-AU"/>
        </w:rPr>
        <w:t>admission to ICU for sepsis separations increased, from 24.0% in 2013-14 to 27.8% in 2022-23 (</w:t>
      </w:r>
      <w:r w:rsidRPr="009240E0">
        <w:rPr>
          <w:rFonts w:eastAsia="Times New Roman"/>
          <w:b/>
          <w:bCs/>
          <w:color w:val="auto"/>
          <w:lang w:eastAsia="en-AU"/>
        </w:rPr>
        <w:t xml:space="preserve">Figure </w:t>
      </w:r>
      <w:r w:rsidR="00DB74B6">
        <w:rPr>
          <w:rFonts w:eastAsia="Times New Roman"/>
          <w:b/>
          <w:bCs/>
          <w:color w:val="auto"/>
          <w:lang w:eastAsia="en-AU"/>
        </w:rPr>
        <w:t>5</w:t>
      </w:r>
      <w:r w:rsidRPr="009240E0">
        <w:rPr>
          <w:rFonts w:eastAsia="Times New Roman"/>
          <w:color w:val="auto"/>
          <w:lang w:eastAsia="en-AU"/>
        </w:rPr>
        <w:t>).</w:t>
      </w:r>
    </w:p>
    <w:p w14:paraId="468E6156" w14:textId="6659A419" w:rsidR="005D02E1" w:rsidRDefault="005F79E3" w:rsidP="005F79E3">
      <w:pPr>
        <w:pStyle w:val="Caption"/>
      </w:pPr>
      <w:r>
        <w:t>Admission to ICU (%)</w:t>
      </w:r>
    </w:p>
    <w:p w14:paraId="7178C616" w14:textId="359FB064" w:rsidR="008C03F4" w:rsidRPr="008C03F4" w:rsidRDefault="000D252C" w:rsidP="008C03F4">
      <w:r>
        <w:rPr>
          <w:noProof/>
        </w:rPr>
        <mc:AlternateContent>
          <mc:Choice Requires="wps">
            <w:drawing>
              <wp:anchor distT="45720" distB="45720" distL="114300" distR="114300" simplePos="0" relativeHeight="251693056" behindDoc="0" locked="0" layoutInCell="1" allowOverlap="1" wp14:anchorId="30E8A423" wp14:editId="65FDE3B0">
                <wp:simplePos x="0" y="0"/>
                <wp:positionH relativeFrom="margin">
                  <wp:align>left</wp:align>
                </wp:positionH>
                <wp:positionV relativeFrom="paragraph">
                  <wp:posOffset>2863850</wp:posOffset>
                </wp:positionV>
                <wp:extent cx="5581650" cy="361950"/>
                <wp:effectExtent l="0" t="0" r="0" b="0"/>
                <wp:wrapSquare wrapText="bothSides"/>
                <wp:docPr id="206670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61950"/>
                        </a:xfrm>
                        <a:prstGeom prst="rect">
                          <a:avLst/>
                        </a:prstGeom>
                        <a:solidFill>
                          <a:srgbClr val="FFFFFF"/>
                        </a:solidFill>
                        <a:ln w="9525">
                          <a:noFill/>
                          <a:miter lim="800000"/>
                          <a:headEnd/>
                          <a:tailEnd/>
                        </a:ln>
                      </wps:spPr>
                      <wps:txbx>
                        <w:txbxContent>
                          <w:p w14:paraId="4BE9CADC" w14:textId="77777777" w:rsidR="000D252C" w:rsidRDefault="000D252C" w:rsidP="000D252C">
                            <w:r w:rsidRPr="008201C0">
                              <w:rPr>
                                <w:sz w:val="20"/>
                                <w:szCs w:val="20"/>
                              </w:rPr>
                              <w:t>alt= “</w:t>
                            </w:r>
                            <w:r>
                              <w:rPr>
                                <w:sz w:val="20"/>
                                <w:szCs w:val="20"/>
                              </w:rPr>
                              <w:t>ICU admissions pre-sepsis, sepsis and post-sepsis between 2013-14 and 2022-23</w:t>
                            </w:r>
                            <w:r w:rsidRPr="008201C0">
                              <w:rPr>
                                <w:sz w:val="20"/>
                                <w:szCs w:val="20"/>
                              </w:rPr>
                              <w: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A423" id="_x0000_s1031" type="#_x0000_t202" style="position:absolute;margin-left:0;margin-top:225.5pt;width:439.5pt;height:28.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" stroked="f">
                <v:textbox>
                  <w:txbxContent>
                    <w:p w14:paraId="4BE9CADC" w14:textId="77777777" w:rsidR="000D252C" w:rsidRDefault="000D252C" w:rsidP="000D252C">
                      <w:r w:rsidRPr="008201C0">
                        <w:rPr>
                          <w:sz w:val="20"/>
                          <w:szCs w:val="20"/>
                        </w:rPr>
                        <w:t>alt= “</w:t>
                      </w:r>
                      <w:r>
                        <w:rPr>
                          <w:sz w:val="20"/>
                          <w:szCs w:val="20"/>
                        </w:rPr>
                        <w:t>ICU admissions pre-sepsis, sepsis and post-sepsis between 2013-14 and 2022-23</w:t>
                      </w:r>
                      <w:r w:rsidRPr="008201C0">
                        <w:rPr>
                          <w:sz w:val="20"/>
                          <w:szCs w:val="20"/>
                        </w:rPr>
                        <w:t>”</w:t>
                      </w:r>
                      <w:r>
                        <w:rPr>
                          <w:sz w:val="20"/>
                          <w:szCs w:val="20"/>
                        </w:rPr>
                        <w:t>.</w:t>
                      </w:r>
                    </w:p>
                  </w:txbxContent>
                </v:textbox>
                <w10:wrap type="square" anchorx="margin"/>
              </v:shape>
            </w:pict>
          </mc:Fallback>
        </mc:AlternateContent>
      </w:r>
      <w:r w:rsidR="008C03F4">
        <w:rPr>
          <w:noProof/>
        </w:rPr>
        <w:drawing>
          <wp:inline distT="0" distB="0" distL="0" distR="0" wp14:anchorId="52B77679" wp14:editId="4532287F">
            <wp:extent cx="5479200" cy="2794959"/>
            <wp:effectExtent l="0" t="0" r="7620" b="5715"/>
            <wp:docPr id="368387468" name="Chart 1">
              <a:extLst xmlns:a="http://schemas.openxmlformats.org/drawingml/2006/main">
                <a:ext uri="{FF2B5EF4-FFF2-40B4-BE49-F238E27FC236}">
                  <a16:creationId xmlns:a16="http://schemas.microsoft.com/office/drawing/2014/main" id="{ECDA7CC5-4F3F-6DD0-6F9E-FFE00A629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0BE51D" w14:textId="7528B474" w:rsidR="005D02E1" w:rsidRDefault="005D02E1"/>
    <w:p w14:paraId="74862089" w14:textId="77777777" w:rsidR="007D6BB6" w:rsidRPr="007D6BB6" w:rsidRDefault="007D6BB6" w:rsidP="008E5623">
      <w:pPr>
        <w:numPr>
          <w:ilvl w:val="0"/>
          <w:numId w:val="22"/>
        </w:numPr>
        <w:spacing w:before="0" w:after="160" w:line="259" w:lineRule="auto"/>
        <w:contextualSpacing/>
        <w:rPr>
          <w:rFonts w:eastAsia="Times New Roman"/>
          <w:color w:val="auto"/>
          <w:lang w:eastAsia="en-AU"/>
        </w:rPr>
      </w:pPr>
      <w:r w:rsidRPr="007D6BB6">
        <w:rPr>
          <w:rFonts w:eastAsia="Times New Roman"/>
          <w:color w:val="auto"/>
          <w:lang w:eastAsia="en-AU"/>
        </w:rPr>
        <w:t>the average length of ICU stay fell:</w:t>
      </w:r>
    </w:p>
    <w:p w14:paraId="589B20ED" w14:textId="77777777" w:rsidR="007D6BB6" w:rsidRPr="007D6BB6" w:rsidRDefault="007D6BB6" w:rsidP="008E5623">
      <w:pPr>
        <w:numPr>
          <w:ilvl w:val="1"/>
          <w:numId w:val="22"/>
        </w:numPr>
        <w:spacing w:before="0" w:after="160" w:line="259" w:lineRule="auto"/>
        <w:contextualSpacing/>
        <w:rPr>
          <w:rFonts w:eastAsia="Times New Roman"/>
          <w:color w:val="auto"/>
          <w:lang w:eastAsia="en-AU"/>
        </w:rPr>
      </w:pPr>
      <w:bookmarkStart w:id="49" w:name="_Hlk176872618"/>
      <w:r w:rsidRPr="007D6BB6">
        <w:rPr>
          <w:rFonts w:eastAsia="Times New Roman"/>
          <w:color w:val="auto"/>
          <w:lang w:eastAsia="en-AU"/>
        </w:rPr>
        <w:t>from 191 hours in 2013-14 to 168 in 2022-23 for sepsis separations</w:t>
      </w:r>
    </w:p>
    <w:p w14:paraId="524B195C" w14:textId="77777777" w:rsidR="007D6BB6" w:rsidRPr="007D6BB6" w:rsidRDefault="007D6BB6" w:rsidP="008E5623">
      <w:pPr>
        <w:numPr>
          <w:ilvl w:val="1"/>
          <w:numId w:val="22"/>
        </w:numPr>
        <w:spacing w:before="0" w:after="160" w:line="259" w:lineRule="auto"/>
        <w:contextualSpacing/>
        <w:rPr>
          <w:rFonts w:eastAsia="Times New Roman"/>
          <w:color w:val="auto"/>
          <w:lang w:eastAsia="en-AU"/>
        </w:rPr>
      </w:pPr>
      <w:r w:rsidRPr="007D6BB6">
        <w:rPr>
          <w:rFonts w:eastAsia="Times New Roman"/>
          <w:color w:val="auto"/>
          <w:lang w:eastAsia="en-AU"/>
        </w:rPr>
        <w:t>from 141 hours in 2015-16 to 129 hours in 2022-23 in all cause 30-day post-sepsis readmissions.</w:t>
      </w:r>
    </w:p>
    <w:p w14:paraId="2618C287" w14:textId="77777777" w:rsidR="007D6BB6" w:rsidRPr="007D6BB6" w:rsidRDefault="007D6BB6" w:rsidP="008E5623">
      <w:pPr>
        <w:numPr>
          <w:ilvl w:val="0"/>
          <w:numId w:val="22"/>
        </w:numPr>
        <w:spacing w:before="0" w:after="160" w:line="259" w:lineRule="auto"/>
        <w:contextualSpacing/>
        <w:rPr>
          <w:rFonts w:eastAsia="Times New Roman"/>
          <w:color w:val="auto"/>
          <w:lang w:eastAsia="en-AU"/>
        </w:rPr>
      </w:pPr>
      <w:r w:rsidRPr="007D6BB6">
        <w:rPr>
          <w:rFonts w:eastAsia="Times New Roman"/>
          <w:color w:val="auto"/>
          <w:lang w:eastAsia="en-AU"/>
        </w:rPr>
        <w:t>emergency admission as a proportion of in-hospital deaths decreased:</w:t>
      </w:r>
    </w:p>
    <w:p w14:paraId="1EEB824C" w14:textId="77777777" w:rsidR="007D6BB6" w:rsidRPr="007D6BB6" w:rsidRDefault="007D6BB6" w:rsidP="008E5623">
      <w:pPr>
        <w:numPr>
          <w:ilvl w:val="1"/>
          <w:numId w:val="22"/>
        </w:numPr>
        <w:spacing w:before="0" w:after="160" w:line="259" w:lineRule="auto"/>
        <w:contextualSpacing/>
        <w:rPr>
          <w:rFonts w:eastAsia="Times New Roman"/>
          <w:color w:val="auto"/>
          <w:lang w:eastAsia="en-AU"/>
        </w:rPr>
      </w:pPr>
      <w:r w:rsidRPr="007D6BB6">
        <w:rPr>
          <w:rFonts w:eastAsia="Times New Roman"/>
          <w:color w:val="auto"/>
          <w:lang w:eastAsia="en-AU"/>
        </w:rPr>
        <w:t>by 7 percentage points for sepsis separations from 74.4% in 2013-14 to 67.5% in 2022-23</w:t>
      </w:r>
    </w:p>
    <w:p w14:paraId="4BF25B80" w14:textId="77777777" w:rsidR="007D6BB6" w:rsidRPr="007D6BB6" w:rsidRDefault="007D6BB6" w:rsidP="008E5623">
      <w:pPr>
        <w:numPr>
          <w:ilvl w:val="1"/>
          <w:numId w:val="22"/>
        </w:numPr>
        <w:spacing w:before="0" w:after="160" w:line="259" w:lineRule="auto"/>
        <w:contextualSpacing/>
        <w:rPr>
          <w:rFonts w:eastAsia="Times New Roman"/>
          <w:color w:val="auto"/>
          <w:lang w:eastAsia="en-AU"/>
        </w:rPr>
      </w:pPr>
      <w:r w:rsidRPr="007D6BB6">
        <w:rPr>
          <w:rFonts w:eastAsia="Times New Roman"/>
          <w:color w:val="auto"/>
          <w:lang w:eastAsia="en-AU"/>
        </w:rPr>
        <w:t>by 6 percentage points for 30-day post-sepsis readmissions, from 72.5% to 66.1%.</w:t>
      </w:r>
    </w:p>
    <w:bookmarkEnd w:id="49"/>
    <w:p w14:paraId="22CE74D2" w14:textId="04404706" w:rsidR="005D02E1" w:rsidRDefault="005D02E1"/>
    <w:p w14:paraId="32A06C7C" w14:textId="77777777" w:rsidR="007D6BB6" w:rsidRDefault="007D6BB6"/>
    <w:p w14:paraId="345DCC0E" w14:textId="77777777" w:rsidR="007D6BB6" w:rsidRDefault="007D6BB6"/>
    <w:p w14:paraId="38E82A7A" w14:textId="77777777" w:rsidR="007D6BB6" w:rsidRDefault="007D6BB6"/>
    <w:p w14:paraId="7F3AD041" w14:textId="77777777" w:rsidR="007D6BB6" w:rsidRDefault="007D6BB6"/>
    <w:p w14:paraId="1F7DE179" w14:textId="77777777" w:rsidR="00AC3294" w:rsidRPr="00AC3294" w:rsidRDefault="00AC3294" w:rsidP="00AC3294">
      <w:pPr>
        <w:pStyle w:val="Heading1"/>
      </w:pPr>
      <w:bookmarkStart w:id="50" w:name="_Toc203549627"/>
      <w:bookmarkStart w:id="51" w:name="_Toc206495289"/>
      <w:bookmarkStart w:id="52" w:name="_Toc187133200"/>
      <w:bookmarkStart w:id="53" w:name="_Toc187313280"/>
      <w:r w:rsidRPr="00AC3294">
        <w:lastRenderedPageBreak/>
        <w:t>Discussion of key findings</w:t>
      </w:r>
      <w:bookmarkEnd w:id="50"/>
      <w:bookmarkEnd w:id="51"/>
    </w:p>
    <w:p w14:paraId="3B3F9C40" w14:textId="77777777" w:rsidR="00AC3294" w:rsidRPr="00AC3294" w:rsidRDefault="00AC3294" w:rsidP="007C0EA9">
      <w:pPr>
        <w:pStyle w:val="Heading2"/>
      </w:pPr>
      <w:bookmarkStart w:id="54" w:name="_Toc203549628"/>
      <w:bookmarkStart w:id="55" w:name="_Toc206495290"/>
      <w:r w:rsidRPr="00AC3294">
        <w:t>Improvement in sepsis recognition and response</w:t>
      </w:r>
      <w:bookmarkEnd w:id="52"/>
      <w:bookmarkEnd w:id="53"/>
      <w:bookmarkEnd w:id="54"/>
      <w:bookmarkEnd w:id="55"/>
    </w:p>
    <w:p w14:paraId="125A0D0F" w14:textId="568E97E5" w:rsidR="00AC3294" w:rsidRPr="00AC3294" w:rsidRDefault="00AC3294" w:rsidP="00AC3294">
      <w:r w:rsidRPr="00AC3294">
        <w:t>There ha</w:t>
      </w:r>
      <w:r w:rsidR="00DB74B6">
        <w:t>ve</w:t>
      </w:r>
      <w:r w:rsidRPr="00AC3294">
        <w:t xml:space="preserve"> been various resources, guidelines and awareness campaigns directed towards sepsis awareness, recognition and treatment in Australia over the last several years, including Australia’s first National Sepsis Awareness Campaign in 2018.</w:t>
      </w:r>
    </w:p>
    <w:p w14:paraId="23B3A8B5" w14:textId="77777777" w:rsidR="00AC3294" w:rsidRPr="00AC3294" w:rsidRDefault="00AC3294" w:rsidP="00AC3294">
      <w:r w:rsidRPr="00AC3294">
        <w:t xml:space="preserve">The Commission developed the National Safety and Quality Health Service (NSQHS) Standards, as a nationally consistent statement on the standard of care provided by health service organisations. Amongst these are actions under the </w:t>
      </w:r>
      <w:hyperlink r:id="rId29" w:history="1">
        <w:r w:rsidRPr="00AC3294">
          <w:rPr>
            <w:rStyle w:val="Hyperlink"/>
          </w:rPr>
          <w:t>Recognising and Responding to Acute Deterioration Standard</w:t>
        </w:r>
      </w:hyperlink>
      <w:r w:rsidRPr="00AC3294">
        <w:t>, which aim to ensure timely recognition and treatment of acute deterioration, including sepsis.</w:t>
      </w:r>
    </w:p>
    <w:p w14:paraId="3E5BDA55" w14:textId="77777777" w:rsidR="00AC3294" w:rsidRPr="00AC3294" w:rsidRDefault="00AC3294" w:rsidP="00AC3294">
      <w:r w:rsidRPr="00AC3294">
        <w:t xml:space="preserve">In addition to the Standards, the Commission published the national </w:t>
      </w:r>
      <w:hyperlink r:id="rId30" w:history="1">
        <w:r w:rsidRPr="00AC3294">
          <w:rPr>
            <w:rStyle w:val="Hyperlink"/>
          </w:rPr>
          <w:t>Sepsis Clinical Care Standard</w:t>
        </w:r>
      </w:hyperlink>
      <w:r w:rsidRPr="00AC3294">
        <w:rPr>
          <w:u w:val="single"/>
        </w:rPr>
        <w:t xml:space="preserve"> </w:t>
      </w:r>
      <w:r w:rsidRPr="00AC3294">
        <w:t>in 2022 outlining the care and supporting indicators to ensure ‘timely recognition of sepsis, early and appropriate antimicrobial therapy and continuity of care from the acute setting through to discharge and survivorship’.</w:t>
      </w:r>
    </w:p>
    <w:p w14:paraId="64D3B9A8" w14:textId="77777777" w:rsidR="00AC3294" w:rsidRPr="00AC3294" w:rsidRDefault="00AC3294" w:rsidP="00AC3294">
      <w:r w:rsidRPr="00AC3294">
        <w:t>Together with ongoing efforts and awareness campaigns by State and Territory health departments and organisations including Sepsis Australia, these efforts are expected to contribute to better recognition, and therefore more timely treatment of sepsis in the hospital.</w:t>
      </w:r>
    </w:p>
    <w:p w14:paraId="29864683" w14:textId="77777777" w:rsidR="00AC3294" w:rsidRPr="00AC3294" w:rsidRDefault="00AC3294" w:rsidP="00AC3294">
      <w:r w:rsidRPr="00AC3294">
        <w:t>This analysis showed:</w:t>
      </w:r>
    </w:p>
    <w:p w14:paraId="1F4BD952" w14:textId="77777777" w:rsidR="00AC3294" w:rsidRPr="00AC3294" w:rsidRDefault="00AC3294" w:rsidP="008E5623">
      <w:pPr>
        <w:numPr>
          <w:ilvl w:val="0"/>
          <w:numId w:val="23"/>
        </w:numPr>
      </w:pPr>
      <w:r w:rsidRPr="00AC3294">
        <w:t>2022-23 age and sex adjusted rate of sepsis per population returned to similar levels observed in 2013-14.</w:t>
      </w:r>
    </w:p>
    <w:p w14:paraId="3BDCEE70" w14:textId="77777777" w:rsidR="00AC3294" w:rsidRPr="00AC3294" w:rsidRDefault="00AC3294" w:rsidP="008E5623">
      <w:pPr>
        <w:numPr>
          <w:ilvl w:val="0"/>
          <w:numId w:val="23"/>
        </w:numPr>
      </w:pPr>
      <w:r w:rsidRPr="00AC3294">
        <w:t>emergency admissions accounted for every 3 in 4 sepsis separations, both before and after the COVID-19 pandemic (2017-18 versus 2022-23). However, emergency admissions which ended in a sepsis patient dying in hospital declined over time, from 3 in 4 deaths during 2013-14 to 2 in 3 deaths in 2022-23.</w:t>
      </w:r>
    </w:p>
    <w:p w14:paraId="25B41BC0" w14:textId="77777777" w:rsidR="00AC3294" w:rsidRPr="00AC3294" w:rsidRDefault="00AC3294" w:rsidP="008E5623">
      <w:pPr>
        <w:numPr>
          <w:ilvl w:val="0"/>
          <w:numId w:val="23"/>
        </w:numPr>
      </w:pPr>
      <w:r w:rsidRPr="00AC3294">
        <w:t>the average time spent in hospital and in-hospital mortality for sepsis in admitted care experienced little change. While the proportion of sepsis cases requiring admission to ICU increased, the average time sepsis patients spent in the ICU became shorter.</w:t>
      </w:r>
    </w:p>
    <w:p w14:paraId="5BE4432B" w14:textId="77777777" w:rsidR="00AC3294" w:rsidRPr="00AC3294" w:rsidRDefault="00AC3294" w:rsidP="00AC3294">
      <w:r w:rsidRPr="00AC3294">
        <w:t>These observations may reflect the changes in coding rules and improvement by health services in recognising deterioration, leading to more efficient response by transferring those cases to the ICU, which in turn may have contributed to a shorter ICU stay. Since most sepsis cases were emergency admissions, hospital deaths reflected a similar percentage of such admissions.</w:t>
      </w:r>
    </w:p>
    <w:p w14:paraId="5EF1A6F4" w14:textId="77777777" w:rsidR="00AC3294" w:rsidRPr="00AC3294" w:rsidRDefault="00AC3294" w:rsidP="00AC3294">
      <w:r w:rsidRPr="00AC3294">
        <w:t xml:space="preserve">There was </w:t>
      </w:r>
      <w:r w:rsidRPr="00AC3294">
        <w:rPr>
          <w:i/>
          <w:iCs/>
        </w:rPr>
        <w:t>no evidence to suggest sepsis patients admitted to the ICU had an increased likelihood of readmission within 30 days</w:t>
      </w:r>
      <w:r w:rsidRPr="00AC3294">
        <w:t>. While ICU admission in the sepsis group increased over time, rate of 30-day post-sepsis readmissions remained stable. If ICU admission alone, irrespective of the appropriateness, timeliness and quality of care provided, was sufficient to influence the likelihood of a patient returning to the hospital, the readmission rate would also have increased over time.</w:t>
      </w:r>
    </w:p>
    <w:p w14:paraId="779ED2C7" w14:textId="77777777" w:rsidR="00AC3294" w:rsidRPr="00AC3294" w:rsidRDefault="00AC3294" w:rsidP="00AC3294">
      <w:bookmarkStart w:id="56" w:name="_Hlk190174025"/>
      <w:r w:rsidRPr="00AC3294">
        <w:t xml:space="preserve">A recent evaluation review of the NSQHS Standards accreditation results has shown signs of progress in timely implementation of rapid treatment protocols towards sepsis in hospitals. Internal analysis of the period leading up to August 2024 indicated the Health Service Organisations are more likely to be compliant with the Recognising and Responding to Acute Deterioration with 93% of initial assessments deemed compliant. The number of organisations with a ‘Not Met’ rating for </w:t>
      </w:r>
      <w:r w:rsidRPr="00AC3294">
        <w:rPr>
          <w:i/>
          <w:iCs/>
        </w:rPr>
        <w:t xml:space="preserve">Actions 8.10 </w:t>
      </w:r>
      <w:r w:rsidRPr="00AC3294">
        <w:t>and</w:t>
      </w:r>
      <w:r w:rsidRPr="00AC3294">
        <w:rPr>
          <w:i/>
          <w:iCs/>
        </w:rPr>
        <w:t xml:space="preserve"> 8.12 </w:t>
      </w:r>
      <w:r w:rsidRPr="00AC3294">
        <w:t>under</w:t>
      </w:r>
      <w:r w:rsidRPr="00AC3294">
        <w:rPr>
          <w:i/>
          <w:iCs/>
        </w:rPr>
        <w:t xml:space="preserve"> Responding to deterioration</w:t>
      </w:r>
      <w:r w:rsidRPr="00AC3294">
        <w:t xml:space="preserve"> and </w:t>
      </w:r>
      <w:r w:rsidRPr="00AC3294">
        <w:rPr>
          <w:i/>
          <w:iCs/>
        </w:rPr>
        <w:t>Action 8.06 - Escalating care</w:t>
      </w:r>
      <w:r w:rsidRPr="00AC3294">
        <w:t xml:space="preserve"> decreased over time. There remains room for improvement, particularly </w:t>
      </w:r>
      <w:r w:rsidRPr="00AC3294">
        <w:lastRenderedPageBreak/>
        <w:t xml:space="preserve">with </w:t>
      </w:r>
      <w:r w:rsidRPr="00AC3294">
        <w:rPr>
          <w:i/>
          <w:iCs/>
        </w:rPr>
        <w:t>Action 8.05 - Recognising acute deterioration</w:t>
      </w:r>
      <w:r w:rsidRPr="00AC3294">
        <w:t>, which is one of the most frequently identified ‘Not Met’ actions for organisations at initial assessments.</w:t>
      </w:r>
    </w:p>
    <w:p w14:paraId="7030D3C4" w14:textId="77777777" w:rsidR="00272DD5" w:rsidRPr="00272DD5" w:rsidRDefault="00272DD5" w:rsidP="007C0EA9">
      <w:pPr>
        <w:pStyle w:val="Heading2"/>
      </w:pPr>
      <w:bookmarkStart w:id="57" w:name="_Toc187133201"/>
      <w:bookmarkStart w:id="58" w:name="_Toc187313281"/>
      <w:bookmarkStart w:id="59" w:name="_Toc203549629"/>
      <w:bookmarkStart w:id="60" w:name="_Toc206495291"/>
      <w:bookmarkEnd w:id="56"/>
      <w:r w:rsidRPr="00272DD5">
        <w:t>Sepsis in public admitted care</w:t>
      </w:r>
      <w:bookmarkEnd w:id="57"/>
      <w:bookmarkEnd w:id="58"/>
      <w:bookmarkEnd w:id="59"/>
      <w:bookmarkEnd w:id="60"/>
    </w:p>
    <w:p w14:paraId="1C390AE7" w14:textId="771F39B7" w:rsidR="00272DD5" w:rsidRPr="00272DD5" w:rsidRDefault="00272DD5" w:rsidP="00272DD5">
      <w:r w:rsidRPr="00272DD5">
        <w:t xml:space="preserve">The majority of sepsis separations, as well as 30-day pre- and post- sepsis groups, were treated in hospitals located in major cities, reflecting the Australian population distribution. The proportion of sepsis separations for remote and outer regional area patients was similar to that of hospital transfers, both before (2017-18) and after the COVID-19 pandemic (2022-23). This analysis did not focus on transfer rates from small to large hospitals, more commonly located in major cities. However, observations fitted the assumption that patients with complex conditions such as sepsis who first present to local remote and outer-regional hospitals were more likely to be transferred to larger, facilities that </w:t>
      </w:r>
      <w:r w:rsidR="004A489C" w:rsidRPr="00272DD5">
        <w:t>can</w:t>
      </w:r>
      <w:r w:rsidRPr="00272DD5">
        <w:t xml:space="preserve"> manage patients with higher complexity for treatment.</w:t>
      </w:r>
    </w:p>
    <w:p w14:paraId="53640DC5" w14:textId="1CC48549" w:rsidR="00272DD5" w:rsidRPr="00272DD5" w:rsidRDefault="00272DD5" w:rsidP="00272DD5">
      <w:r w:rsidRPr="00272DD5">
        <w:t>The following groups were more likely to be admitted to hospital and treated for sepsis</w:t>
      </w:r>
      <w:r w:rsidR="00F8201A">
        <w:t>:</w:t>
      </w:r>
    </w:p>
    <w:p w14:paraId="40710DD7" w14:textId="77777777" w:rsidR="00272DD5" w:rsidRPr="00272DD5" w:rsidRDefault="00272DD5" w:rsidP="008E5623">
      <w:pPr>
        <w:numPr>
          <w:ilvl w:val="0"/>
          <w:numId w:val="24"/>
        </w:numPr>
      </w:pPr>
      <w:r w:rsidRPr="00272DD5">
        <w:t>older people (65 years and over)</w:t>
      </w:r>
    </w:p>
    <w:p w14:paraId="4C2CD1B0" w14:textId="77777777" w:rsidR="00272DD5" w:rsidRPr="00272DD5" w:rsidRDefault="00272DD5" w:rsidP="008E5623">
      <w:pPr>
        <w:numPr>
          <w:ilvl w:val="0"/>
          <w:numId w:val="24"/>
        </w:numPr>
      </w:pPr>
      <w:r w:rsidRPr="00272DD5">
        <w:t>aged care residents (likely frail and/or elderly)</w:t>
      </w:r>
    </w:p>
    <w:p w14:paraId="2023C90B" w14:textId="5BBF2626" w:rsidR="00272DD5" w:rsidRDefault="00272DD5" w:rsidP="00272DD5">
      <w:pPr>
        <w:numPr>
          <w:ilvl w:val="0"/>
          <w:numId w:val="24"/>
        </w:numPr>
      </w:pPr>
      <w:r w:rsidRPr="00272DD5">
        <w:t>Aboriginal or Torres Strait Islander patients.</w:t>
      </w:r>
    </w:p>
    <w:p w14:paraId="17E474A7" w14:textId="043B8DCA" w:rsidR="00272DD5" w:rsidRPr="00272DD5" w:rsidRDefault="00272DD5" w:rsidP="00272DD5">
      <w:r w:rsidRPr="00272DD5">
        <w:t>While proportion that involved discharge of patient back to a residential aged care facility (RACF) out of total sepsis separations was small, sepsis hospitalisations rate in the elderly population was higher than that of the overall Australian rate. Given the majority of sepsis patients were aged 65 and over, and elderly patients were more likely to reside in aged care, the small percentage out of total sepsis separations linked to RACF residents suggested most sepsis patients had alternative living arrangements outside a RACF.</w:t>
      </w:r>
    </w:p>
    <w:p w14:paraId="325BF359" w14:textId="77777777" w:rsidR="00272DD5" w:rsidRPr="00272DD5" w:rsidRDefault="00272DD5" w:rsidP="00272DD5">
      <w:r w:rsidRPr="00272DD5">
        <w:t>From a population perspective, those in RACF were hospitalised more often with sepsis. In 2022-23, there were 1,875 out of 84,382 sepsis separations for patients normally reside in residential aged care. The GEN Aged Care data collection</w:t>
      </w:r>
      <w:r w:rsidRPr="00272DD5">
        <w:rPr>
          <w:u w:val="single"/>
          <w:vertAlign w:val="superscript"/>
        </w:rPr>
        <w:footnoteReference w:id="11"/>
      </w:r>
      <w:r w:rsidRPr="00272DD5">
        <w:t xml:space="preserve"> reported close to 181,000 people were in permanent residential aged care as at 30 June 2022, while the Australian Bureau of Statistics</w:t>
      </w:r>
      <w:r w:rsidRPr="00272DD5">
        <w:rPr>
          <w:vertAlign w:val="superscript"/>
        </w:rPr>
        <w:footnoteReference w:id="12"/>
      </w:r>
      <w:r w:rsidRPr="00272DD5">
        <w:t xml:space="preserve"> (ABS) estimated an overall Australian population of 26 million for the same period. This corresponded to approximately 10 sepsis separations per 1,000 RACF residents, or three times the national rate of 3 per 1,000 individuals.</w:t>
      </w:r>
    </w:p>
    <w:p w14:paraId="71006660" w14:textId="10BC8C56" w:rsidR="005D02E1" w:rsidRDefault="00272DD5">
      <w:r w:rsidRPr="00272DD5">
        <w:t xml:space="preserve">Aboriginal or Torres Strait Islander patients made up a small proportion of total sepsis separations, likely due to their population size relative to the overall Australian population. </w:t>
      </w:r>
      <w:r w:rsidR="004A489C" w:rsidRPr="00272DD5">
        <w:t>However,</w:t>
      </w:r>
      <w:r w:rsidRPr="00272DD5">
        <w:t xml:space="preserve"> when examining from a population perspective, Aboriginal or Torres Strait Islander patients were more likely to be hospitalised for sepsis. The latest analysis period of 2022-23 saw 5,753 sepsis separations for Aboriginal or Torres Strait Islander patients. The ABS’s medium series projection</w:t>
      </w:r>
      <w:r w:rsidRPr="00272DD5">
        <w:rPr>
          <w:vertAlign w:val="superscript"/>
        </w:rPr>
        <w:footnoteReference w:id="13"/>
      </w:r>
      <w:r w:rsidRPr="00272DD5">
        <w:t xml:space="preserve"> for Aboriginal or Torres Strait Islander population was over 1 million as at 30 June 2022. This translated to approximately 6 sepsis separations per 1,000 Aboriginal or Torres Strait Islander people, double that of the </w:t>
      </w:r>
      <w:r w:rsidR="00812BC5">
        <w:t>non-indigenous</w:t>
      </w:r>
      <w:r w:rsidRPr="00272DD5">
        <w:t xml:space="preserve"> rate.</w:t>
      </w:r>
    </w:p>
    <w:p w14:paraId="40805B80" w14:textId="7B761F7E" w:rsidR="00816C0A" w:rsidRPr="00A44863" w:rsidRDefault="00816C0A" w:rsidP="00816C0A">
      <w:pPr>
        <w:rPr>
          <w:rFonts w:cstheme="minorHAnsi"/>
          <w:szCs w:val="18"/>
        </w:rPr>
      </w:pPr>
      <w:r w:rsidRPr="00A44863">
        <w:rPr>
          <w:rFonts w:cstheme="minorHAnsi"/>
          <w:szCs w:val="18"/>
        </w:rPr>
        <w:lastRenderedPageBreak/>
        <w:t>The average cost of a sepsis separation in admitted care increased by 50% over the 10 years to 2022-23. In addition to direct hospital costs, indirect costs such as premature deaths also place burden on the health system and the wider Australian community. Sepsis is more common in older patients, who likely have more complex health problems and underlying health conditions.</w:t>
      </w:r>
    </w:p>
    <w:p w14:paraId="271EC743" w14:textId="77777777" w:rsidR="00B91866" w:rsidRPr="00A44863" w:rsidRDefault="00B91866" w:rsidP="007C0EA9">
      <w:pPr>
        <w:pStyle w:val="Heading2"/>
      </w:pPr>
      <w:bookmarkStart w:id="61" w:name="_Toc203549630"/>
      <w:bookmarkStart w:id="62" w:name="_Toc206495292"/>
      <w:r w:rsidRPr="00A44863">
        <w:t>Sepsis coding rules</w:t>
      </w:r>
      <w:bookmarkEnd w:id="61"/>
      <w:bookmarkEnd w:id="62"/>
    </w:p>
    <w:p w14:paraId="62CF104E" w14:textId="77777777" w:rsidR="00B91866" w:rsidRPr="00A44863" w:rsidRDefault="00B91866" w:rsidP="00B91866">
      <w:r w:rsidRPr="00A44863">
        <w:t>Continued changes to clinical definitions, diagnosis and coding criteria affect how sepsis is recorded in administrative data collections (such as the APC NMDS). Sepsis can be coded to the principal diagnosis, an additional diagnosis, or both during an episode of admitted care. The Australian Coding Standards (ACS) is used in to determine the appropriate sequencing of sepsis codes in hospitals.</w:t>
      </w:r>
    </w:p>
    <w:p w14:paraId="3CB17EAA" w14:textId="77777777" w:rsidR="00B91866" w:rsidRPr="00A44863" w:rsidRDefault="00B91866" w:rsidP="00B91866">
      <w:r w:rsidRPr="00A44863">
        <w:t>Key coding standards that impact how sepsis is recorded in the administrative data include (but is not limited to)</w:t>
      </w:r>
    </w:p>
    <w:p w14:paraId="0055230B" w14:textId="77777777" w:rsidR="00B91866" w:rsidRPr="00A44863" w:rsidRDefault="00B91866" w:rsidP="008E5623">
      <w:pPr>
        <w:numPr>
          <w:ilvl w:val="0"/>
          <w:numId w:val="25"/>
        </w:numPr>
        <w:spacing w:before="0" w:after="160" w:line="259" w:lineRule="auto"/>
        <w:contextualSpacing/>
      </w:pPr>
      <w:r w:rsidRPr="00A44863">
        <w:t>ACS 0001 Principal diagnosis</w:t>
      </w:r>
    </w:p>
    <w:p w14:paraId="5D2E03F5" w14:textId="7DA32725" w:rsidR="00B91866" w:rsidRPr="00A44863" w:rsidRDefault="00B91866" w:rsidP="008E5623">
      <w:pPr>
        <w:numPr>
          <w:ilvl w:val="0"/>
          <w:numId w:val="25"/>
        </w:numPr>
        <w:spacing w:before="0" w:after="160" w:line="259" w:lineRule="auto"/>
        <w:contextualSpacing/>
      </w:pPr>
      <w:r w:rsidRPr="00A44863">
        <w:t>ACS 0110 Sepsis, severe sepsis and septic shock</w:t>
      </w:r>
      <w:r w:rsidR="009F32C5">
        <w:t>.</w:t>
      </w:r>
    </w:p>
    <w:p w14:paraId="57DE0354" w14:textId="77777777" w:rsidR="00B91866" w:rsidRDefault="00B91866" w:rsidP="00B91866"/>
    <w:p w14:paraId="3880CB86" w14:textId="3F987C1C" w:rsidR="00B91866" w:rsidRPr="00A44863" w:rsidRDefault="00B91866" w:rsidP="00B91866">
      <w:r w:rsidRPr="00A44863">
        <w:t>Broadly, a principal diagnosis refers to the condition ‘chiefly responsible for occasioning in the episode of care,’ established after evaluation of findings that may include (but is not limited to) medical history, physical and pathological examinations, diagnostic tests and/or procedures, and specialist consultations.</w:t>
      </w:r>
    </w:p>
    <w:p w14:paraId="400CAB45" w14:textId="77777777" w:rsidR="00B91866" w:rsidRPr="00A44863" w:rsidRDefault="00B91866" w:rsidP="00B91866">
      <w:r w:rsidRPr="00A44863">
        <w:t>As the body’s extreme immune response to an infection, sepsis is always accompanied by infection, regardless of whether ACS guidelines permit the use of an explicit sepsis diagnosis code in an administrative hospital data collection such as the APC NMDS. Consequently, identified ‘top non-sepsis’ diagnoses or DRGs should be considered in the context of infection control. While such conditions do not mention ‘sepsis’ by name, they may point to broader implications for effective infection management as patients transition between different types of care within a hospital, across health services as well as between health services and the community environment. This may take the form of communication strategies and protocols established in recommended clinical care pathways as an opportunity to reflect on the patient journey in a more comprehensive manner, before, during and after sepsis treatment.</w:t>
      </w:r>
    </w:p>
    <w:p w14:paraId="41135CDE" w14:textId="77777777" w:rsidR="00B91866" w:rsidRPr="00A44863" w:rsidRDefault="00B91866" w:rsidP="00B91866">
      <w:r w:rsidRPr="00A44863">
        <w:t>Prior to the ACS 9</w:t>
      </w:r>
      <w:r w:rsidRPr="00A44863">
        <w:rPr>
          <w:vertAlign w:val="superscript"/>
        </w:rPr>
        <w:t>th</w:t>
      </w:r>
      <w:r w:rsidRPr="00A44863">
        <w:t xml:space="preserve"> edition (applicable for years prior to 2015-16), there was no requirement for clinical coders to verify sepsis with the treating clinician. For example, ACS 11</w:t>
      </w:r>
      <w:r w:rsidRPr="00A44863">
        <w:rPr>
          <w:vertAlign w:val="superscript"/>
        </w:rPr>
        <w:t>th</w:t>
      </w:r>
      <w:r w:rsidRPr="00A44863">
        <w:t xml:space="preserve"> edition (applicable from July 2019) now states:</w:t>
      </w:r>
    </w:p>
    <w:p w14:paraId="1EDE9295" w14:textId="77777777" w:rsidR="00B91866" w:rsidRPr="00A44863" w:rsidRDefault="00B91866" w:rsidP="008E5623">
      <w:pPr>
        <w:numPr>
          <w:ilvl w:val="0"/>
          <w:numId w:val="26"/>
        </w:numPr>
        <w:spacing w:before="0" w:after="160" w:line="259" w:lineRule="auto"/>
        <w:contextualSpacing/>
      </w:pPr>
      <w:r w:rsidRPr="00A44863">
        <w:t>‘evidence of presence of pathogenic microorganisms alone does not determine the diagnosis of sepsis’</w:t>
      </w:r>
    </w:p>
    <w:p w14:paraId="5BAA211D" w14:textId="77777777" w:rsidR="00B91866" w:rsidRPr="00A44863" w:rsidRDefault="00B91866" w:rsidP="008E5623">
      <w:pPr>
        <w:numPr>
          <w:ilvl w:val="0"/>
          <w:numId w:val="26"/>
        </w:numPr>
        <w:spacing w:before="0" w:after="160" w:line="259" w:lineRule="auto"/>
        <w:contextualSpacing/>
      </w:pPr>
      <w:r w:rsidRPr="00A44863">
        <w:t>coders are to ‘clarify with the treating clinical to determine whether it is a case of sepsis’ where vague diagnostic terms such as ‘chest sepsis’ are used.</w:t>
      </w:r>
    </w:p>
    <w:p w14:paraId="28C53E36" w14:textId="77777777" w:rsidR="00B91866" w:rsidRDefault="00B91866" w:rsidP="00B91866"/>
    <w:p w14:paraId="31F06DF1" w14:textId="77777777" w:rsidR="00B91866" w:rsidRPr="00A44863" w:rsidRDefault="00B91866" w:rsidP="00B91866">
      <w:r w:rsidRPr="00A44863">
        <w:t>Therefore, the rise in sepsis rate observed in 2015-16 should be interpreted in light of ACS 9th edition’s coding rules, rather than solely a sudden increase in community sepsis driving hospital admissions.</w:t>
      </w:r>
    </w:p>
    <w:p w14:paraId="40D38B1B" w14:textId="28332FF6" w:rsidR="00C563B1" w:rsidRPr="00A44863" w:rsidRDefault="00C563B1" w:rsidP="00C563B1">
      <w:r w:rsidRPr="00A44863">
        <w:t xml:space="preserve">Analysis showed that most sepsis separations did not record sepsis as the principal diagnosis. However, </w:t>
      </w:r>
      <w:r w:rsidRPr="00A44863">
        <w:rPr>
          <w:i/>
          <w:iCs/>
        </w:rPr>
        <w:t>coding of sepsis as an additional diagnosis does not imply that the associated episode of care required fewer resources, or the patients were less unwell</w:t>
      </w:r>
      <w:r w:rsidR="004A489C">
        <w:rPr>
          <w:i/>
          <w:iCs/>
        </w:rPr>
        <w:t>,</w:t>
      </w:r>
      <w:r w:rsidRPr="00A44863">
        <w:rPr>
          <w:i/>
          <w:iCs/>
        </w:rPr>
        <w:t xml:space="preserve"> or sepsis was not present on admission. </w:t>
      </w:r>
      <w:r w:rsidRPr="00A44863">
        <w:t xml:space="preserve">For example, if an infection was determined to be the chief reason for </w:t>
      </w:r>
      <w:r w:rsidRPr="00A44863">
        <w:lastRenderedPageBreak/>
        <w:t>that episode of admitted care, sepsis would not be coded as the principal diagnosis even if the patient was also treated for sepsis.</w:t>
      </w:r>
    </w:p>
    <w:p w14:paraId="0E8C633A" w14:textId="77777777" w:rsidR="00C563B1" w:rsidRPr="00A44863" w:rsidRDefault="00C563B1" w:rsidP="00C563B1">
      <w:r w:rsidRPr="00A44863">
        <w:t>While the proportion of emergency admissions was lower in the group with sepsis as an additional diagnosis, this group’s average stay in hospital was longer, with more admissions to ICU and longer time in ICU. Longer hospital stays can increase the risk of developing HACs (however on the inverse HACs can also attribute to a longer length of stay).</w:t>
      </w:r>
    </w:p>
    <w:p w14:paraId="3AC7686F" w14:textId="77777777" w:rsidR="00C563B1" w:rsidRPr="00A44863" w:rsidRDefault="00C563B1" w:rsidP="00C563B1">
      <w:r w:rsidRPr="00A44863">
        <w:rPr>
          <w:rFonts w:ascii="Arial" w:hAnsi="Arial" w:cs="Arial"/>
          <w:szCs w:val="18"/>
        </w:rPr>
        <w:t>The most common sepsis diagnosis code</w:t>
      </w:r>
      <w:r w:rsidRPr="00A44863">
        <w:rPr>
          <w:rFonts w:ascii="Segoe UI" w:hAnsi="Segoe UI" w:cstheme="minorBidi"/>
          <w:szCs w:val="18"/>
        </w:rPr>
        <w:t xml:space="preserve"> </w:t>
      </w:r>
      <w:r w:rsidRPr="00A44863">
        <w:rPr>
          <w:i/>
          <w:iCs/>
        </w:rPr>
        <w:t>Sepsis, unspecified (A419)</w:t>
      </w:r>
      <w:r w:rsidRPr="00A44863">
        <w:t xml:space="preserve"> continues to be used in a significant portion of sepsis separations. The increase in use of </w:t>
      </w:r>
      <w:r w:rsidRPr="00A44863">
        <w:rPr>
          <w:i/>
          <w:iCs/>
        </w:rPr>
        <w:t xml:space="preserve">A419 </w:t>
      </w:r>
      <w:r w:rsidRPr="00A44863">
        <w:t>between 2013-14 and 2022-23 may indicate growing recognition of sepsis, facilitated though establishment of (or maturing) sepsis clinical pathways over time, at national and/or jurisdictional levels.</w:t>
      </w:r>
    </w:p>
    <w:p w14:paraId="0EFE454A" w14:textId="77777777" w:rsidR="00C563B1" w:rsidRDefault="00C563B1" w:rsidP="00C563B1">
      <w:pPr>
        <w:keepNext/>
        <w:spacing w:before="0" w:after="160" w:line="259" w:lineRule="auto"/>
      </w:pPr>
      <w:r w:rsidRPr="00A44863">
        <w:t xml:space="preserve">ACS 0110 requires </w:t>
      </w:r>
      <w:r w:rsidRPr="00A44863">
        <w:rPr>
          <w:i/>
          <w:iCs/>
        </w:rPr>
        <w:t>Septic shock (R57.2)</w:t>
      </w:r>
      <w:r w:rsidRPr="00A44863">
        <w:t xml:space="preserve"> to be coded in conjunction with another sepsis or infection diagnosis, depending on the ACS edition used. Despite this rule, separations involving a diagnosis of septic shock (and no additional explicit sepsis diagnosis) would still be identified as sepsis patients in this report. Any instance of </w:t>
      </w:r>
      <w:r w:rsidRPr="00A44863">
        <w:rPr>
          <w:i/>
          <w:iCs/>
        </w:rPr>
        <w:t>Septic shock (R57.2)</w:t>
      </w:r>
      <w:r w:rsidRPr="00A44863">
        <w:t xml:space="preserve"> used, as with all other sepsis codes listed under </w:t>
      </w:r>
      <w:hyperlink w:anchor="_Appendix_A:_Explicit" w:history="1">
        <w:r w:rsidRPr="00EA57AB">
          <w:rPr>
            <w:rStyle w:val="Hyperlink"/>
          </w:rPr>
          <w:t>Appendix A</w:t>
        </w:r>
      </w:hyperlink>
      <w:r w:rsidRPr="00A44863">
        <w:t xml:space="preserve">, satisfies the definition for explicit sepsis for this report, regardless of what other diagnosis codes may also be present. By the same logic, the top 3 sepsis codes are not mutually exclusive. That is, patients with both </w:t>
      </w:r>
      <w:r w:rsidRPr="00A44863">
        <w:rPr>
          <w:i/>
          <w:iCs/>
        </w:rPr>
        <w:t xml:space="preserve">Sepsis, unspecified (A419) </w:t>
      </w:r>
      <w:r w:rsidRPr="00A44863">
        <w:t>and</w:t>
      </w:r>
      <w:r w:rsidRPr="00A44863">
        <w:rPr>
          <w:i/>
          <w:iCs/>
        </w:rPr>
        <w:t xml:space="preserve"> Septic shock (R57.2)</w:t>
      </w:r>
      <w:r w:rsidRPr="00A44863">
        <w:t xml:space="preserve"> would be counted once under each category.  The extent of overlap between sepsis codes falls outside the scope of this analysis; however, future analyses of this nature would be beneficial for consideration in the development of a national sepsis data plan.</w:t>
      </w:r>
    </w:p>
    <w:p w14:paraId="043FEDEC" w14:textId="77777777" w:rsidR="00E20DC2" w:rsidRPr="00A93861" w:rsidRDefault="00E20DC2" w:rsidP="007C0EA9">
      <w:pPr>
        <w:pStyle w:val="Heading2"/>
      </w:pPr>
      <w:bookmarkStart w:id="63" w:name="_Toc187133203"/>
      <w:bookmarkStart w:id="64" w:name="_Toc187313283"/>
      <w:bookmarkStart w:id="65" w:name="_Toc203549631"/>
      <w:bookmarkStart w:id="66" w:name="_Toc206495293"/>
      <w:r w:rsidRPr="00A93861">
        <w:t>30-day post</w:t>
      </w:r>
      <w:r>
        <w:t>-</w:t>
      </w:r>
      <w:r w:rsidRPr="00A93861">
        <w:t>sepsis readmissions</w:t>
      </w:r>
      <w:bookmarkEnd w:id="63"/>
      <w:bookmarkEnd w:id="64"/>
      <w:bookmarkEnd w:id="65"/>
      <w:bookmarkEnd w:id="66"/>
    </w:p>
    <w:p w14:paraId="239722F2" w14:textId="77777777" w:rsidR="00E20DC2" w:rsidRPr="00A93861" w:rsidRDefault="00E20DC2" w:rsidP="00E20DC2">
      <w:r w:rsidRPr="00A93861">
        <w:t xml:space="preserve">Over half of all readmissions following sepsis occurred in the first 30 days of discharge. Analysis showed these readmissions involved slightly younger patients, greater socioeconomic disadvantage and patients were more likely to live outside of major cities, compared to the sepsis group. Transfer from other hospitals was also more common i.e. </w:t>
      </w:r>
      <w:r>
        <w:t>three</w:t>
      </w:r>
      <w:r w:rsidRPr="00A93861">
        <w:t xml:space="preserve"> times that of the sepsis group.</w:t>
      </w:r>
    </w:p>
    <w:p w14:paraId="782457D5" w14:textId="77777777" w:rsidR="00E20DC2" w:rsidRPr="00A93861" w:rsidRDefault="00E20DC2" w:rsidP="00E20DC2">
      <w:r w:rsidRPr="00A93861">
        <w:t>Potentially contributing factors include:</w:t>
      </w:r>
    </w:p>
    <w:p w14:paraId="254A6FE1" w14:textId="77777777" w:rsidR="00E20DC2" w:rsidRPr="00A93861" w:rsidRDefault="00E20DC2" w:rsidP="008E5623">
      <w:pPr>
        <w:numPr>
          <w:ilvl w:val="0"/>
          <w:numId w:val="27"/>
        </w:numPr>
        <w:spacing w:before="0" w:after="160" w:line="259" w:lineRule="auto"/>
        <w:contextualSpacing/>
      </w:pPr>
      <w:r w:rsidRPr="00A93861">
        <w:t>patients outside of major cities were more likely to require hospital transfers for complex conditions like sepsis.</w:t>
      </w:r>
    </w:p>
    <w:p w14:paraId="33B2DAFD" w14:textId="77777777" w:rsidR="00E20DC2" w:rsidRPr="00A93861" w:rsidRDefault="00E20DC2" w:rsidP="008E5623">
      <w:pPr>
        <w:numPr>
          <w:ilvl w:val="0"/>
          <w:numId w:val="27"/>
        </w:numPr>
        <w:spacing w:before="0" w:after="160" w:line="259" w:lineRule="auto"/>
        <w:contextualSpacing/>
      </w:pPr>
      <w:r w:rsidRPr="00A93861">
        <w:t>confidence bias from health services that younger patients will continue to recover after hospital discharge. However, when coupled with higher socio-economic disadvantage, these patients may be less able to recover outside of hospital, increasing risk of readmission.</w:t>
      </w:r>
    </w:p>
    <w:p w14:paraId="6F87E3FD" w14:textId="77777777" w:rsidR="00E20DC2" w:rsidRDefault="00E20DC2" w:rsidP="008E5623">
      <w:pPr>
        <w:numPr>
          <w:ilvl w:val="0"/>
          <w:numId w:val="27"/>
        </w:numPr>
        <w:spacing w:before="0" w:after="160" w:line="259" w:lineRule="auto"/>
        <w:contextualSpacing/>
      </w:pPr>
      <w:r w:rsidRPr="00A93861">
        <w:t>financial burden associated with longer hospital stays disproportionately affect those in greater socioeconomic disadvantage, leading to patient preference for earlier discharge, and consequently increased risk of readmission.</w:t>
      </w:r>
    </w:p>
    <w:p w14:paraId="4B425712" w14:textId="77777777" w:rsidR="00E20DC2" w:rsidRDefault="00E20DC2" w:rsidP="00E20DC2"/>
    <w:p w14:paraId="4B13389C" w14:textId="77777777" w:rsidR="00E20DC2" w:rsidRPr="00A93861" w:rsidRDefault="00E20DC2" w:rsidP="00E20DC2">
      <w:r w:rsidRPr="00A93861">
        <w:t>A patient’s ability to perform post discharge selfcare for their sepsis is complex. A multitude of factors impact the recovery trajectory, including:</w:t>
      </w:r>
    </w:p>
    <w:p w14:paraId="3B6FA82A" w14:textId="77777777" w:rsidR="00E20DC2" w:rsidRPr="00A93861" w:rsidRDefault="00E20DC2" w:rsidP="008E5623">
      <w:pPr>
        <w:numPr>
          <w:ilvl w:val="0"/>
          <w:numId w:val="28"/>
        </w:numPr>
        <w:spacing w:before="0" w:after="160" w:line="259" w:lineRule="auto"/>
        <w:contextualSpacing/>
      </w:pPr>
      <w:r w:rsidRPr="00A93861">
        <w:t>multi-disciplinary, patient centred care to assist with post-sepsis syndromes</w:t>
      </w:r>
    </w:p>
    <w:p w14:paraId="459337E3" w14:textId="77777777" w:rsidR="00E20DC2" w:rsidRDefault="00E20DC2" w:rsidP="008E5623">
      <w:pPr>
        <w:numPr>
          <w:ilvl w:val="0"/>
          <w:numId w:val="28"/>
        </w:numPr>
        <w:spacing w:before="0" w:after="160" w:line="259" w:lineRule="auto"/>
        <w:contextualSpacing/>
      </w:pPr>
      <w:r w:rsidRPr="00A93861">
        <w:t>clear communication</w:t>
      </w:r>
      <w:r>
        <w:t xml:space="preserve"> and planning</w:t>
      </w:r>
      <w:r w:rsidRPr="00A93861">
        <w:t xml:space="preserve"> including quality of discharge paperwork</w:t>
      </w:r>
    </w:p>
    <w:p w14:paraId="3BD3D722" w14:textId="77777777" w:rsidR="00E20DC2" w:rsidRPr="00A93861" w:rsidRDefault="00E20DC2" w:rsidP="008E5623">
      <w:pPr>
        <w:numPr>
          <w:ilvl w:val="0"/>
          <w:numId w:val="28"/>
        </w:numPr>
        <w:spacing w:before="0" w:after="160" w:line="259" w:lineRule="auto"/>
        <w:contextualSpacing/>
      </w:pPr>
      <w:r>
        <w:t>access to a general practitioner</w:t>
      </w:r>
    </w:p>
    <w:p w14:paraId="48F0FAC2" w14:textId="77777777" w:rsidR="00E20DC2" w:rsidRPr="00A93861" w:rsidRDefault="00E20DC2" w:rsidP="008E5623">
      <w:pPr>
        <w:numPr>
          <w:ilvl w:val="0"/>
          <w:numId w:val="28"/>
        </w:numPr>
        <w:spacing w:before="0" w:after="160" w:line="259" w:lineRule="auto"/>
        <w:contextualSpacing/>
      </w:pPr>
      <w:r w:rsidRPr="00A93861">
        <w:t>support to transition to primary care and availability of community resources</w:t>
      </w:r>
    </w:p>
    <w:p w14:paraId="5FD0C249" w14:textId="77777777" w:rsidR="00E20DC2" w:rsidRPr="00A93861" w:rsidRDefault="00E20DC2" w:rsidP="008E5623">
      <w:pPr>
        <w:numPr>
          <w:ilvl w:val="0"/>
          <w:numId w:val="28"/>
        </w:numPr>
        <w:spacing w:before="0" w:after="160" w:line="259" w:lineRule="auto"/>
        <w:contextualSpacing/>
      </w:pPr>
      <w:r w:rsidRPr="00A93861">
        <w:t>post-sepsis care pathways</w:t>
      </w:r>
    </w:p>
    <w:p w14:paraId="66BA543E" w14:textId="77777777" w:rsidR="00E20DC2" w:rsidRPr="00A93861" w:rsidRDefault="00E20DC2" w:rsidP="008E5623">
      <w:pPr>
        <w:numPr>
          <w:ilvl w:val="0"/>
          <w:numId w:val="28"/>
        </w:numPr>
        <w:spacing w:before="0" w:after="160" w:line="259" w:lineRule="auto"/>
        <w:contextualSpacing/>
      </w:pPr>
      <w:r w:rsidRPr="00A93861">
        <w:t>social determinants such as income and secure housing</w:t>
      </w:r>
    </w:p>
    <w:p w14:paraId="153EB3AE" w14:textId="77777777" w:rsidR="00E20DC2" w:rsidRPr="00A93861" w:rsidRDefault="00E20DC2" w:rsidP="008E5623">
      <w:pPr>
        <w:numPr>
          <w:ilvl w:val="0"/>
          <w:numId w:val="28"/>
        </w:numPr>
        <w:spacing w:before="0" w:after="160" w:line="259" w:lineRule="auto"/>
        <w:contextualSpacing/>
      </w:pPr>
      <w:r w:rsidRPr="00A93861">
        <w:lastRenderedPageBreak/>
        <w:t>health literacy.</w:t>
      </w:r>
    </w:p>
    <w:p w14:paraId="217FD5EE" w14:textId="77777777" w:rsidR="00E20DC2" w:rsidRDefault="00E20DC2" w:rsidP="00E20DC2"/>
    <w:p w14:paraId="1CA77573" w14:textId="4281D415" w:rsidR="008105C7" w:rsidRPr="00A93861" w:rsidRDefault="008105C7" w:rsidP="008105C7">
      <w:pPr>
        <w:spacing w:before="0" w:after="160" w:line="259" w:lineRule="auto"/>
        <w:contextualSpacing/>
      </w:pPr>
      <w:r w:rsidRPr="00A93861">
        <w:t xml:space="preserve">While healthcare teams can help arrange support services a patient needs on discharge, the treating hospital may not be as adept to connect out-of-area patients to their own locally accessible </w:t>
      </w:r>
      <w:r>
        <w:t xml:space="preserve">general practice, </w:t>
      </w:r>
      <w:r w:rsidRPr="00A93861">
        <w:t>transition care programs or home and community care programs. As a result, patients transferred to hospitals outside of their locality may fall through the gap. The road to recovery post-sepsis can be long and complex. Those who struggle and have no access to support networks have higher risk of readmission. Readmission can cause further emotional and financial pressure (e.g. loss of income) and the cycle of poor health outcomes with poorer social determinants of health compounds.</w:t>
      </w:r>
      <w:r>
        <w:t xml:space="preserve"> Health services may also benefit from further consideration of post sepsis readmission risk for people who have cancer, renal disease, diabetes and </w:t>
      </w:r>
      <w:r w:rsidR="004A489C">
        <w:t>chronic obstructive pulmonary disease (</w:t>
      </w:r>
      <w:r>
        <w:t>COPD</w:t>
      </w:r>
      <w:r w:rsidR="004A489C">
        <w:t>)</w:t>
      </w:r>
      <w:r>
        <w:t>.</w:t>
      </w:r>
    </w:p>
    <w:p w14:paraId="5F516FE0" w14:textId="77777777" w:rsidR="008105C7" w:rsidRPr="00A93861" w:rsidRDefault="008105C7" w:rsidP="008105C7"/>
    <w:p w14:paraId="523DDFEE" w14:textId="77777777" w:rsidR="008105C7" w:rsidRDefault="008105C7" w:rsidP="008105C7">
      <w:r w:rsidRPr="00A93861">
        <w:t xml:space="preserve">More than one in five 30-day post-sepsis readmissions had sepsis documented as ‘present on admission’. In other words, </w:t>
      </w:r>
      <w:r w:rsidRPr="00A93861">
        <w:rPr>
          <w:i/>
          <w:iCs/>
        </w:rPr>
        <w:t>at least one in five sepsis cases readmitted within 30 days were treated for sepsis again</w:t>
      </w:r>
      <w:r w:rsidRPr="00A93861">
        <w:t>. With less emergency admissions, fewer ICU admissions and shorter hospital stays, analysis suggests patients readmitted within 30 days presented with less complex health conditions compared to their earlier sepsis episode. Maternal sepsis was also uncommon among women readmitted within 30 days after sepsis treatment.</w:t>
      </w:r>
    </w:p>
    <w:p w14:paraId="70E772B3" w14:textId="77777777" w:rsidR="00F2251D" w:rsidRPr="00F2251D" w:rsidRDefault="00F2251D" w:rsidP="007C0EA9">
      <w:pPr>
        <w:pStyle w:val="Heading2"/>
      </w:pPr>
      <w:bookmarkStart w:id="67" w:name="_Toc187133204"/>
      <w:bookmarkStart w:id="68" w:name="_Toc187313284"/>
      <w:bookmarkStart w:id="69" w:name="_Toc203549632"/>
      <w:bookmarkStart w:id="70" w:name="_Toc206495294"/>
      <w:r w:rsidRPr="00F2251D">
        <w:t>30-day pre-sepsis separations</w:t>
      </w:r>
      <w:bookmarkEnd w:id="67"/>
      <w:bookmarkEnd w:id="68"/>
      <w:bookmarkEnd w:id="69"/>
      <w:bookmarkEnd w:id="70"/>
    </w:p>
    <w:p w14:paraId="7A2826BF" w14:textId="77777777" w:rsidR="00F2251D" w:rsidRPr="00F2251D" w:rsidRDefault="00F2251D" w:rsidP="00F2251D">
      <w:r w:rsidRPr="00F2251D">
        <w:t>The 2022-23 results showed similarities between the 30-day all cause readmissions and 30-day pre-sepsis. Compared to the sepsis group, the pre- sepsis group was also slightly younger, with greater socioeconomic disadvantage and had higher representation from patients outside of major cities.</w:t>
      </w:r>
    </w:p>
    <w:p w14:paraId="716378FA" w14:textId="77777777" w:rsidR="00F2251D" w:rsidRPr="00F2251D" w:rsidRDefault="00F2251D" w:rsidP="00F2251D">
      <w:r w:rsidRPr="00F2251D">
        <w:t>Although in small proportions, analysis identified two most common non-sepsis diagnoses across the sepsis, 30-day post-sepsis, and 30-day pre-sepsis groups:</w:t>
      </w:r>
    </w:p>
    <w:p w14:paraId="1024F7F3" w14:textId="77777777" w:rsidR="00F2251D" w:rsidRPr="00F2251D" w:rsidRDefault="00F2251D" w:rsidP="008E5623">
      <w:pPr>
        <w:numPr>
          <w:ilvl w:val="0"/>
          <w:numId w:val="29"/>
        </w:numPr>
        <w:rPr>
          <w:i/>
          <w:iCs/>
        </w:rPr>
      </w:pPr>
      <w:r w:rsidRPr="00F2251D">
        <w:rPr>
          <w:i/>
          <w:iCs/>
        </w:rPr>
        <w:t>pneumonia, unspecified</w:t>
      </w:r>
    </w:p>
    <w:p w14:paraId="7548D2C2" w14:textId="77777777" w:rsidR="00F2251D" w:rsidRPr="00F2251D" w:rsidRDefault="00F2251D" w:rsidP="008E5623">
      <w:pPr>
        <w:numPr>
          <w:ilvl w:val="0"/>
          <w:numId w:val="29"/>
        </w:numPr>
        <w:rPr>
          <w:i/>
          <w:iCs/>
        </w:rPr>
      </w:pPr>
      <w:r w:rsidRPr="00F2251D">
        <w:rPr>
          <w:i/>
          <w:iCs/>
        </w:rPr>
        <w:t>urinary tract infection, site not specified.</w:t>
      </w:r>
    </w:p>
    <w:p w14:paraId="3B0B224E" w14:textId="77777777" w:rsidR="00F2251D" w:rsidRPr="00F2251D" w:rsidRDefault="00F2251D" w:rsidP="00F2251D">
      <w:r w:rsidRPr="00F2251D">
        <w:t>Median age differences compared to the sepsis group was not large, as the majority of patients in all groups were still in the 65 years and older cohort. Age may be a factor in the discharge timing by health services; however, there are additional factors that may also contribute to this decision.</w:t>
      </w:r>
    </w:p>
    <w:p w14:paraId="352FEEE4" w14:textId="77777777" w:rsidR="00F2251D" w:rsidRPr="00F2251D" w:rsidRDefault="00F2251D" w:rsidP="00F2251D">
      <w:r w:rsidRPr="00F2251D">
        <w:t>Generally, younger patients may have fewer complications and are expected to recover faster, making them candidates for earlier discharge. Considering that sepsis is primarily treated in major city hospitals, patients from rural and remote areas, as well as those with greater socio-economic disadvantages, may prefer to recover closer to home, where more affordable support systems may be available.</w:t>
      </w:r>
    </w:p>
    <w:p w14:paraId="0AEC7188" w14:textId="77777777" w:rsidR="00F2251D" w:rsidRPr="00F2251D" w:rsidRDefault="00F2251D" w:rsidP="00F2251D">
      <w:r w:rsidRPr="00F2251D">
        <w:t>Improving identification and management of complex infection cases (or an infection diagnosis more generally), and the transfer of such information in the case of patients presenting to different hospitals, would better equip a health service to evaluate the likelihood of a patient developing sepsis, and/or mitigate a subsequent sepsis hospitalisation through targeted sepsis risk management strategies.</w:t>
      </w:r>
    </w:p>
    <w:p w14:paraId="028F0269" w14:textId="77777777" w:rsidR="005D02E1" w:rsidRDefault="005D02E1"/>
    <w:p w14:paraId="470A3230" w14:textId="77777777" w:rsidR="00C245ED" w:rsidRPr="00C245ED" w:rsidRDefault="00C245ED" w:rsidP="007C0EA9">
      <w:pPr>
        <w:pStyle w:val="Heading2"/>
      </w:pPr>
      <w:bookmarkStart w:id="71" w:name="_Toc187133205"/>
      <w:bookmarkStart w:id="72" w:name="_Toc187313285"/>
      <w:bookmarkStart w:id="73" w:name="_Toc203549633"/>
      <w:bookmarkStart w:id="74" w:name="_Toc206495295"/>
      <w:r w:rsidRPr="00C245ED">
        <w:lastRenderedPageBreak/>
        <w:t>Analysis limitations</w:t>
      </w:r>
      <w:bookmarkEnd w:id="71"/>
      <w:bookmarkEnd w:id="72"/>
      <w:bookmarkEnd w:id="73"/>
      <w:bookmarkEnd w:id="74"/>
    </w:p>
    <w:p w14:paraId="6D34289C" w14:textId="77777777" w:rsidR="00C245ED" w:rsidRPr="00C245ED" w:rsidRDefault="00C245ED" w:rsidP="00C245ED">
      <w:pPr>
        <w:pStyle w:val="Heading3"/>
      </w:pPr>
      <w:bookmarkStart w:id="75" w:name="_Toc187133206"/>
      <w:bookmarkStart w:id="76" w:name="_Toc187313286"/>
      <w:r w:rsidRPr="00C245ED">
        <w:t>Jurisdictional comparison</w:t>
      </w:r>
      <w:bookmarkEnd w:id="75"/>
      <w:bookmarkEnd w:id="76"/>
    </w:p>
    <w:p w14:paraId="0506EC53" w14:textId="77777777" w:rsidR="00C245ED" w:rsidRPr="00C245ED" w:rsidRDefault="00C245ED" w:rsidP="00C245ED">
      <w:r w:rsidRPr="00C245ED">
        <w:t>This analysis did not provide comparisons between Australian states and territories.</w:t>
      </w:r>
    </w:p>
    <w:p w14:paraId="75A4E52B" w14:textId="77777777" w:rsidR="00C245ED" w:rsidRPr="00C245ED" w:rsidRDefault="00C245ED" w:rsidP="00C245ED">
      <w:pPr>
        <w:rPr>
          <w:b/>
        </w:rPr>
      </w:pPr>
      <w:bookmarkStart w:id="77" w:name="_Toc187133207"/>
      <w:bookmarkStart w:id="78" w:name="_Toc187313287"/>
      <w:r w:rsidRPr="00C245ED">
        <w:rPr>
          <w:b/>
        </w:rPr>
        <w:t>Sepsis outside of public admitted care</w:t>
      </w:r>
      <w:bookmarkEnd w:id="77"/>
      <w:bookmarkEnd w:id="78"/>
    </w:p>
    <w:p w14:paraId="51F8AB97" w14:textId="77777777" w:rsidR="00C245ED" w:rsidRPr="00C245ED" w:rsidRDefault="00C245ED" w:rsidP="00C245ED">
      <w:r w:rsidRPr="00C245ED">
        <w:t>Analysis was limited to publicly funded admitted care. Therefore, this report did not examine:</w:t>
      </w:r>
    </w:p>
    <w:p w14:paraId="4BDB9B31" w14:textId="77777777" w:rsidR="00C245ED" w:rsidRPr="00C245ED" w:rsidRDefault="00C245ED" w:rsidP="008E5623">
      <w:pPr>
        <w:numPr>
          <w:ilvl w:val="0"/>
          <w:numId w:val="30"/>
        </w:numPr>
      </w:pPr>
      <w:r w:rsidRPr="00C245ED">
        <w:t>sepsis in private hospitals</w:t>
      </w:r>
    </w:p>
    <w:p w14:paraId="42DD90C0" w14:textId="77777777" w:rsidR="00C245ED" w:rsidRPr="00C245ED" w:rsidRDefault="00C245ED" w:rsidP="008E5623">
      <w:pPr>
        <w:numPr>
          <w:ilvl w:val="0"/>
          <w:numId w:val="30"/>
        </w:numPr>
      </w:pPr>
      <w:r w:rsidRPr="00C245ED">
        <w:t>sepsis patients presenting to emergency departments (prior to public hospital admission)</w:t>
      </w:r>
    </w:p>
    <w:p w14:paraId="4906E972" w14:textId="77777777" w:rsidR="00C245ED" w:rsidRPr="00C245ED" w:rsidRDefault="00C245ED" w:rsidP="008E5623">
      <w:pPr>
        <w:numPr>
          <w:ilvl w:val="0"/>
          <w:numId w:val="30"/>
        </w:numPr>
      </w:pPr>
      <w:r w:rsidRPr="00C245ED">
        <w:t>the role of primary care, including follow-up care by general practice and care transition programs in the sepsis recovery journey.</w:t>
      </w:r>
    </w:p>
    <w:p w14:paraId="2D443A66" w14:textId="77777777" w:rsidR="00C245ED" w:rsidRPr="00C245ED" w:rsidRDefault="00C245ED" w:rsidP="00C245ED">
      <w:r w:rsidRPr="00C245ED">
        <w:t>Data for non-public hospitals were outside the scope of the Commission’s data access arrangements at the time of analysis. Due to time constraints associated with this report, it was not feasible to obtain the necessary approvals from data custodians to enable the data transfer.</w:t>
      </w:r>
    </w:p>
    <w:p w14:paraId="2D8130ED" w14:textId="77777777" w:rsidR="00C245ED" w:rsidRPr="00C245ED" w:rsidRDefault="00C245ED" w:rsidP="00C245ED">
      <w:r w:rsidRPr="00C245ED">
        <w:t>Publicly available information which encompass both public and private hospitals, such as the Principal diagnosis and AR-DRG level</w:t>
      </w:r>
      <w:r w:rsidRPr="00C245ED">
        <w:rPr>
          <w:u w:val="single"/>
        </w:rPr>
        <w:t xml:space="preserve"> </w:t>
      </w:r>
      <w:hyperlink r:id="rId31" w:history="1">
        <w:r w:rsidRPr="00C245ED">
          <w:rPr>
            <w:rStyle w:val="Hyperlink"/>
          </w:rPr>
          <w:t>data cubes</w:t>
        </w:r>
      </w:hyperlink>
      <w:r w:rsidRPr="00C245ED">
        <w:t xml:space="preserve"> maintained by the Australian Institute of Health and Welfare, were assessed and determined unsuitable for this report’s objectives. This analysis found that in 2022-23 alone, less than 40% of explicitly defined sepsis separations in public hospitals recorded sepsis as the principal diagnosis. Similarly, the septicaemia DRG accounted for only about one third of all sepsis separations. Secondary diagnoses level data cubes were not readily available. Furthermore, publicly available sources did not offer the capability to link patients across multiple hospital admissions to identify those re-hospitalised following sepsis discharge, or those in hospital before sepsis.</w:t>
      </w:r>
    </w:p>
    <w:p w14:paraId="503EADB8" w14:textId="77777777" w:rsidR="00C245ED" w:rsidRPr="00C245ED" w:rsidRDefault="00C245ED" w:rsidP="00C245ED">
      <w:r w:rsidRPr="00C245ED">
        <w:t>Consequently, age and sex standardised sepsis rates in this report is an underestimation compared to the broader population-based incidence of sepsis across both public and private hospitals.</w:t>
      </w:r>
    </w:p>
    <w:p w14:paraId="7EA27A83" w14:textId="77777777" w:rsidR="00EA15C2" w:rsidRPr="00EA15C2" w:rsidRDefault="00EA15C2" w:rsidP="007C0EA9">
      <w:pPr>
        <w:pStyle w:val="Heading2"/>
      </w:pPr>
      <w:bookmarkStart w:id="79" w:name="_Toc187133208"/>
      <w:bookmarkStart w:id="80" w:name="_Toc187313288"/>
      <w:bookmarkStart w:id="81" w:name="_Toc206495296"/>
      <w:r w:rsidRPr="00EA15C2">
        <w:t>Data source coverage</w:t>
      </w:r>
      <w:bookmarkEnd w:id="79"/>
      <w:bookmarkEnd w:id="80"/>
      <w:bookmarkEnd w:id="81"/>
    </w:p>
    <w:p w14:paraId="3A42E615" w14:textId="77777777" w:rsidR="00EA15C2" w:rsidRPr="00EA15C2" w:rsidRDefault="00EA15C2" w:rsidP="00EA15C2">
      <w:r w:rsidRPr="00EA15C2">
        <w:t>Mortality was restricted to deaths in public hospitals due to the scope of the Commission’s data access arrangements. Analysis reported in-hospital deaths for readmissions within 30 days following a sepsis separation, not broader 30-day mortality post sepsis, due to lack of linkage to other data collections such as the births and deaths registries from respective jurisdictions. Therefore, deaths outside of the public hospital system were not captured.</w:t>
      </w:r>
    </w:p>
    <w:p w14:paraId="33817C16" w14:textId="77777777" w:rsidR="00EA15C2" w:rsidRPr="00EA15C2" w:rsidRDefault="00EA15C2" w:rsidP="00EA15C2">
      <w:r w:rsidRPr="00EA15C2">
        <w:t>Readmission analysis period was limited to 2015-16 to 2022-23 due to data availability.</w:t>
      </w:r>
    </w:p>
    <w:p w14:paraId="09822446" w14:textId="77777777" w:rsidR="00EA15C2" w:rsidRPr="00EA15C2" w:rsidRDefault="00EA15C2" w:rsidP="00EA15C2">
      <w:r w:rsidRPr="00EA15C2">
        <w:t>The ability to differentiate between discharge/transfer to residential aged care service between usual place of residence versus not usual place of residence was only possible from 2022-23 onwards. Modes of separation collected in earlier years did not allow for this level of detail.</w:t>
      </w:r>
    </w:p>
    <w:p w14:paraId="1DE8B79C" w14:textId="497F9174" w:rsidR="005D02E1" w:rsidRDefault="00EA15C2">
      <w:r w:rsidRPr="00EA15C2">
        <w:t>Analysis was unable to identify patients based on culturally and linguistically diverse backgrounds, as the information is not available from this national dataset.</w:t>
      </w:r>
    </w:p>
    <w:p w14:paraId="0AF37F96" w14:textId="77777777" w:rsidR="005C7EC8" w:rsidRPr="005C7EC8" w:rsidRDefault="005C7EC8" w:rsidP="005C7EC8">
      <w:pPr>
        <w:pStyle w:val="Heading3"/>
      </w:pPr>
      <w:bookmarkStart w:id="82" w:name="_Toc187133209"/>
      <w:bookmarkStart w:id="83" w:name="_Toc187313289"/>
      <w:r w:rsidRPr="005C7EC8">
        <w:t>Sepsis coding</w:t>
      </w:r>
      <w:bookmarkEnd w:id="82"/>
      <w:bookmarkEnd w:id="83"/>
    </w:p>
    <w:p w14:paraId="3A725B29" w14:textId="77777777" w:rsidR="005C7EC8" w:rsidRPr="005C7EC8" w:rsidRDefault="005C7EC8" w:rsidP="005C7EC8">
      <w:r w:rsidRPr="005C7EC8">
        <w:t>This analysis identified sepsis separations based on explicit sepsis codes (</w:t>
      </w:r>
      <w:hyperlink w:anchor="_Appendix_A:_Explicit" w:history="1">
        <w:r w:rsidRPr="005C7EC8">
          <w:rPr>
            <w:rStyle w:val="Hyperlink"/>
          </w:rPr>
          <w:t>Appendix A</w:t>
        </w:r>
      </w:hyperlink>
      <w:r w:rsidRPr="005C7EC8">
        <w:t xml:space="preserve">), using ICD-10-AM. It is acknowledged more sepsis separations would be reported if sepsis was also defined using an implicit (coding combination) approach. While the explicit method provided </w:t>
      </w:r>
      <w:r w:rsidRPr="005C7EC8">
        <w:lastRenderedPageBreak/>
        <w:t>high specificity and would capture patients who were more unwell, an implicit method may provide better sensitivity and identify sepsis patients with better health outcomes/lower mortality rates. Since code combinations for implicit sepsis varied across literature, this analysis considered only explicit sepsis coding as a conservative approach.</w:t>
      </w:r>
    </w:p>
    <w:p w14:paraId="501FFA2D" w14:textId="77777777" w:rsidR="005C7EC8" w:rsidRPr="005C7EC8" w:rsidRDefault="005C7EC8" w:rsidP="005C7EC8">
      <w:r w:rsidRPr="005C7EC8">
        <w:t>Diagnosis Related Group for separations prior to 2015-16 were based on version 7 of the AR-DRG, and version 8 was used for later years due to data availability.</w:t>
      </w:r>
    </w:p>
    <w:p w14:paraId="75CD78B8" w14:textId="77777777" w:rsidR="005C7EC8" w:rsidRPr="005C7EC8" w:rsidRDefault="005C7EC8" w:rsidP="005C7EC8">
      <w:pPr>
        <w:pStyle w:val="Heading3"/>
      </w:pPr>
      <w:bookmarkStart w:id="84" w:name="_Toc187133210"/>
      <w:bookmarkStart w:id="85" w:name="_Toc187313290"/>
      <w:r w:rsidRPr="005C7EC8">
        <w:t>Covid-19</w:t>
      </w:r>
      <w:bookmarkEnd w:id="84"/>
      <w:bookmarkEnd w:id="85"/>
    </w:p>
    <w:p w14:paraId="669D2C05" w14:textId="77777777" w:rsidR="005C7EC8" w:rsidRPr="005C7EC8" w:rsidRDefault="005C7EC8" w:rsidP="005C7EC8">
      <w:r w:rsidRPr="005C7EC8">
        <w:t xml:space="preserve">According to the </w:t>
      </w:r>
      <w:hyperlink r:id="rId32" w:history="1">
        <w:r w:rsidRPr="005C7EC8">
          <w:rPr>
            <w:rStyle w:val="Hyperlink"/>
          </w:rPr>
          <w:t>WHO</w:t>
        </w:r>
      </w:hyperlink>
      <w:r w:rsidRPr="005C7EC8">
        <w:t>, ‘sepsis is usually caused by bacterial infections but may be the result of other infections such as viruses, parasites or fungi.’ The analysis period included the COVID-19 pandemic, when there were likely elevated cases of viral sepsis in hospitals and associated excess deaths.</w:t>
      </w:r>
    </w:p>
    <w:p w14:paraId="36AE9B5A" w14:textId="77777777" w:rsidR="005C7EC8" w:rsidRPr="005C7EC8" w:rsidRDefault="005C7EC8" w:rsidP="005C7EC8">
      <w:r w:rsidRPr="005C7EC8">
        <w:t>Impacts of COVID-19 may be reflected in the data from the type of patients presenting to hospitals to the provision of care and clinical outcomes. Delay in sepsis patients seeking care during the pandemic due to elective surgery restrictions and challenges in accessing general practices, have downstream implications on mortality. Conversely, initiatives aimed at mitigating community infections during this period, such as isolation and mask wearing, may have applied downward pressure on sepsis hospitalisations.</w:t>
      </w:r>
    </w:p>
    <w:p w14:paraId="33DAB8DC" w14:textId="77777777" w:rsidR="005E0042" w:rsidRPr="005E0042" w:rsidRDefault="005E0042" w:rsidP="007C0EA9">
      <w:pPr>
        <w:pStyle w:val="Heading2"/>
      </w:pPr>
      <w:bookmarkStart w:id="86" w:name="_Toc187133211"/>
      <w:bookmarkStart w:id="87" w:name="_Toc187313291"/>
      <w:bookmarkStart w:id="88" w:name="_Toc203549634"/>
      <w:bookmarkStart w:id="89" w:name="_Toc206495297"/>
      <w:r w:rsidRPr="005E0042">
        <w:t>Future Directions</w:t>
      </w:r>
      <w:bookmarkEnd w:id="86"/>
      <w:bookmarkEnd w:id="87"/>
      <w:bookmarkEnd w:id="88"/>
      <w:bookmarkEnd w:id="89"/>
    </w:p>
    <w:p w14:paraId="68F28F02" w14:textId="77777777" w:rsidR="005E0042" w:rsidRPr="005E0042" w:rsidRDefault="005E0042" w:rsidP="00406078">
      <w:pPr>
        <w:pStyle w:val="Heading3"/>
      </w:pPr>
      <w:bookmarkStart w:id="90" w:name="_Toc187133212"/>
      <w:bookmarkStart w:id="91" w:name="_Toc187313292"/>
      <w:r w:rsidRPr="005E0042">
        <w:t>Jurisdictional analysis</w:t>
      </w:r>
      <w:bookmarkEnd w:id="90"/>
      <w:bookmarkEnd w:id="91"/>
    </w:p>
    <w:p w14:paraId="3C653DAE" w14:textId="77777777" w:rsidR="005E0042" w:rsidRPr="005E0042" w:rsidRDefault="005E0042" w:rsidP="005E0042">
      <w:r w:rsidRPr="005E0042">
        <w:t>This analysis did not examine sepsis at the states and territories level. Permissions from jurisdictional data custodians could facilitate identification of jurisdictional specific outcomes. Such outcomes may enable tailoring of strategies to enhance safety and quality of sepsis care, and better support of the patient journey.</w:t>
      </w:r>
    </w:p>
    <w:p w14:paraId="12FC2304" w14:textId="77777777" w:rsidR="005E0042" w:rsidRPr="005E0042" w:rsidRDefault="005E0042" w:rsidP="005E0042">
      <w:r w:rsidRPr="005E0042">
        <w:t>Other useful measures for comparison between national and jurisdictional results, such as hospital incidence of sepsis, can also be explored. Jurisdictional level comparisons could also provide a clearer understanding of any differences in DRG classification and/or coding practices among health services across various states and territories to identify best practice and improve patient outcomes.</w:t>
      </w:r>
    </w:p>
    <w:p w14:paraId="6DD80C05" w14:textId="77777777" w:rsidR="005E0042" w:rsidRPr="005E0042" w:rsidRDefault="005E0042" w:rsidP="00406078">
      <w:pPr>
        <w:pStyle w:val="Heading3"/>
      </w:pPr>
      <w:bookmarkStart w:id="92" w:name="_Toc187133213"/>
      <w:bookmarkStart w:id="93" w:name="_Toc187313293"/>
      <w:r w:rsidRPr="005E0042">
        <w:t>Sector analysis outside of public admitted care</w:t>
      </w:r>
      <w:bookmarkEnd w:id="92"/>
      <w:bookmarkEnd w:id="93"/>
    </w:p>
    <w:p w14:paraId="1452052B" w14:textId="77777777" w:rsidR="005E0042" w:rsidRPr="005E0042" w:rsidRDefault="005E0042" w:rsidP="005E0042">
      <w:r w:rsidRPr="005E0042">
        <w:t>To gain a comprehensive understanding of sepsis care in hospital, it is essential to consider the important roles played by private hospitals and emergency departments. Future analysis may focus on quantifying sepsis presentations via emergency departments, examine subsequent transfers to (and from) public and private hospitals, and explore the role of public-private hospital partnerships as part of broader sepsis management within Australian hospitals.</w:t>
      </w:r>
    </w:p>
    <w:p w14:paraId="299D0516" w14:textId="77777777" w:rsidR="005E0042" w:rsidRPr="005E0042" w:rsidRDefault="005E0042" w:rsidP="00406078">
      <w:pPr>
        <w:pStyle w:val="Heading3"/>
      </w:pPr>
      <w:bookmarkStart w:id="94" w:name="_Toc187133214"/>
      <w:bookmarkStart w:id="95" w:name="_Toc187313294"/>
      <w:r w:rsidRPr="005E0042">
        <w:t>National sepsis data collection</w:t>
      </w:r>
      <w:bookmarkEnd w:id="94"/>
      <w:bookmarkEnd w:id="95"/>
    </w:p>
    <w:p w14:paraId="07D8D4E4" w14:textId="77777777" w:rsidR="005E0042" w:rsidRPr="005E0042" w:rsidRDefault="005E0042" w:rsidP="005E0042">
      <w:r w:rsidRPr="005E0042">
        <w:t xml:space="preserve">The administrative data collection used does not enable analyses by culturally and linguistically diverse (CALD) factors. The Australian Bureau of Statistics (ABS)’s national framework on ‘collection and dissemination of data on cultural and language diversity’ </w:t>
      </w:r>
      <w:hyperlink r:id="rId33" w:history="1">
        <w:r w:rsidRPr="005E0042">
          <w:rPr>
            <w:rStyle w:val="Hyperlink"/>
          </w:rPr>
          <w:t>recommends</w:t>
        </w:r>
      </w:hyperlink>
      <w:r w:rsidRPr="005E0042">
        <w:t xml:space="preserve"> the below at a minimum:</w:t>
      </w:r>
    </w:p>
    <w:p w14:paraId="246BF5A3" w14:textId="77777777" w:rsidR="005E0042" w:rsidRPr="005E0042" w:rsidRDefault="005E0042" w:rsidP="008E5623">
      <w:pPr>
        <w:numPr>
          <w:ilvl w:val="0"/>
          <w:numId w:val="31"/>
        </w:numPr>
      </w:pPr>
      <w:r w:rsidRPr="005E0042">
        <w:t>Country of Birth of Person</w:t>
      </w:r>
    </w:p>
    <w:p w14:paraId="5CBB3AA4" w14:textId="77777777" w:rsidR="005E0042" w:rsidRPr="005E0042" w:rsidRDefault="005E0042" w:rsidP="008E5623">
      <w:pPr>
        <w:numPr>
          <w:ilvl w:val="0"/>
          <w:numId w:val="31"/>
        </w:numPr>
      </w:pPr>
      <w:r w:rsidRPr="005E0042">
        <w:t>Main Language Other Than English Spoken at Home</w:t>
      </w:r>
    </w:p>
    <w:p w14:paraId="15C589E9" w14:textId="77777777" w:rsidR="005E0042" w:rsidRPr="005E0042" w:rsidRDefault="005E0042" w:rsidP="008E5623">
      <w:pPr>
        <w:numPr>
          <w:ilvl w:val="0"/>
          <w:numId w:val="31"/>
        </w:numPr>
      </w:pPr>
      <w:r w:rsidRPr="005E0042">
        <w:t>Proficiency in Spoken English</w:t>
      </w:r>
    </w:p>
    <w:p w14:paraId="56486B70" w14:textId="77777777" w:rsidR="005E0042" w:rsidRPr="005E0042" w:rsidRDefault="005E0042" w:rsidP="008E5623">
      <w:pPr>
        <w:numPr>
          <w:ilvl w:val="0"/>
          <w:numId w:val="31"/>
        </w:numPr>
      </w:pPr>
      <w:r w:rsidRPr="005E0042">
        <w:lastRenderedPageBreak/>
        <w:t>Indigenous Status.</w:t>
      </w:r>
    </w:p>
    <w:p w14:paraId="65812D13" w14:textId="77777777" w:rsidR="005E0042" w:rsidRPr="005E0042" w:rsidRDefault="005E0042" w:rsidP="005E0042">
      <w:r w:rsidRPr="005E0042">
        <w:t xml:space="preserve">Development of a national sepsis data collection, as recommended in </w:t>
      </w:r>
      <w:hyperlink r:id="rId34" w:history="1">
        <w:r w:rsidRPr="005E0042">
          <w:rPr>
            <w:rStyle w:val="Hyperlink"/>
          </w:rPr>
          <w:t>Stopping Sepsis: A National Action Plan</w:t>
        </w:r>
      </w:hyperlink>
      <w:r w:rsidRPr="005E0042">
        <w:t>, would benefit from including the 4 Minimum Core Set of Cultural and Language Indicators listed above.</w:t>
      </w:r>
    </w:p>
    <w:p w14:paraId="74D260A3" w14:textId="77777777" w:rsidR="00524FC5" w:rsidRPr="00524FC5" w:rsidRDefault="00524FC5" w:rsidP="00524FC5">
      <w:pPr>
        <w:pStyle w:val="Heading3"/>
      </w:pPr>
      <w:bookmarkStart w:id="96" w:name="_Toc187133215"/>
      <w:bookmarkStart w:id="97" w:name="_Toc187313295"/>
      <w:r w:rsidRPr="00524FC5">
        <w:t>Implicit sepsis definition and code combinations</w:t>
      </w:r>
      <w:bookmarkEnd w:id="96"/>
      <w:bookmarkEnd w:id="97"/>
    </w:p>
    <w:p w14:paraId="45D2404E" w14:textId="77777777" w:rsidR="00524FC5" w:rsidRPr="00524FC5" w:rsidRDefault="00524FC5" w:rsidP="00524FC5">
      <w:r w:rsidRPr="00524FC5">
        <w:t>Further efforts are needed to investigate identifying sepsis through an implicit method, such as considering an organ dysfunction diagnosis together with a diagnosis for infection. This work will include finalising the exact organ dysfunction and infection combinations to look for, to strike a balance between better sensitivity with the expected increase in false positives. Other methods of deriving implicit sepsis cases from combinations of diagnoses codes in a single record could also be investigated.</w:t>
      </w:r>
    </w:p>
    <w:p w14:paraId="2DF9CA2D" w14:textId="77777777" w:rsidR="00524FC5" w:rsidRPr="00524FC5" w:rsidRDefault="00524FC5" w:rsidP="00524FC5">
      <w:r w:rsidRPr="00524FC5">
        <w:t>Consensus on the exact code combinations to define sepsis, using both implicit and explicit methods, will enable more comparable and comprehensive future analyses of the sepsis patient journey within Australian hospitals.</w:t>
      </w:r>
    </w:p>
    <w:p w14:paraId="62CDF205" w14:textId="77777777" w:rsidR="00524FC5" w:rsidRPr="00524FC5" w:rsidRDefault="00524FC5" w:rsidP="00524FC5">
      <w:pPr>
        <w:pStyle w:val="Heading3"/>
      </w:pPr>
      <w:bookmarkStart w:id="98" w:name="_Toc187133216"/>
      <w:bookmarkStart w:id="99" w:name="_Toc187313296"/>
      <w:r w:rsidRPr="00524FC5">
        <w:t>Targeted sub-group analysis</w:t>
      </w:r>
      <w:bookmarkEnd w:id="98"/>
      <w:bookmarkEnd w:id="99"/>
    </w:p>
    <w:p w14:paraId="11CA8336" w14:textId="77777777" w:rsidR="00524FC5" w:rsidRPr="00524FC5" w:rsidRDefault="00524FC5" w:rsidP="00524FC5">
      <w:r w:rsidRPr="00524FC5">
        <w:t xml:space="preserve">Analyses to explore local variation in sepsis, at the hospital or patient geographic level, and associated health outcomes such as mortality are also recommended. Analysis of sepsis at a regional level could identify areas with higher rates of sepsis and help inform local policy and responses. Exploring variation of health care use against patient preferences and underlying needs to identify potential areas of unwarranted variation, such as in the </w:t>
      </w:r>
      <w:hyperlink r:id="rId35" w:history="1">
        <w:r w:rsidRPr="00524FC5">
          <w:rPr>
            <w:rStyle w:val="Hyperlink"/>
            <w:i/>
            <w:iCs/>
          </w:rPr>
          <w:t>Australian Atlas of Healthcare Variation</w:t>
        </w:r>
      </w:hyperlink>
      <w:r w:rsidRPr="00524FC5">
        <w:rPr>
          <w:i/>
          <w:iCs/>
        </w:rPr>
        <w:t xml:space="preserve"> </w:t>
      </w:r>
      <w:r w:rsidRPr="00524FC5">
        <w:t>series, represent opportunities for the health system to improve.</w:t>
      </w:r>
    </w:p>
    <w:p w14:paraId="2118567B" w14:textId="6037A0FE" w:rsidR="00524FC5" w:rsidRPr="00524FC5" w:rsidRDefault="00524FC5" w:rsidP="00524FC5">
      <w:r w:rsidRPr="00524FC5">
        <w:t>Potentially higher risk populations, such as maternal sepsis and sepsis in First Nations patients, would benefit from a more tailored analysis to better assess sepsis prevalence and impact. These groups have much lower sepsis numbers and therefore adjustments need to be made to ensure patient confidentiality. In the case of maternal sepsis, a more appropriate the denominator population could involve limiting base analysis population to delivery and postpartum related episodes of care in hospital and investigate the frequency in different types of complications such as spontaneous/induced abortions, caesarean sections, and prolonged/obstructed labour, all of which may lead to sepsis.</w:t>
      </w:r>
    </w:p>
    <w:p w14:paraId="3DBA7870" w14:textId="77777777" w:rsidR="00524FC5" w:rsidRPr="00524FC5" w:rsidRDefault="00524FC5" w:rsidP="00524FC5">
      <w:r w:rsidRPr="00524FC5">
        <w:t>Since adults (18 years and over) accounted for an overwhelming majority of all sepsis cases in this report, insights specific to younger patients may have been masked. This report was also unable to confirm whether very young children (under 1 year) in Australia were more vulnerable to sepsis due to lack of age specific population data at the time of analysis. Therefore, it would be beneficial to conduct separate analyses for the paediatric population (under 18 years) as well as neonates. Not only are there specific sepsis codes for neonates, the DRGs for paediatric patients may also differ significantly from those observed in adults.</w:t>
      </w:r>
    </w:p>
    <w:p w14:paraId="35AB2CAA" w14:textId="77777777" w:rsidR="00524FC5" w:rsidRPr="00524FC5" w:rsidRDefault="00524FC5" w:rsidP="00524FC5">
      <w:pPr>
        <w:pStyle w:val="Heading3"/>
      </w:pPr>
      <w:bookmarkStart w:id="100" w:name="_Toc187133217"/>
      <w:bookmarkStart w:id="101" w:name="_Toc187313297"/>
      <w:r w:rsidRPr="00524FC5">
        <w:t>Data linkage</w:t>
      </w:r>
      <w:bookmarkEnd w:id="100"/>
      <w:bookmarkEnd w:id="101"/>
    </w:p>
    <w:p w14:paraId="02DD56A5" w14:textId="77777777" w:rsidR="00524FC5" w:rsidRPr="00524FC5" w:rsidRDefault="00524FC5" w:rsidP="00524FC5">
      <w:r w:rsidRPr="00524FC5">
        <w:t>This report focused on sepsis for admitted care patients in the Australian public hospital system. Future analyses could consider linkage with other data collections for a better understanding of sepsis. This may include:</w:t>
      </w:r>
    </w:p>
    <w:p w14:paraId="0051A61A" w14:textId="77777777" w:rsidR="00524FC5" w:rsidRPr="00524FC5" w:rsidRDefault="00524FC5" w:rsidP="008E5623">
      <w:pPr>
        <w:numPr>
          <w:ilvl w:val="0"/>
          <w:numId w:val="32"/>
        </w:numPr>
      </w:pPr>
      <w:r w:rsidRPr="00524FC5">
        <w:t>other mortality sources such as the births and deaths registries held by Australian States and Territories, to enable follow-up beyond the admitted hospital setting</w:t>
      </w:r>
    </w:p>
    <w:p w14:paraId="575DE2BA" w14:textId="77777777" w:rsidR="00524FC5" w:rsidRPr="00524FC5" w:rsidRDefault="00524FC5" w:rsidP="008E5623">
      <w:pPr>
        <w:numPr>
          <w:ilvl w:val="0"/>
          <w:numId w:val="32"/>
        </w:numPr>
      </w:pPr>
      <w:r w:rsidRPr="00524FC5">
        <w:t>private hospitals admissions, to capture sepsis treatments in public-private hospital partnerships, as well as transfers to private facilities</w:t>
      </w:r>
    </w:p>
    <w:p w14:paraId="47CFDBA5" w14:textId="77777777" w:rsidR="00524FC5" w:rsidRPr="00524FC5" w:rsidRDefault="00524FC5" w:rsidP="008E5623">
      <w:pPr>
        <w:numPr>
          <w:ilvl w:val="0"/>
          <w:numId w:val="32"/>
        </w:numPr>
      </w:pPr>
      <w:r w:rsidRPr="00524FC5">
        <w:lastRenderedPageBreak/>
        <w:t>emergency department presentations with sepsis, to gain a clearer understanding of the outcomes associated with multiple emergency department visits and subsequent hospital admission</w:t>
      </w:r>
    </w:p>
    <w:p w14:paraId="0C2A2FF9" w14:textId="77777777" w:rsidR="00524FC5" w:rsidRPr="00524FC5" w:rsidRDefault="00524FC5" w:rsidP="008E5623">
      <w:pPr>
        <w:numPr>
          <w:ilvl w:val="0"/>
          <w:numId w:val="32"/>
        </w:numPr>
      </w:pPr>
      <w:r w:rsidRPr="00524FC5">
        <w:t xml:space="preserve">follow-up care for sepsis patients after hospital discharge, such as longitudinal primary care quality improvement programs like </w:t>
      </w:r>
      <w:hyperlink r:id="rId36" w:history="1">
        <w:r w:rsidRPr="00524FC5">
          <w:rPr>
            <w:rStyle w:val="Hyperlink"/>
          </w:rPr>
          <w:t>MedicineInsight,</w:t>
        </w:r>
      </w:hyperlink>
      <w:r w:rsidRPr="00524FC5">
        <w:t xml:space="preserve"> or the </w:t>
      </w:r>
      <w:hyperlink r:id="rId37" w:history="1">
        <w:r w:rsidRPr="00524FC5">
          <w:rPr>
            <w:rStyle w:val="Hyperlink"/>
          </w:rPr>
          <w:t>Lumos</w:t>
        </w:r>
      </w:hyperlink>
      <w:r w:rsidRPr="00524FC5">
        <w:t xml:space="preserve"> program run by NSW Health to evaluate role of General Practices in preventing sepsis readmissions.</w:t>
      </w:r>
    </w:p>
    <w:p w14:paraId="497F0D91" w14:textId="77777777" w:rsidR="00524FC5" w:rsidRPr="00524FC5" w:rsidRDefault="00524FC5" w:rsidP="00524FC5"/>
    <w:p w14:paraId="75970C27" w14:textId="77777777" w:rsidR="005D02E1" w:rsidRDefault="005D02E1"/>
    <w:p w14:paraId="0C17531C" w14:textId="77777777" w:rsidR="005D02E1" w:rsidRDefault="005D02E1"/>
    <w:p w14:paraId="2D3C993F" w14:textId="77777777" w:rsidR="005D02E1" w:rsidRDefault="005D02E1"/>
    <w:p w14:paraId="5B7C788F" w14:textId="77777777" w:rsidR="005D02E1" w:rsidRDefault="005D02E1"/>
    <w:p w14:paraId="3D075DCB" w14:textId="77777777" w:rsidR="005D02E1" w:rsidRDefault="005D02E1"/>
    <w:p w14:paraId="6C8242E6" w14:textId="77777777" w:rsidR="005D02E1" w:rsidRDefault="005D02E1"/>
    <w:p w14:paraId="460D3776" w14:textId="77777777" w:rsidR="005D02E1" w:rsidRDefault="005D02E1"/>
    <w:p w14:paraId="5A31C521" w14:textId="77777777" w:rsidR="005D02E1" w:rsidRDefault="005D02E1"/>
    <w:p w14:paraId="0F0FAE0D" w14:textId="77777777" w:rsidR="005D02E1" w:rsidRDefault="005D02E1"/>
    <w:p w14:paraId="579F911C" w14:textId="77777777" w:rsidR="005D02E1" w:rsidRDefault="005D02E1"/>
    <w:p w14:paraId="1B8629B2" w14:textId="77777777" w:rsidR="005D02E1" w:rsidRDefault="005D02E1"/>
    <w:p w14:paraId="6602D2E4" w14:textId="77777777" w:rsidR="00524FC5" w:rsidRDefault="00524FC5"/>
    <w:p w14:paraId="52D9F35C" w14:textId="77777777" w:rsidR="00524FC5" w:rsidRDefault="00524FC5"/>
    <w:p w14:paraId="2A93DCFB" w14:textId="77777777" w:rsidR="00524FC5" w:rsidRDefault="00524FC5"/>
    <w:p w14:paraId="308EA888" w14:textId="77777777" w:rsidR="00524FC5" w:rsidRDefault="00524FC5"/>
    <w:p w14:paraId="2E5F2049" w14:textId="77777777" w:rsidR="00524FC5" w:rsidRDefault="00524FC5"/>
    <w:p w14:paraId="7B9E3906" w14:textId="77777777" w:rsidR="00524FC5" w:rsidRDefault="00524FC5"/>
    <w:p w14:paraId="66B583AC" w14:textId="77777777" w:rsidR="00524FC5" w:rsidRDefault="00524FC5"/>
    <w:p w14:paraId="1AD0D226" w14:textId="77777777" w:rsidR="00524FC5" w:rsidRDefault="00524FC5"/>
    <w:p w14:paraId="15DC8B23" w14:textId="77777777" w:rsidR="00524FC5" w:rsidRDefault="00524FC5"/>
    <w:p w14:paraId="4E415FF8" w14:textId="77777777" w:rsidR="00524FC5" w:rsidRDefault="00524FC5"/>
    <w:p w14:paraId="7FF93CD6" w14:textId="77777777" w:rsidR="00524FC5" w:rsidRDefault="00524FC5"/>
    <w:p w14:paraId="691E3529" w14:textId="77777777" w:rsidR="00524FC5" w:rsidRDefault="00524FC5"/>
    <w:p w14:paraId="288F87F0" w14:textId="77777777" w:rsidR="00524FC5" w:rsidRDefault="00524FC5"/>
    <w:p w14:paraId="7CC75113" w14:textId="77777777" w:rsidR="001F1F64" w:rsidRDefault="001F1F64"/>
    <w:tbl>
      <w:tblPr>
        <w:tblW w:w="0" w:type="auto"/>
        <w:tblCellMar>
          <w:top w:w="1213" w:type="dxa"/>
          <w:left w:w="0" w:type="dxa"/>
          <w:right w:w="0" w:type="dxa"/>
        </w:tblCellMar>
        <w:tblLook w:val="04A0" w:firstRow="1" w:lastRow="0" w:firstColumn="1" w:lastColumn="0" w:noHBand="0" w:noVBand="1"/>
      </w:tblPr>
      <w:tblGrid>
        <w:gridCol w:w="9184"/>
      </w:tblGrid>
      <w:tr w:rsidR="001F1F64" w14:paraId="4EF05C14" w14:textId="77777777" w:rsidTr="00DD242E">
        <w:trPr>
          <w:trHeight w:hRule="exact" w:val="5330"/>
        </w:trPr>
        <w:tc>
          <w:tcPr>
            <w:tcW w:w="9184" w:type="dxa"/>
          </w:tcPr>
          <w:p w14:paraId="057E339A" w14:textId="78A2787F" w:rsidR="001F1F64" w:rsidRDefault="001F1F64" w:rsidP="00F46705">
            <w:pPr>
              <w:pStyle w:val="Heading1"/>
            </w:pPr>
            <w:bookmarkStart w:id="102" w:name="_Toc206495298"/>
            <w:r>
              <w:lastRenderedPageBreak/>
              <w:t>Supplementary Tables</w:t>
            </w:r>
            <w:bookmarkEnd w:id="102"/>
          </w:p>
          <w:p w14:paraId="558E4B6C" w14:textId="0BF5896A" w:rsidR="001F1F64" w:rsidRDefault="001F1F64" w:rsidP="00F46705"/>
        </w:tc>
      </w:tr>
    </w:tbl>
    <w:p w14:paraId="7609500B" w14:textId="14D0F983" w:rsidR="001F1F64" w:rsidRDefault="001F1F64" w:rsidP="008254F9">
      <w:r>
        <w:rPr>
          <w:noProof/>
        </w:rPr>
        <w:drawing>
          <wp:anchor distT="0" distB="0" distL="114300" distR="114300" simplePos="0" relativeHeight="251695104" behindDoc="1" locked="1" layoutInCell="1" allowOverlap="1" wp14:anchorId="7D1F6ABA" wp14:editId="394E6A9D">
            <wp:simplePos x="866274" y="866274"/>
            <wp:positionH relativeFrom="page">
              <wp:align>left</wp:align>
            </wp:positionH>
            <wp:positionV relativeFrom="page">
              <wp:align>top</wp:align>
            </wp:positionV>
            <wp:extent cx="7560000" cy="10695600"/>
            <wp:effectExtent l="0" t="0" r="3175" b="0"/>
            <wp:wrapNone/>
            <wp:docPr id="1962328083" name="Picture 14" descr="A purpl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8083" name="Picture 14" descr="A purple and white rectangl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5E509B99" w14:textId="77777777" w:rsidR="001F1F64" w:rsidRDefault="001F1F64" w:rsidP="008254F9"/>
    <w:p w14:paraId="556E221C" w14:textId="77777777" w:rsidR="001F1F64" w:rsidRDefault="001F1F64">
      <w:r>
        <w:br w:type="page"/>
      </w:r>
    </w:p>
    <w:p w14:paraId="7D1A6EA5" w14:textId="77777777" w:rsidR="001F1F64" w:rsidRDefault="001F1F64">
      <w:pPr>
        <w:sectPr w:rsidR="001F1F64" w:rsidSect="009720E5">
          <w:headerReference w:type="default" r:id="rId39"/>
          <w:pgSz w:w="11906" w:h="16838" w:code="9"/>
          <w:pgMar w:top="1361" w:right="1361" w:bottom="1361" w:left="1361" w:header="567" w:footer="567" w:gutter="0"/>
          <w:cols w:space="708"/>
          <w:docGrid w:linePitch="360"/>
        </w:sectPr>
      </w:pPr>
    </w:p>
    <w:p w14:paraId="4C9E5139" w14:textId="04C9B451" w:rsidR="00CF78B0" w:rsidRPr="00414476" w:rsidRDefault="00CF78B0" w:rsidP="00CF78B0">
      <w:pPr>
        <w:pStyle w:val="Heading3"/>
        <w:rPr>
          <w:lang w:eastAsia="en-AU"/>
        </w:rPr>
      </w:pPr>
      <w:bookmarkStart w:id="103" w:name="_Table_1._Overall"/>
      <w:bookmarkStart w:id="104" w:name="_Toc187133219"/>
      <w:bookmarkStart w:id="105" w:name="_Toc187313299"/>
      <w:bookmarkEnd w:id="103"/>
      <w:r w:rsidRPr="00414476">
        <w:rPr>
          <w:lang w:eastAsia="en-AU"/>
        </w:rPr>
        <w:lastRenderedPageBreak/>
        <w:t xml:space="preserve">Table </w:t>
      </w:r>
      <w:r w:rsidRPr="00414476">
        <w:rPr>
          <w:lang w:eastAsia="en-AU"/>
        </w:rPr>
        <w:fldChar w:fldCharType="begin"/>
      </w:r>
      <w:r w:rsidRPr="00414476">
        <w:rPr>
          <w:lang w:eastAsia="en-AU"/>
        </w:rPr>
        <w:instrText xml:space="preserve"> SEQ Table \* ARABIC </w:instrText>
      </w:r>
      <w:r w:rsidRPr="00414476">
        <w:rPr>
          <w:lang w:eastAsia="en-AU"/>
        </w:rPr>
        <w:fldChar w:fldCharType="separate"/>
      </w:r>
      <w:r w:rsidR="0086194B">
        <w:rPr>
          <w:noProof/>
          <w:lang w:eastAsia="en-AU"/>
        </w:rPr>
        <w:t>1</w:t>
      </w:r>
      <w:r w:rsidRPr="00414476">
        <w:rPr>
          <w:lang w:eastAsia="en-AU"/>
        </w:rPr>
        <w:fldChar w:fldCharType="end"/>
      </w:r>
      <w:r w:rsidRPr="00414476">
        <w:rPr>
          <w:lang w:eastAsia="en-AU"/>
        </w:rPr>
        <w:t>. Overall characteristics summary for separations with explicit sepsis codes, public hospitals, 2013-14 to 2022-23</w:t>
      </w:r>
      <w:bookmarkEnd w:id="104"/>
      <w:bookmarkEnd w:id="105"/>
    </w:p>
    <w:tbl>
      <w:tblPr>
        <w:tblW w:w="13840" w:type="dxa"/>
        <w:tblLook w:val="04A0" w:firstRow="1" w:lastRow="0" w:firstColumn="1" w:lastColumn="0" w:noHBand="0" w:noVBand="1"/>
      </w:tblPr>
      <w:tblGrid>
        <w:gridCol w:w="960"/>
        <w:gridCol w:w="3700"/>
        <w:gridCol w:w="1940"/>
        <w:gridCol w:w="1740"/>
        <w:gridCol w:w="1740"/>
        <w:gridCol w:w="1740"/>
        <w:gridCol w:w="2020"/>
      </w:tblGrid>
      <w:tr w:rsidR="00CF78B0" w:rsidRPr="00414476" w14:paraId="3C6596A4" w14:textId="77777777" w:rsidTr="006F5124">
        <w:trPr>
          <w:trHeight w:val="1050"/>
          <w:tblHeader/>
        </w:trPr>
        <w:tc>
          <w:tcPr>
            <w:tcW w:w="960" w:type="dxa"/>
            <w:tcBorders>
              <w:top w:val="single" w:sz="4" w:space="0" w:color="auto"/>
              <w:left w:val="nil"/>
              <w:bottom w:val="single" w:sz="4" w:space="0" w:color="auto"/>
              <w:right w:val="nil"/>
            </w:tcBorders>
            <w:shd w:val="clear" w:color="auto" w:fill="auto"/>
            <w:vAlign w:val="bottom"/>
            <w:hideMark/>
          </w:tcPr>
          <w:p w14:paraId="709EC6FB"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 </w:t>
            </w:r>
          </w:p>
        </w:tc>
        <w:tc>
          <w:tcPr>
            <w:tcW w:w="3700" w:type="dxa"/>
            <w:tcBorders>
              <w:top w:val="single" w:sz="4" w:space="0" w:color="auto"/>
              <w:left w:val="nil"/>
              <w:bottom w:val="single" w:sz="4" w:space="0" w:color="auto"/>
              <w:right w:val="nil"/>
            </w:tcBorders>
            <w:shd w:val="clear" w:color="auto" w:fill="auto"/>
            <w:vAlign w:val="bottom"/>
            <w:hideMark/>
          </w:tcPr>
          <w:p w14:paraId="16446BC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 </w:t>
            </w:r>
          </w:p>
        </w:tc>
        <w:tc>
          <w:tcPr>
            <w:tcW w:w="1940" w:type="dxa"/>
            <w:tcBorders>
              <w:top w:val="single" w:sz="4" w:space="0" w:color="auto"/>
              <w:left w:val="nil"/>
              <w:bottom w:val="single" w:sz="4" w:space="0" w:color="auto"/>
              <w:right w:val="nil"/>
            </w:tcBorders>
            <w:shd w:val="clear" w:color="auto" w:fill="auto"/>
            <w:vAlign w:val="bottom"/>
            <w:hideMark/>
          </w:tcPr>
          <w:p w14:paraId="59E71D49" w14:textId="77777777" w:rsidR="00CF78B0" w:rsidRPr="00414476" w:rsidRDefault="00CF78B0" w:rsidP="006F5124">
            <w:pPr>
              <w:spacing w:after="0" w:line="240" w:lineRule="auto"/>
              <w:jc w:val="right"/>
              <w:rPr>
                <w:rFonts w:ascii="Calibri" w:eastAsia="Times New Roman" w:hAnsi="Calibri" w:cs="Calibri"/>
                <w:b/>
                <w:bCs/>
                <w:color w:val="auto"/>
                <w:sz w:val="20"/>
                <w:szCs w:val="20"/>
                <w:lang w:eastAsia="en-AU"/>
              </w:rPr>
            </w:pPr>
            <w:r w:rsidRPr="00414476">
              <w:rPr>
                <w:rFonts w:ascii="Calibri" w:eastAsia="Times New Roman" w:hAnsi="Calibri" w:cs="Calibri"/>
                <w:b/>
                <w:bCs/>
                <w:color w:val="auto"/>
                <w:sz w:val="20"/>
                <w:szCs w:val="20"/>
                <w:lang w:eastAsia="en-AU"/>
              </w:rPr>
              <w:t>Pre-sepsis separations</w:t>
            </w:r>
            <w:r w:rsidRPr="00414476">
              <w:rPr>
                <w:rFonts w:ascii="Calibri" w:eastAsia="Times New Roman" w:hAnsi="Calibri" w:cs="Calibri"/>
                <w:b/>
                <w:bCs/>
                <w:color w:val="auto"/>
                <w:sz w:val="20"/>
                <w:szCs w:val="20"/>
                <w:lang w:eastAsia="en-AU"/>
              </w:rPr>
              <w:br/>
              <w:t>(30 days)</w:t>
            </w:r>
            <w:r w:rsidRPr="00414476">
              <w:rPr>
                <w:rFonts w:ascii="Calibri" w:eastAsia="Times New Roman" w:hAnsi="Calibri" w:cs="Calibri"/>
                <w:b/>
                <w:bCs/>
                <w:color w:val="auto"/>
                <w:sz w:val="20"/>
                <w:szCs w:val="20"/>
                <w:lang w:eastAsia="en-AU"/>
              </w:rPr>
              <w:br/>
              <w:t>2015-16 to 2022-23</w:t>
            </w:r>
          </w:p>
        </w:tc>
        <w:tc>
          <w:tcPr>
            <w:tcW w:w="1740" w:type="dxa"/>
            <w:tcBorders>
              <w:top w:val="single" w:sz="4" w:space="0" w:color="auto"/>
              <w:left w:val="nil"/>
              <w:bottom w:val="single" w:sz="4" w:space="0" w:color="auto"/>
              <w:right w:val="nil"/>
            </w:tcBorders>
            <w:shd w:val="clear" w:color="auto" w:fill="auto"/>
            <w:vAlign w:val="bottom"/>
            <w:hideMark/>
          </w:tcPr>
          <w:p w14:paraId="125B669E" w14:textId="77777777" w:rsidR="00CF78B0" w:rsidRPr="00414476" w:rsidRDefault="00CF78B0" w:rsidP="006F5124">
            <w:pPr>
              <w:spacing w:after="0" w:line="240" w:lineRule="auto"/>
              <w:jc w:val="right"/>
              <w:rPr>
                <w:rFonts w:ascii="Calibri" w:eastAsia="Times New Roman" w:hAnsi="Calibri" w:cs="Calibri"/>
                <w:b/>
                <w:bCs/>
                <w:color w:val="auto"/>
                <w:sz w:val="20"/>
                <w:szCs w:val="20"/>
                <w:lang w:eastAsia="en-AU"/>
              </w:rPr>
            </w:pPr>
            <w:bookmarkStart w:id="106" w:name="_Hlk181092158"/>
            <w:r w:rsidRPr="00414476">
              <w:rPr>
                <w:rFonts w:ascii="Calibri" w:eastAsia="Times New Roman" w:hAnsi="Calibri" w:cs="Calibri"/>
                <w:b/>
                <w:bCs/>
                <w:color w:val="auto"/>
                <w:sz w:val="20"/>
                <w:szCs w:val="20"/>
                <w:lang w:eastAsia="en-AU"/>
              </w:rPr>
              <w:t>Sepsis separations (principal diagnosis)</w:t>
            </w:r>
            <w:bookmarkEnd w:id="106"/>
          </w:p>
        </w:tc>
        <w:tc>
          <w:tcPr>
            <w:tcW w:w="1740" w:type="dxa"/>
            <w:tcBorders>
              <w:top w:val="single" w:sz="4" w:space="0" w:color="auto"/>
              <w:left w:val="nil"/>
              <w:bottom w:val="single" w:sz="4" w:space="0" w:color="auto"/>
              <w:right w:val="nil"/>
            </w:tcBorders>
            <w:shd w:val="clear" w:color="auto" w:fill="auto"/>
            <w:vAlign w:val="bottom"/>
            <w:hideMark/>
          </w:tcPr>
          <w:p w14:paraId="577C80DB" w14:textId="77777777" w:rsidR="00CF78B0" w:rsidRPr="00414476" w:rsidRDefault="00CF78B0" w:rsidP="006F5124">
            <w:pPr>
              <w:spacing w:after="0" w:line="240" w:lineRule="auto"/>
              <w:jc w:val="right"/>
              <w:rPr>
                <w:rFonts w:ascii="Calibri" w:eastAsia="Times New Roman" w:hAnsi="Calibri" w:cs="Calibri"/>
                <w:b/>
                <w:bCs/>
                <w:color w:val="auto"/>
                <w:sz w:val="20"/>
                <w:szCs w:val="20"/>
                <w:lang w:eastAsia="en-AU"/>
              </w:rPr>
            </w:pPr>
            <w:r w:rsidRPr="00414476">
              <w:rPr>
                <w:rFonts w:ascii="Calibri" w:eastAsia="Times New Roman" w:hAnsi="Calibri" w:cs="Calibri"/>
                <w:b/>
                <w:bCs/>
                <w:color w:val="auto"/>
                <w:sz w:val="20"/>
                <w:szCs w:val="20"/>
                <w:lang w:eastAsia="en-AU"/>
              </w:rPr>
              <w:t>Sepsis separations (secondary diagnosis)</w:t>
            </w:r>
          </w:p>
        </w:tc>
        <w:tc>
          <w:tcPr>
            <w:tcW w:w="1740" w:type="dxa"/>
            <w:tcBorders>
              <w:top w:val="single" w:sz="4" w:space="0" w:color="auto"/>
              <w:left w:val="nil"/>
              <w:bottom w:val="single" w:sz="4" w:space="0" w:color="auto"/>
              <w:right w:val="nil"/>
            </w:tcBorders>
            <w:shd w:val="clear" w:color="auto" w:fill="auto"/>
            <w:vAlign w:val="bottom"/>
            <w:hideMark/>
          </w:tcPr>
          <w:p w14:paraId="5E683A02" w14:textId="77777777" w:rsidR="00CF78B0" w:rsidRPr="00414476" w:rsidRDefault="00CF78B0" w:rsidP="006F5124">
            <w:pPr>
              <w:spacing w:after="0" w:line="240" w:lineRule="auto"/>
              <w:jc w:val="right"/>
              <w:rPr>
                <w:rFonts w:ascii="Calibri" w:eastAsia="Times New Roman" w:hAnsi="Calibri" w:cs="Calibri"/>
                <w:b/>
                <w:bCs/>
                <w:color w:val="auto"/>
                <w:sz w:val="20"/>
                <w:szCs w:val="20"/>
                <w:lang w:eastAsia="en-AU"/>
              </w:rPr>
            </w:pPr>
            <w:r w:rsidRPr="00414476">
              <w:rPr>
                <w:rFonts w:ascii="Calibri" w:eastAsia="Times New Roman" w:hAnsi="Calibri" w:cs="Calibri"/>
                <w:b/>
                <w:bCs/>
                <w:color w:val="auto"/>
                <w:sz w:val="20"/>
                <w:szCs w:val="20"/>
                <w:lang w:eastAsia="en-AU"/>
              </w:rPr>
              <w:t>Sepsis separations</w:t>
            </w:r>
          </w:p>
        </w:tc>
        <w:tc>
          <w:tcPr>
            <w:tcW w:w="2020" w:type="dxa"/>
            <w:tcBorders>
              <w:top w:val="single" w:sz="4" w:space="0" w:color="auto"/>
              <w:left w:val="nil"/>
              <w:bottom w:val="single" w:sz="4" w:space="0" w:color="auto"/>
              <w:right w:val="nil"/>
            </w:tcBorders>
            <w:shd w:val="clear" w:color="auto" w:fill="auto"/>
            <w:vAlign w:val="bottom"/>
            <w:hideMark/>
          </w:tcPr>
          <w:p w14:paraId="5F864082" w14:textId="77777777" w:rsidR="00CF78B0" w:rsidRPr="00414476" w:rsidRDefault="00CF78B0" w:rsidP="006F5124">
            <w:pPr>
              <w:spacing w:after="0" w:line="240" w:lineRule="auto"/>
              <w:jc w:val="right"/>
              <w:rPr>
                <w:rFonts w:ascii="Calibri" w:eastAsia="Times New Roman" w:hAnsi="Calibri" w:cs="Calibri"/>
                <w:b/>
                <w:bCs/>
                <w:color w:val="auto"/>
                <w:sz w:val="20"/>
                <w:szCs w:val="20"/>
                <w:lang w:eastAsia="en-AU"/>
              </w:rPr>
            </w:pPr>
            <w:r w:rsidRPr="00414476">
              <w:rPr>
                <w:rFonts w:ascii="Calibri" w:eastAsia="Times New Roman" w:hAnsi="Calibri" w:cs="Calibri"/>
                <w:b/>
                <w:bCs/>
                <w:color w:val="auto"/>
                <w:sz w:val="20"/>
                <w:szCs w:val="20"/>
                <w:lang w:eastAsia="en-AU"/>
              </w:rPr>
              <w:t xml:space="preserve">Post-sepsis readmissions </w:t>
            </w:r>
            <w:r w:rsidRPr="00414476">
              <w:rPr>
                <w:rFonts w:ascii="Calibri" w:eastAsia="Times New Roman" w:hAnsi="Calibri" w:cs="Calibri"/>
                <w:b/>
                <w:bCs/>
                <w:color w:val="auto"/>
                <w:sz w:val="20"/>
                <w:szCs w:val="20"/>
                <w:lang w:eastAsia="en-AU"/>
              </w:rPr>
              <w:br/>
              <w:t>(30 days)</w:t>
            </w:r>
            <w:r w:rsidRPr="00414476">
              <w:rPr>
                <w:rFonts w:ascii="Calibri" w:eastAsia="Times New Roman" w:hAnsi="Calibri" w:cs="Calibri"/>
                <w:b/>
                <w:bCs/>
                <w:color w:val="auto"/>
                <w:sz w:val="20"/>
                <w:szCs w:val="20"/>
                <w:lang w:eastAsia="en-AU"/>
              </w:rPr>
              <w:br/>
              <w:t>2015-16 to 2022-23</w:t>
            </w:r>
          </w:p>
        </w:tc>
      </w:tr>
      <w:tr w:rsidR="00CF78B0" w:rsidRPr="00414476" w14:paraId="0141759E" w14:textId="77777777" w:rsidTr="006F5124">
        <w:trPr>
          <w:trHeight w:val="290"/>
        </w:trPr>
        <w:tc>
          <w:tcPr>
            <w:tcW w:w="960" w:type="dxa"/>
            <w:tcBorders>
              <w:top w:val="nil"/>
              <w:left w:val="nil"/>
              <w:bottom w:val="nil"/>
              <w:right w:val="nil"/>
            </w:tcBorders>
            <w:shd w:val="clear" w:color="auto" w:fill="auto"/>
            <w:noWrap/>
            <w:vAlign w:val="bottom"/>
            <w:hideMark/>
          </w:tcPr>
          <w:p w14:paraId="2050DC22"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N</w:t>
            </w:r>
          </w:p>
        </w:tc>
        <w:tc>
          <w:tcPr>
            <w:tcW w:w="3700" w:type="dxa"/>
            <w:tcBorders>
              <w:top w:val="nil"/>
              <w:left w:val="nil"/>
              <w:bottom w:val="nil"/>
              <w:right w:val="nil"/>
            </w:tcBorders>
            <w:shd w:val="clear" w:color="auto" w:fill="auto"/>
            <w:noWrap/>
            <w:vAlign w:val="bottom"/>
            <w:hideMark/>
          </w:tcPr>
          <w:p w14:paraId="5919D3ED"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p>
        </w:tc>
        <w:tc>
          <w:tcPr>
            <w:tcW w:w="1940" w:type="dxa"/>
            <w:tcBorders>
              <w:top w:val="nil"/>
              <w:left w:val="nil"/>
              <w:bottom w:val="nil"/>
              <w:right w:val="nil"/>
            </w:tcBorders>
            <w:shd w:val="clear" w:color="auto" w:fill="auto"/>
            <w:noWrap/>
            <w:vAlign w:val="bottom"/>
            <w:hideMark/>
          </w:tcPr>
          <w:p w14:paraId="4EE4013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244,163</w:t>
            </w:r>
          </w:p>
        </w:tc>
        <w:tc>
          <w:tcPr>
            <w:tcW w:w="1740" w:type="dxa"/>
            <w:tcBorders>
              <w:top w:val="nil"/>
              <w:left w:val="nil"/>
              <w:bottom w:val="nil"/>
              <w:right w:val="nil"/>
            </w:tcBorders>
            <w:shd w:val="clear" w:color="auto" w:fill="auto"/>
            <w:noWrap/>
            <w:vAlign w:val="center"/>
            <w:hideMark/>
          </w:tcPr>
          <w:p w14:paraId="1C0E835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370,362</w:t>
            </w:r>
          </w:p>
        </w:tc>
        <w:tc>
          <w:tcPr>
            <w:tcW w:w="1740" w:type="dxa"/>
            <w:tcBorders>
              <w:top w:val="nil"/>
              <w:left w:val="nil"/>
              <w:bottom w:val="nil"/>
              <w:right w:val="nil"/>
            </w:tcBorders>
            <w:shd w:val="clear" w:color="auto" w:fill="auto"/>
            <w:noWrap/>
            <w:vAlign w:val="center"/>
            <w:hideMark/>
          </w:tcPr>
          <w:p w14:paraId="73D0EEC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634,479</w:t>
            </w:r>
          </w:p>
        </w:tc>
        <w:tc>
          <w:tcPr>
            <w:tcW w:w="1740" w:type="dxa"/>
            <w:tcBorders>
              <w:top w:val="nil"/>
              <w:left w:val="nil"/>
              <w:bottom w:val="nil"/>
              <w:right w:val="nil"/>
            </w:tcBorders>
            <w:shd w:val="clear" w:color="auto" w:fill="auto"/>
            <w:noWrap/>
            <w:vAlign w:val="center"/>
            <w:hideMark/>
          </w:tcPr>
          <w:p w14:paraId="31652A27"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936,879</w:t>
            </w:r>
          </w:p>
        </w:tc>
        <w:tc>
          <w:tcPr>
            <w:tcW w:w="2020" w:type="dxa"/>
            <w:tcBorders>
              <w:top w:val="nil"/>
              <w:left w:val="nil"/>
              <w:bottom w:val="nil"/>
              <w:right w:val="nil"/>
            </w:tcBorders>
            <w:shd w:val="clear" w:color="auto" w:fill="auto"/>
            <w:noWrap/>
            <w:vAlign w:val="center"/>
            <w:hideMark/>
          </w:tcPr>
          <w:p w14:paraId="110ED657"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202,763</w:t>
            </w:r>
          </w:p>
        </w:tc>
      </w:tr>
      <w:tr w:rsidR="00CF78B0" w:rsidRPr="00414476" w14:paraId="578C65EA" w14:textId="77777777" w:rsidTr="006F5124">
        <w:trPr>
          <w:trHeight w:val="290"/>
        </w:trPr>
        <w:tc>
          <w:tcPr>
            <w:tcW w:w="960" w:type="dxa"/>
            <w:tcBorders>
              <w:top w:val="nil"/>
              <w:left w:val="nil"/>
              <w:bottom w:val="nil"/>
              <w:right w:val="nil"/>
            </w:tcBorders>
            <w:shd w:val="clear" w:color="auto" w:fill="auto"/>
            <w:noWrap/>
            <w:vAlign w:val="bottom"/>
            <w:hideMark/>
          </w:tcPr>
          <w:p w14:paraId="4749CFBE"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Sex, n(%)</w:t>
            </w:r>
          </w:p>
        </w:tc>
        <w:tc>
          <w:tcPr>
            <w:tcW w:w="3700" w:type="dxa"/>
            <w:tcBorders>
              <w:top w:val="nil"/>
              <w:left w:val="nil"/>
              <w:bottom w:val="nil"/>
              <w:right w:val="nil"/>
            </w:tcBorders>
            <w:shd w:val="clear" w:color="auto" w:fill="auto"/>
            <w:noWrap/>
            <w:vAlign w:val="bottom"/>
            <w:hideMark/>
          </w:tcPr>
          <w:p w14:paraId="75B37F58"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p>
        </w:tc>
        <w:tc>
          <w:tcPr>
            <w:tcW w:w="1940" w:type="dxa"/>
            <w:tcBorders>
              <w:top w:val="nil"/>
              <w:left w:val="nil"/>
              <w:bottom w:val="nil"/>
              <w:right w:val="nil"/>
            </w:tcBorders>
            <w:shd w:val="clear" w:color="auto" w:fill="auto"/>
            <w:noWrap/>
            <w:vAlign w:val="bottom"/>
            <w:hideMark/>
          </w:tcPr>
          <w:p w14:paraId="022937AD"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0249A01F"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5D90888C"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0CD3580C"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2020" w:type="dxa"/>
            <w:tcBorders>
              <w:top w:val="nil"/>
              <w:left w:val="nil"/>
              <w:bottom w:val="nil"/>
              <w:right w:val="nil"/>
            </w:tcBorders>
            <w:shd w:val="clear" w:color="auto" w:fill="auto"/>
            <w:noWrap/>
            <w:vAlign w:val="bottom"/>
            <w:hideMark/>
          </w:tcPr>
          <w:p w14:paraId="22E5737E"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r>
      <w:tr w:rsidR="00CF78B0" w:rsidRPr="00414476" w14:paraId="043C5457" w14:textId="77777777" w:rsidTr="006F5124">
        <w:trPr>
          <w:trHeight w:val="290"/>
        </w:trPr>
        <w:tc>
          <w:tcPr>
            <w:tcW w:w="960" w:type="dxa"/>
            <w:tcBorders>
              <w:top w:val="nil"/>
              <w:left w:val="nil"/>
              <w:bottom w:val="nil"/>
              <w:right w:val="nil"/>
            </w:tcBorders>
            <w:shd w:val="clear" w:color="auto" w:fill="auto"/>
            <w:noWrap/>
            <w:vAlign w:val="bottom"/>
            <w:hideMark/>
          </w:tcPr>
          <w:p w14:paraId="402EA43D"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3700" w:type="dxa"/>
            <w:tcBorders>
              <w:top w:val="nil"/>
              <w:left w:val="nil"/>
              <w:bottom w:val="nil"/>
              <w:right w:val="nil"/>
            </w:tcBorders>
            <w:shd w:val="clear" w:color="auto" w:fill="auto"/>
            <w:noWrap/>
            <w:vAlign w:val="bottom"/>
            <w:hideMark/>
          </w:tcPr>
          <w:p w14:paraId="585F970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Male</w:t>
            </w:r>
          </w:p>
        </w:tc>
        <w:tc>
          <w:tcPr>
            <w:tcW w:w="1940" w:type="dxa"/>
            <w:tcBorders>
              <w:top w:val="nil"/>
              <w:left w:val="nil"/>
              <w:bottom w:val="nil"/>
              <w:right w:val="nil"/>
            </w:tcBorders>
            <w:shd w:val="clear" w:color="auto" w:fill="auto"/>
            <w:noWrap/>
            <w:vAlign w:val="bottom"/>
            <w:hideMark/>
          </w:tcPr>
          <w:p w14:paraId="6631730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134,962 (55.3%)</w:t>
            </w:r>
          </w:p>
        </w:tc>
        <w:tc>
          <w:tcPr>
            <w:tcW w:w="1740" w:type="dxa"/>
            <w:tcBorders>
              <w:top w:val="nil"/>
              <w:left w:val="nil"/>
              <w:bottom w:val="nil"/>
              <w:right w:val="nil"/>
            </w:tcBorders>
            <w:shd w:val="clear" w:color="auto" w:fill="auto"/>
            <w:noWrap/>
            <w:vAlign w:val="center"/>
            <w:hideMark/>
          </w:tcPr>
          <w:p w14:paraId="1215E58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198,095 (53.5%)</w:t>
            </w:r>
          </w:p>
        </w:tc>
        <w:tc>
          <w:tcPr>
            <w:tcW w:w="1740" w:type="dxa"/>
            <w:tcBorders>
              <w:top w:val="nil"/>
              <w:left w:val="nil"/>
              <w:bottom w:val="nil"/>
              <w:right w:val="nil"/>
            </w:tcBorders>
            <w:shd w:val="clear" w:color="auto" w:fill="auto"/>
            <w:noWrap/>
            <w:vAlign w:val="center"/>
            <w:hideMark/>
          </w:tcPr>
          <w:p w14:paraId="6D14132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351,409 (55.4%)</w:t>
            </w:r>
          </w:p>
        </w:tc>
        <w:tc>
          <w:tcPr>
            <w:tcW w:w="1740" w:type="dxa"/>
            <w:tcBorders>
              <w:top w:val="nil"/>
              <w:left w:val="nil"/>
              <w:bottom w:val="nil"/>
              <w:right w:val="nil"/>
            </w:tcBorders>
            <w:shd w:val="clear" w:color="auto" w:fill="auto"/>
            <w:noWrap/>
            <w:vAlign w:val="center"/>
            <w:hideMark/>
          </w:tcPr>
          <w:p w14:paraId="3630DE6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512,410 (54.7%)</w:t>
            </w:r>
          </w:p>
        </w:tc>
        <w:tc>
          <w:tcPr>
            <w:tcW w:w="2020" w:type="dxa"/>
            <w:tcBorders>
              <w:top w:val="nil"/>
              <w:left w:val="nil"/>
              <w:bottom w:val="nil"/>
              <w:right w:val="nil"/>
            </w:tcBorders>
            <w:shd w:val="clear" w:color="auto" w:fill="auto"/>
            <w:noWrap/>
            <w:vAlign w:val="center"/>
            <w:hideMark/>
          </w:tcPr>
          <w:p w14:paraId="0BD1A1E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115,756 (57.1%)</w:t>
            </w:r>
          </w:p>
        </w:tc>
      </w:tr>
      <w:tr w:rsidR="00CF78B0" w:rsidRPr="00414476" w14:paraId="5B688548" w14:textId="77777777" w:rsidTr="006F5124">
        <w:trPr>
          <w:trHeight w:val="290"/>
        </w:trPr>
        <w:tc>
          <w:tcPr>
            <w:tcW w:w="960" w:type="dxa"/>
            <w:tcBorders>
              <w:top w:val="nil"/>
              <w:left w:val="nil"/>
              <w:bottom w:val="nil"/>
              <w:right w:val="nil"/>
            </w:tcBorders>
            <w:shd w:val="clear" w:color="auto" w:fill="auto"/>
            <w:noWrap/>
            <w:vAlign w:val="bottom"/>
            <w:hideMark/>
          </w:tcPr>
          <w:p w14:paraId="197C3D0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4E3E5B4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Female</w:t>
            </w:r>
          </w:p>
        </w:tc>
        <w:tc>
          <w:tcPr>
            <w:tcW w:w="1940" w:type="dxa"/>
            <w:tcBorders>
              <w:top w:val="nil"/>
              <w:left w:val="nil"/>
              <w:bottom w:val="nil"/>
              <w:right w:val="nil"/>
            </w:tcBorders>
            <w:shd w:val="clear" w:color="auto" w:fill="auto"/>
            <w:noWrap/>
            <w:vAlign w:val="bottom"/>
            <w:hideMark/>
          </w:tcPr>
          <w:p w14:paraId="4940D14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109,194 (44.7%)</w:t>
            </w:r>
          </w:p>
        </w:tc>
        <w:tc>
          <w:tcPr>
            <w:tcW w:w="1740" w:type="dxa"/>
            <w:tcBorders>
              <w:top w:val="nil"/>
              <w:left w:val="nil"/>
              <w:bottom w:val="nil"/>
              <w:right w:val="nil"/>
            </w:tcBorders>
            <w:shd w:val="clear" w:color="auto" w:fill="auto"/>
            <w:noWrap/>
            <w:vAlign w:val="center"/>
            <w:hideMark/>
          </w:tcPr>
          <w:p w14:paraId="56A8FE0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172,258 (46.5%)</w:t>
            </w:r>
          </w:p>
        </w:tc>
        <w:tc>
          <w:tcPr>
            <w:tcW w:w="1740" w:type="dxa"/>
            <w:tcBorders>
              <w:top w:val="nil"/>
              <w:left w:val="nil"/>
              <w:bottom w:val="nil"/>
              <w:right w:val="nil"/>
            </w:tcBorders>
            <w:shd w:val="clear" w:color="auto" w:fill="auto"/>
            <w:noWrap/>
            <w:vAlign w:val="center"/>
            <w:hideMark/>
          </w:tcPr>
          <w:p w14:paraId="2C2775EB"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283,051 (44.6%)</w:t>
            </w:r>
          </w:p>
        </w:tc>
        <w:tc>
          <w:tcPr>
            <w:tcW w:w="1740" w:type="dxa"/>
            <w:tcBorders>
              <w:top w:val="nil"/>
              <w:left w:val="nil"/>
              <w:bottom w:val="nil"/>
              <w:right w:val="nil"/>
            </w:tcBorders>
            <w:shd w:val="clear" w:color="auto" w:fill="auto"/>
            <w:noWrap/>
            <w:vAlign w:val="center"/>
            <w:hideMark/>
          </w:tcPr>
          <w:p w14:paraId="00E3848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424,443 (45.3%)</w:t>
            </w:r>
          </w:p>
        </w:tc>
        <w:tc>
          <w:tcPr>
            <w:tcW w:w="2020" w:type="dxa"/>
            <w:tcBorders>
              <w:top w:val="nil"/>
              <w:left w:val="nil"/>
              <w:bottom w:val="nil"/>
              <w:right w:val="nil"/>
            </w:tcBorders>
            <w:shd w:val="clear" w:color="auto" w:fill="auto"/>
            <w:noWrap/>
            <w:vAlign w:val="center"/>
            <w:hideMark/>
          </w:tcPr>
          <w:p w14:paraId="335EEAF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87,001 (42.9%)</w:t>
            </w:r>
          </w:p>
        </w:tc>
      </w:tr>
      <w:tr w:rsidR="00CF78B0" w:rsidRPr="00414476" w14:paraId="01E3F736" w14:textId="77777777" w:rsidTr="006F5124">
        <w:trPr>
          <w:trHeight w:val="290"/>
        </w:trPr>
        <w:tc>
          <w:tcPr>
            <w:tcW w:w="4660" w:type="dxa"/>
            <w:gridSpan w:val="2"/>
            <w:tcBorders>
              <w:top w:val="nil"/>
              <w:left w:val="nil"/>
              <w:bottom w:val="nil"/>
              <w:right w:val="nil"/>
            </w:tcBorders>
            <w:shd w:val="clear" w:color="auto" w:fill="auto"/>
            <w:noWrap/>
            <w:vAlign w:val="bottom"/>
            <w:hideMark/>
          </w:tcPr>
          <w:p w14:paraId="53CDFD0D"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 xml:space="preserve">Broad age group (years), n(%) </w:t>
            </w:r>
          </w:p>
        </w:tc>
        <w:tc>
          <w:tcPr>
            <w:tcW w:w="1940" w:type="dxa"/>
            <w:tcBorders>
              <w:top w:val="nil"/>
              <w:left w:val="nil"/>
              <w:bottom w:val="nil"/>
              <w:right w:val="nil"/>
            </w:tcBorders>
            <w:shd w:val="clear" w:color="auto" w:fill="auto"/>
            <w:noWrap/>
            <w:vAlign w:val="bottom"/>
            <w:hideMark/>
          </w:tcPr>
          <w:p w14:paraId="2071AE72"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443E1345"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1C761F53"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7A9C8426"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2020" w:type="dxa"/>
            <w:tcBorders>
              <w:top w:val="nil"/>
              <w:left w:val="nil"/>
              <w:bottom w:val="nil"/>
              <w:right w:val="nil"/>
            </w:tcBorders>
            <w:shd w:val="clear" w:color="auto" w:fill="auto"/>
            <w:noWrap/>
            <w:vAlign w:val="bottom"/>
            <w:hideMark/>
          </w:tcPr>
          <w:p w14:paraId="61868D34"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r>
      <w:tr w:rsidR="00CF78B0" w:rsidRPr="00414476" w14:paraId="4A756E92" w14:textId="77777777" w:rsidTr="006F5124">
        <w:trPr>
          <w:trHeight w:val="290"/>
        </w:trPr>
        <w:tc>
          <w:tcPr>
            <w:tcW w:w="960" w:type="dxa"/>
            <w:tcBorders>
              <w:top w:val="nil"/>
              <w:left w:val="nil"/>
              <w:bottom w:val="nil"/>
              <w:right w:val="nil"/>
            </w:tcBorders>
            <w:shd w:val="clear" w:color="auto" w:fill="auto"/>
            <w:noWrap/>
            <w:vAlign w:val="bottom"/>
            <w:hideMark/>
          </w:tcPr>
          <w:p w14:paraId="218F74A3"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3700" w:type="dxa"/>
            <w:tcBorders>
              <w:top w:val="nil"/>
              <w:left w:val="nil"/>
              <w:bottom w:val="nil"/>
              <w:right w:val="nil"/>
            </w:tcBorders>
            <w:shd w:val="clear" w:color="auto" w:fill="auto"/>
            <w:noWrap/>
            <w:vAlign w:val="bottom"/>
            <w:hideMark/>
          </w:tcPr>
          <w:p w14:paraId="177A5687"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&lt; 1</w:t>
            </w:r>
          </w:p>
        </w:tc>
        <w:tc>
          <w:tcPr>
            <w:tcW w:w="1940" w:type="dxa"/>
            <w:tcBorders>
              <w:top w:val="nil"/>
              <w:left w:val="nil"/>
              <w:bottom w:val="nil"/>
              <w:right w:val="nil"/>
            </w:tcBorders>
            <w:shd w:val="clear" w:color="auto" w:fill="auto"/>
            <w:noWrap/>
            <w:vAlign w:val="bottom"/>
            <w:hideMark/>
          </w:tcPr>
          <w:p w14:paraId="4B56443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5,185 (2.1%)</w:t>
            </w:r>
          </w:p>
        </w:tc>
        <w:tc>
          <w:tcPr>
            <w:tcW w:w="1740" w:type="dxa"/>
            <w:tcBorders>
              <w:top w:val="nil"/>
              <w:left w:val="nil"/>
              <w:bottom w:val="nil"/>
              <w:right w:val="nil"/>
            </w:tcBorders>
            <w:shd w:val="clear" w:color="auto" w:fill="auto"/>
            <w:noWrap/>
            <w:vAlign w:val="center"/>
            <w:hideMark/>
          </w:tcPr>
          <w:p w14:paraId="4783131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26,235 (7.1%)</w:t>
            </w:r>
          </w:p>
        </w:tc>
        <w:tc>
          <w:tcPr>
            <w:tcW w:w="1740" w:type="dxa"/>
            <w:tcBorders>
              <w:top w:val="nil"/>
              <w:left w:val="nil"/>
              <w:bottom w:val="nil"/>
              <w:right w:val="nil"/>
            </w:tcBorders>
            <w:shd w:val="clear" w:color="auto" w:fill="auto"/>
            <w:noWrap/>
            <w:vAlign w:val="center"/>
            <w:hideMark/>
          </w:tcPr>
          <w:p w14:paraId="0A8167C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43,282 (6.8%)</w:t>
            </w:r>
          </w:p>
        </w:tc>
        <w:tc>
          <w:tcPr>
            <w:tcW w:w="1740" w:type="dxa"/>
            <w:tcBorders>
              <w:top w:val="nil"/>
              <w:left w:val="nil"/>
              <w:bottom w:val="nil"/>
              <w:right w:val="nil"/>
            </w:tcBorders>
            <w:shd w:val="clear" w:color="auto" w:fill="auto"/>
            <w:noWrap/>
            <w:vAlign w:val="center"/>
            <w:hideMark/>
          </w:tcPr>
          <w:p w14:paraId="2176024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68,748 (7.3%)</w:t>
            </w:r>
          </w:p>
        </w:tc>
        <w:tc>
          <w:tcPr>
            <w:tcW w:w="2020" w:type="dxa"/>
            <w:tcBorders>
              <w:top w:val="nil"/>
              <w:left w:val="nil"/>
              <w:bottom w:val="nil"/>
              <w:right w:val="nil"/>
            </w:tcBorders>
            <w:shd w:val="clear" w:color="auto" w:fill="auto"/>
            <w:noWrap/>
            <w:vAlign w:val="center"/>
            <w:hideMark/>
          </w:tcPr>
          <w:p w14:paraId="474202E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5,337 (2.6%)</w:t>
            </w:r>
          </w:p>
        </w:tc>
      </w:tr>
      <w:tr w:rsidR="00CF78B0" w:rsidRPr="00414476" w14:paraId="5D7F6029" w14:textId="77777777" w:rsidTr="006F5124">
        <w:trPr>
          <w:trHeight w:val="290"/>
        </w:trPr>
        <w:tc>
          <w:tcPr>
            <w:tcW w:w="960" w:type="dxa"/>
            <w:tcBorders>
              <w:top w:val="nil"/>
              <w:left w:val="nil"/>
              <w:bottom w:val="nil"/>
              <w:right w:val="nil"/>
            </w:tcBorders>
            <w:shd w:val="clear" w:color="auto" w:fill="auto"/>
            <w:noWrap/>
            <w:vAlign w:val="bottom"/>
            <w:hideMark/>
          </w:tcPr>
          <w:p w14:paraId="161FA20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56985304"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1-5</w:t>
            </w:r>
          </w:p>
        </w:tc>
        <w:tc>
          <w:tcPr>
            <w:tcW w:w="1940" w:type="dxa"/>
            <w:tcBorders>
              <w:top w:val="nil"/>
              <w:left w:val="nil"/>
              <w:bottom w:val="nil"/>
              <w:right w:val="nil"/>
            </w:tcBorders>
            <w:shd w:val="clear" w:color="auto" w:fill="auto"/>
            <w:noWrap/>
            <w:vAlign w:val="bottom"/>
            <w:hideMark/>
          </w:tcPr>
          <w:p w14:paraId="2CB5A42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2,282 (0.9%)</w:t>
            </w:r>
          </w:p>
        </w:tc>
        <w:tc>
          <w:tcPr>
            <w:tcW w:w="1740" w:type="dxa"/>
            <w:tcBorders>
              <w:top w:val="nil"/>
              <w:left w:val="nil"/>
              <w:bottom w:val="nil"/>
              <w:right w:val="nil"/>
            </w:tcBorders>
            <w:shd w:val="clear" w:color="auto" w:fill="auto"/>
            <w:noWrap/>
            <w:vAlign w:val="center"/>
            <w:hideMark/>
          </w:tcPr>
          <w:p w14:paraId="4F686FD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3,543 (1.0%)</w:t>
            </w:r>
          </w:p>
        </w:tc>
        <w:tc>
          <w:tcPr>
            <w:tcW w:w="1740" w:type="dxa"/>
            <w:tcBorders>
              <w:top w:val="nil"/>
              <w:left w:val="nil"/>
              <w:bottom w:val="nil"/>
              <w:right w:val="nil"/>
            </w:tcBorders>
            <w:shd w:val="clear" w:color="auto" w:fill="auto"/>
            <w:noWrap/>
            <w:vAlign w:val="center"/>
            <w:hideMark/>
          </w:tcPr>
          <w:p w14:paraId="7497AA5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5,139 (0.8%)</w:t>
            </w:r>
          </w:p>
        </w:tc>
        <w:tc>
          <w:tcPr>
            <w:tcW w:w="1740" w:type="dxa"/>
            <w:tcBorders>
              <w:top w:val="nil"/>
              <w:left w:val="nil"/>
              <w:bottom w:val="nil"/>
              <w:right w:val="nil"/>
            </w:tcBorders>
            <w:shd w:val="clear" w:color="auto" w:fill="auto"/>
            <w:noWrap/>
            <w:vAlign w:val="center"/>
            <w:hideMark/>
          </w:tcPr>
          <w:p w14:paraId="796E31D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8,308 (0.9%)</w:t>
            </w:r>
          </w:p>
        </w:tc>
        <w:tc>
          <w:tcPr>
            <w:tcW w:w="2020" w:type="dxa"/>
            <w:tcBorders>
              <w:top w:val="nil"/>
              <w:left w:val="nil"/>
              <w:bottom w:val="nil"/>
              <w:right w:val="nil"/>
            </w:tcBorders>
            <w:shd w:val="clear" w:color="auto" w:fill="auto"/>
            <w:noWrap/>
            <w:vAlign w:val="center"/>
            <w:hideMark/>
          </w:tcPr>
          <w:p w14:paraId="137A7FA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2,500 (1.2%)</w:t>
            </w:r>
          </w:p>
        </w:tc>
      </w:tr>
      <w:tr w:rsidR="00CF78B0" w:rsidRPr="00414476" w14:paraId="06060CD3" w14:textId="77777777" w:rsidTr="006F5124">
        <w:trPr>
          <w:trHeight w:val="290"/>
        </w:trPr>
        <w:tc>
          <w:tcPr>
            <w:tcW w:w="960" w:type="dxa"/>
            <w:tcBorders>
              <w:top w:val="nil"/>
              <w:left w:val="nil"/>
              <w:bottom w:val="nil"/>
              <w:right w:val="nil"/>
            </w:tcBorders>
            <w:shd w:val="clear" w:color="auto" w:fill="auto"/>
            <w:noWrap/>
            <w:vAlign w:val="bottom"/>
            <w:hideMark/>
          </w:tcPr>
          <w:p w14:paraId="7A98FDD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5A4E8E4C"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6-17</w:t>
            </w:r>
          </w:p>
        </w:tc>
        <w:tc>
          <w:tcPr>
            <w:tcW w:w="1940" w:type="dxa"/>
            <w:tcBorders>
              <w:top w:val="nil"/>
              <w:left w:val="nil"/>
              <w:bottom w:val="nil"/>
              <w:right w:val="nil"/>
            </w:tcBorders>
            <w:shd w:val="clear" w:color="auto" w:fill="auto"/>
            <w:noWrap/>
            <w:vAlign w:val="bottom"/>
            <w:hideMark/>
          </w:tcPr>
          <w:p w14:paraId="12B5E33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3,087 (1.3%)</w:t>
            </w:r>
          </w:p>
        </w:tc>
        <w:tc>
          <w:tcPr>
            <w:tcW w:w="1740" w:type="dxa"/>
            <w:tcBorders>
              <w:top w:val="nil"/>
              <w:left w:val="nil"/>
              <w:bottom w:val="nil"/>
              <w:right w:val="nil"/>
            </w:tcBorders>
            <w:shd w:val="clear" w:color="auto" w:fill="auto"/>
            <w:noWrap/>
            <w:vAlign w:val="center"/>
            <w:hideMark/>
          </w:tcPr>
          <w:p w14:paraId="66D9594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3,654 (1.0%)</w:t>
            </w:r>
          </w:p>
        </w:tc>
        <w:tc>
          <w:tcPr>
            <w:tcW w:w="1740" w:type="dxa"/>
            <w:tcBorders>
              <w:top w:val="nil"/>
              <w:left w:val="nil"/>
              <w:bottom w:val="nil"/>
              <w:right w:val="nil"/>
            </w:tcBorders>
            <w:shd w:val="clear" w:color="auto" w:fill="auto"/>
            <w:noWrap/>
            <w:vAlign w:val="center"/>
            <w:hideMark/>
          </w:tcPr>
          <w:p w14:paraId="3B43563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6,441 (1.0%)</w:t>
            </w:r>
          </w:p>
        </w:tc>
        <w:tc>
          <w:tcPr>
            <w:tcW w:w="1740" w:type="dxa"/>
            <w:tcBorders>
              <w:top w:val="nil"/>
              <w:left w:val="nil"/>
              <w:bottom w:val="nil"/>
              <w:right w:val="nil"/>
            </w:tcBorders>
            <w:shd w:val="clear" w:color="auto" w:fill="auto"/>
            <w:noWrap/>
            <w:vAlign w:val="center"/>
            <w:hideMark/>
          </w:tcPr>
          <w:p w14:paraId="214EFF6E"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9,521 (1.0%)</w:t>
            </w:r>
          </w:p>
        </w:tc>
        <w:tc>
          <w:tcPr>
            <w:tcW w:w="2020" w:type="dxa"/>
            <w:tcBorders>
              <w:top w:val="nil"/>
              <w:left w:val="nil"/>
              <w:bottom w:val="nil"/>
              <w:right w:val="nil"/>
            </w:tcBorders>
            <w:shd w:val="clear" w:color="auto" w:fill="auto"/>
            <w:noWrap/>
            <w:vAlign w:val="center"/>
            <w:hideMark/>
          </w:tcPr>
          <w:p w14:paraId="6EA9E01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2,913 (1.4%)</w:t>
            </w:r>
          </w:p>
        </w:tc>
      </w:tr>
      <w:tr w:rsidR="00CF78B0" w:rsidRPr="00414476" w14:paraId="47565DC7" w14:textId="77777777" w:rsidTr="006F5124">
        <w:trPr>
          <w:trHeight w:val="290"/>
        </w:trPr>
        <w:tc>
          <w:tcPr>
            <w:tcW w:w="960" w:type="dxa"/>
            <w:tcBorders>
              <w:top w:val="nil"/>
              <w:left w:val="nil"/>
              <w:bottom w:val="nil"/>
              <w:right w:val="nil"/>
            </w:tcBorders>
            <w:shd w:val="clear" w:color="auto" w:fill="auto"/>
            <w:noWrap/>
            <w:vAlign w:val="bottom"/>
            <w:hideMark/>
          </w:tcPr>
          <w:p w14:paraId="3126BEE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3676DCB1"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18-64</w:t>
            </w:r>
          </w:p>
        </w:tc>
        <w:tc>
          <w:tcPr>
            <w:tcW w:w="1940" w:type="dxa"/>
            <w:tcBorders>
              <w:top w:val="nil"/>
              <w:left w:val="nil"/>
              <w:bottom w:val="nil"/>
              <w:right w:val="nil"/>
            </w:tcBorders>
            <w:shd w:val="clear" w:color="auto" w:fill="auto"/>
            <w:noWrap/>
            <w:vAlign w:val="bottom"/>
            <w:hideMark/>
          </w:tcPr>
          <w:p w14:paraId="08FD494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93,956 (38.5%)</w:t>
            </w:r>
          </w:p>
        </w:tc>
        <w:tc>
          <w:tcPr>
            <w:tcW w:w="1740" w:type="dxa"/>
            <w:tcBorders>
              <w:top w:val="nil"/>
              <w:left w:val="nil"/>
              <w:bottom w:val="nil"/>
              <w:right w:val="nil"/>
            </w:tcBorders>
            <w:shd w:val="clear" w:color="auto" w:fill="auto"/>
            <w:noWrap/>
            <w:vAlign w:val="center"/>
            <w:hideMark/>
          </w:tcPr>
          <w:p w14:paraId="77F197A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107,937 (29.1%)</w:t>
            </w:r>
          </w:p>
        </w:tc>
        <w:tc>
          <w:tcPr>
            <w:tcW w:w="1740" w:type="dxa"/>
            <w:tcBorders>
              <w:top w:val="nil"/>
              <w:left w:val="nil"/>
              <w:bottom w:val="nil"/>
              <w:right w:val="nil"/>
            </w:tcBorders>
            <w:shd w:val="clear" w:color="auto" w:fill="auto"/>
            <w:noWrap/>
            <w:vAlign w:val="center"/>
            <w:hideMark/>
          </w:tcPr>
          <w:p w14:paraId="0A54314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212,594 (33.5%)</w:t>
            </w:r>
          </w:p>
        </w:tc>
        <w:tc>
          <w:tcPr>
            <w:tcW w:w="1740" w:type="dxa"/>
            <w:tcBorders>
              <w:top w:val="nil"/>
              <w:left w:val="nil"/>
              <w:bottom w:val="nil"/>
              <w:right w:val="nil"/>
            </w:tcBorders>
            <w:shd w:val="clear" w:color="auto" w:fill="auto"/>
            <w:noWrap/>
            <w:vAlign w:val="center"/>
            <w:hideMark/>
          </w:tcPr>
          <w:p w14:paraId="5AF3F0A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297,445 (31.7%)</w:t>
            </w:r>
          </w:p>
        </w:tc>
        <w:tc>
          <w:tcPr>
            <w:tcW w:w="2020" w:type="dxa"/>
            <w:tcBorders>
              <w:top w:val="nil"/>
              <w:left w:val="nil"/>
              <w:bottom w:val="nil"/>
              <w:right w:val="nil"/>
            </w:tcBorders>
            <w:shd w:val="clear" w:color="auto" w:fill="auto"/>
            <w:noWrap/>
            <w:vAlign w:val="center"/>
            <w:hideMark/>
          </w:tcPr>
          <w:p w14:paraId="5B64DBF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77,116 (38.0%)</w:t>
            </w:r>
          </w:p>
        </w:tc>
      </w:tr>
      <w:tr w:rsidR="00CF78B0" w:rsidRPr="00414476" w14:paraId="1A30D1A2" w14:textId="77777777" w:rsidTr="006F5124">
        <w:trPr>
          <w:trHeight w:val="290"/>
        </w:trPr>
        <w:tc>
          <w:tcPr>
            <w:tcW w:w="960" w:type="dxa"/>
            <w:tcBorders>
              <w:top w:val="nil"/>
              <w:left w:val="nil"/>
              <w:bottom w:val="nil"/>
              <w:right w:val="nil"/>
            </w:tcBorders>
            <w:shd w:val="clear" w:color="auto" w:fill="auto"/>
            <w:noWrap/>
            <w:vAlign w:val="bottom"/>
            <w:hideMark/>
          </w:tcPr>
          <w:p w14:paraId="5758821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7983B4A6"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&gt;= 65</w:t>
            </w:r>
          </w:p>
        </w:tc>
        <w:tc>
          <w:tcPr>
            <w:tcW w:w="1940" w:type="dxa"/>
            <w:tcBorders>
              <w:top w:val="nil"/>
              <w:left w:val="nil"/>
              <w:bottom w:val="nil"/>
              <w:right w:val="nil"/>
            </w:tcBorders>
            <w:shd w:val="clear" w:color="auto" w:fill="auto"/>
            <w:noWrap/>
            <w:vAlign w:val="bottom"/>
            <w:hideMark/>
          </w:tcPr>
          <w:p w14:paraId="4CB62DA7"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139,653 (57.2%)</w:t>
            </w:r>
          </w:p>
        </w:tc>
        <w:tc>
          <w:tcPr>
            <w:tcW w:w="1740" w:type="dxa"/>
            <w:tcBorders>
              <w:top w:val="nil"/>
              <w:left w:val="nil"/>
              <w:bottom w:val="nil"/>
              <w:right w:val="nil"/>
            </w:tcBorders>
            <w:shd w:val="clear" w:color="auto" w:fill="auto"/>
            <w:noWrap/>
            <w:vAlign w:val="center"/>
            <w:hideMark/>
          </w:tcPr>
          <w:p w14:paraId="0402487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228,993 (61.8%)</w:t>
            </w:r>
          </w:p>
        </w:tc>
        <w:tc>
          <w:tcPr>
            <w:tcW w:w="1740" w:type="dxa"/>
            <w:tcBorders>
              <w:top w:val="nil"/>
              <w:left w:val="nil"/>
              <w:bottom w:val="nil"/>
              <w:right w:val="nil"/>
            </w:tcBorders>
            <w:shd w:val="clear" w:color="auto" w:fill="auto"/>
            <w:noWrap/>
            <w:vAlign w:val="center"/>
            <w:hideMark/>
          </w:tcPr>
          <w:p w14:paraId="66A3E80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367,023 (57.8%)</w:t>
            </w:r>
          </w:p>
        </w:tc>
        <w:tc>
          <w:tcPr>
            <w:tcW w:w="1740" w:type="dxa"/>
            <w:tcBorders>
              <w:top w:val="nil"/>
              <w:left w:val="nil"/>
              <w:bottom w:val="nil"/>
              <w:right w:val="nil"/>
            </w:tcBorders>
            <w:shd w:val="clear" w:color="auto" w:fill="auto"/>
            <w:noWrap/>
            <w:vAlign w:val="center"/>
            <w:hideMark/>
          </w:tcPr>
          <w:p w14:paraId="3909681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552,857 (59.0%)</w:t>
            </w:r>
          </w:p>
        </w:tc>
        <w:tc>
          <w:tcPr>
            <w:tcW w:w="2020" w:type="dxa"/>
            <w:tcBorders>
              <w:top w:val="nil"/>
              <w:left w:val="nil"/>
              <w:bottom w:val="nil"/>
              <w:right w:val="nil"/>
            </w:tcBorders>
            <w:shd w:val="clear" w:color="auto" w:fill="auto"/>
            <w:noWrap/>
            <w:vAlign w:val="center"/>
            <w:hideMark/>
          </w:tcPr>
          <w:p w14:paraId="38EA93B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114,897 (56.7%)</w:t>
            </w:r>
          </w:p>
        </w:tc>
      </w:tr>
      <w:tr w:rsidR="00CF78B0" w:rsidRPr="00414476" w14:paraId="6FF73097" w14:textId="77777777" w:rsidTr="006F5124">
        <w:trPr>
          <w:trHeight w:val="290"/>
        </w:trPr>
        <w:tc>
          <w:tcPr>
            <w:tcW w:w="4660" w:type="dxa"/>
            <w:gridSpan w:val="2"/>
            <w:tcBorders>
              <w:top w:val="nil"/>
              <w:left w:val="nil"/>
              <w:bottom w:val="nil"/>
              <w:right w:val="nil"/>
            </w:tcBorders>
            <w:shd w:val="clear" w:color="auto" w:fill="auto"/>
            <w:noWrap/>
            <w:vAlign w:val="bottom"/>
            <w:hideMark/>
          </w:tcPr>
          <w:p w14:paraId="5DE6EFA5"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Aboriginal or Torres Strait Islander, n(%)</w:t>
            </w:r>
          </w:p>
        </w:tc>
        <w:tc>
          <w:tcPr>
            <w:tcW w:w="1940" w:type="dxa"/>
            <w:tcBorders>
              <w:top w:val="nil"/>
              <w:left w:val="nil"/>
              <w:bottom w:val="nil"/>
              <w:right w:val="nil"/>
            </w:tcBorders>
            <w:shd w:val="clear" w:color="auto" w:fill="auto"/>
            <w:noWrap/>
            <w:vAlign w:val="bottom"/>
            <w:hideMark/>
          </w:tcPr>
          <w:p w14:paraId="7F8464D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17,393 (7.1%)</w:t>
            </w:r>
          </w:p>
        </w:tc>
        <w:tc>
          <w:tcPr>
            <w:tcW w:w="1740" w:type="dxa"/>
            <w:tcBorders>
              <w:top w:val="nil"/>
              <w:left w:val="nil"/>
              <w:bottom w:val="nil"/>
              <w:right w:val="nil"/>
            </w:tcBorders>
            <w:shd w:val="clear" w:color="auto" w:fill="auto"/>
            <w:noWrap/>
            <w:vAlign w:val="center"/>
            <w:hideMark/>
          </w:tcPr>
          <w:p w14:paraId="151D1BB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21,665 (5.8%)</w:t>
            </w:r>
          </w:p>
        </w:tc>
        <w:tc>
          <w:tcPr>
            <w:tcW w:w="1740" w:type="dxa"/>
            <w:tcBorders>
              <w:top w:val="nil"/>
              <w:left w:val="nil"/>
              <w:bottom w:val="nil"/>
              <w:right w:val="nil"/>
            </w:tcBorders>
            <w:shd w:val="clear" w:color="auto" w:fill="auto"/>
            <w:noWrap/>
            <w:vAlign w:val="center"/>
            <w:hideMark/>
          </w:tcPr>
          <w:p w14:paraId="18BC26C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37,449 (5.9%)</w:t>
            </w:r>
          </w:p>
        </w:tc>
        <w:tc>
          <w:tcPr>
            <w:tcW w:w="1740" w:type="dxa"/>
            <w:tcBorders>
              <w:top w:val="nil"/>
              <w:left w:val="nil"/>
              <w:bottom w:val="nil"/>
              <w:right w:val="nil"/>
            </w:tcBorders>
            <w:shd w:val="clear" w:color="auto" w:fill="auto"/>
            <w:noWrap/>
            <w:vAlign w:val="center"/>
            <w:hideMark/>
          </w:tcPr>
          <w:p w14:paraId="0527583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54,784 (5.8%)</w:t>
            </w:r>
          </w:p>
        </w:tc>
        <w:tc>
          <w:tcPr>
            <w:tcW w:w="2020" w:type="dxa"/>
            <w:tcBorders>
              <w:top w:val="nil"/>
              <w:left w:val="nil"/>
              <w:bottom w:val="nil"/>
              <w:right w:val="nil"/>
            </w:tcBorders>
            <w:shd w:val="clear" w:color="auto" w:fill="auto"/>
            <w:noWrap/>
            <w:vAlign w:val="center"/>
            <w:hideMark/>
          </w:tcPr>
          <w:p w14:paraId="5170D06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16,056 (7.9%)</w:t>
            </w:r>
          </w:p>
        </w:tc>
      </w:tr>
      <w:tr w:rsidR="00CF78B0" w:rsidRPr="00414476" w14:paraId="07CE4665" w14:textId="77777777" w:rsidTr="006F5124">
        <w:trPr>
          <w:trHeight w:val="290"/>
        </w:trPr>
        <w:tc>
          <w:tcPr>
            <w:tcW w:w="4660" w:type="dxa"/>
            <w:gridSpan w:val="2"/>
            <w:tcBorders>
              <w:top w:val="nil"/>
              <w:left w:val="nil"/>
              <w:bottom w:val="nil"/>
              <w:right w:val="nil"/>
            </w:tcBorders>
            <w:shd w:val="clear" w:color="auto" w:fill="auto"/>
            <w:noWrap/>
            <w:vAlign w:val="bottom"/>
            <w:hideMark/>
          </w:tcPr>
          <w:p w14:paraId="79100DC2"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Remoteness of patient residence, n(%)</w:t>
            </w:r>
          </w:p>
        </w:tc>
        <w:tc>
          <w:tcPr>
            <w:tcW w:w="1940" w:type="dxa"/>
            <w:tcBorders>
              <w:top w:val="nil"/>
              <w:left w:val="nil"/>
              <w:bottom w:val="nil"/>
              <w:right w:val="nil"/>
            </w:tcBorders>
            <w:shd w:val="clear" w:color="auto" w:fill="auto"/>
            <w:noWrap/>
            <w:vAlign w:val="bottom"/>
            <w:hideMark/>
          </w:tcPr>
          <w:p w14:paraId="77ECC3E2"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5123B168"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6159C9CE"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4C9FDAAC"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2020" w:type="dxa"/>
            <w:tcBorders>
              <w:top w:val="nil"/>
              <w:left w:val="nil"/>
              <w:bottom w:val="nil"/>
              <w:right w:val="nil"/>
            </w:tcBorders>
            <w:shd w:val="clear" w:color="auto" w:fill="auto"/>
            <w:noWrap/>
            <w:vAlign w:val="bottom"/>
            <w:hideMark/>
          </w:tcPr>
          <w:p w14:paraId="2B94D579"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r>
      <w:tr w:rsidR="00CF78B0" w:rsidRPr="00414476" w14:paraId="77909AE9" w14:textId="77777777" w:rsidTr="006F5124">
        <w:trPr>
          <w:trHeight w:val="290"/>
        </w:trPr>
        <w:tc>
          <w:tcPr>
            <w:tcW w:w="960" w:type="dxa"/>
            <w:tcBorders>
              <w:top w:val="nil"/>
              <w:left w:val="nil"/>
              <w:bottom w:val="nil"/>
              <w:right w:val="nil"/>
            </w:tcBorders>
            <w:shd w:val="clear" w:color="auto" w:fill="auto"/>
            <w:noWrap/>
            <w:vAlign w:val="bottom"/>
            <w:hideMark/>
          </w:tcPr>
          <w:p w14:paraId="0F6F5674"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3700" w:type="dxa"/>
            <w:tcBorders>
              <w:top w:val="nil"/>
              <w:left w:val="nil"/>
              <w:bottom w:val="nil"/>
              <w:right w:val="nil"/>
            </w:tcBorders>
            <w:shd w:val="clear" w:color="auto" w:fill="auto"/>
            <w:noWrap/>
            <w:vAlign w:val="bottom"/>
            <w:hideMark/>
          </w:tcPr>
          <w:p w14:paraId="3D5457B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Major cities</w:t>
            </w:r>
          </w:p>
        </w:tc>
        <w:tc>
          <w:tcPr>
            <w:tcW w:w="1940" w:type="dxa"/>
            <w:tcBorders>
              <w:top w:val="nil"/>
              <w:left w:val="nil"/>
              <w:bottom w:val="nil"/>
              <w:right w:val="nil"/>
            </w:tcBorders>
            <w:shd w:val="clear" w:color="auto" w:fill="auto"/>
            <w:noWrap/>
            <w:vAlign w:val="bottom"/>
            <w:hideMark/>
          </w:tcPr>
          <w:p w14:paraId="67B6BEF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144,718 (59.3%)</w:t>
            </w:r>
          </w:p>
        </w:tc>
        <w:tc>
          <w:tcPr>
            <w:tcW w:w="1740" w:type="dxa"/>
            <w:tcBorders>
              <w:top w:val="nil"/>
              <w:left w:val="nil"/>
              <w:bottom w:val="nil"/>
              <w:right w:val="nil"/>
            </w:tcBorders>
            <w:shd w:val="clear" w:color="auto" w:fill="auto"/>
            <w:noWrap/>
            <w:vAlign w:val="center"/>
            <w:hideMark/>
          </w:tcPr>
          <w:p w14:paraId="68C899E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230,210 (62.2%)</w:t>
            </w:r>
          </w:p>
        </w:tc>
        <w:tc>
          <w:tcPr>
            <w:tcW w:w="1740" w:type="dxa"/>
            <w:tcBorders>
              <w:top w:val="nil"/>
              <w:left w:val="nil"/>
              <w:bottom w:val="nil"/>
              <w:right w:val="nil"/>
            </w:tcBorders>
            <w:shd w:val="clear" w:color="auto" w:fill="auto"/>
            <w:noWrap/>
            <w:vAlign w:val="center"/>
            <w:hideMark/>
          </w:tcPr>
          <w:p w14:paraId="72C588D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412,345 (65.0%)</w:t>
            </w:r>
          </w:p>
        </w:tc>
        <w:tc>
          <w:tcPr>
            <w:tcW w:w="1740" w:type="dxa"/>
            <w:tcBorders>
              <w:top w:val="nil"/>
              <w:left w:val="nil"/>
              <w:bottom w:val="nil"/>
              <w:right w:val="nil"/>
            </w:tcBorders>
            <w:shd w:val="clear" w:color="auto" w:fill="auto"/>
            <w:noWrap/>
            <w:vAlign w:val="center"/>
            <w:hideMark/>
          </w:tcPr>
          <w:p w14:paraId="1F1F69F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599,785 (64.0%)</w:t>
            </w:r>
          </w:p>
        </w:tc>
        <w:tc>
          <w:tcPr>
            <w:tcW w:w="2020" w:type="dxa"/>
            <w:tcBorders>
              <w:top w:val="nil"/>
              <w:left w:val="nil"/>
              <w:bottom w:val="nil"/>
              <w:right w:val="nil"/>
            </w:tcBorders>
            <w:shd w:val="clear" w:color="auto" w:fill="auto"/>
            <w:noWrap/>
            <w:vAlign w:val="center"/>
            <w:hideMark/>
          </w:tcPr>
          <w:p w14:paraId="1331C64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114,777 (56.6%)</w:t>
            </w:r>
          </w:p>
        </w:tc>
      </w:tr>
      <w:tr w:rsidR="00CF78B0" w:rsidRPr="00414476" w14:paraId="4A73EB56" w14:textId="77777777" w:rsidTr="006F5124">
        <w:trPr>
          <w:trHeight w:val="290"/>
        </w:trPr>
        <w:tc>
          <w:tcPr>
            <w:tcW w:w="960" w:type="dxa"/>
            <w:tcBorders>
              <w:top w:val="nil"/>
              <w:left w:val="nil"/>
              <w:bottom w:val="nil"/>
              <w:right w:val="nil"/>
            </w:tcBorders>
            <w:shd w:val="clear" w:color="auto" w:fill="auto"/>
            <w:noWrap/>
            <w:vAlign w:val="bottom"/>
            <w:hideMark/>
          </w:tcPr>
          <w:p w14:paraId="0193C5E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1D1CAA2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Inner regional</w:t>
            </w:r>
          </w:p>
        </w:tc>
        <w:tc>
          <w:tcPr>
            <w:tcW w:w="1940" w:type="dxa"/>
            <w:tcBorders>
              <w:top w:val="nil"/>
              <w:left w:val="nil"/>
              <w:bottom w:val="nil"/>
              <w:right w:val="nil"/>
            </w:tcBorders>
            <w:shd w:val="clear" w:color="auto" w:fill="auto"/>
            <w:noWrap/>
            <w:vAlign w:val="bottom"/>
            <w:hideMark/>
          </w:tcPr>
          <w:p w14:paraId="6FB8759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56,641 (23.2%)</w:t>
            </w:r>
          </w:p>
        </w:tc>
        <w:tc>
          <w:tcPr>
            <w:tcW w:w="1740" w:type="dxa"/>
            <w:tcBorders>
              <w:top w:val="nil"/>
              <w:left w:val="nil"/>
              <w:bottom w:val="nil"/>
              <w:right w:val="nil"/>
            </w:tcBorders>
            <w:shd w:val="clear" w:color="auto" w:fill="auto"/>
            <w:noWrap/>
            <w:vAlign w:val="center"/>
            <w:hideMark/>
          </w:tcPr>
          <w:p w14:paraId="1283AB3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84,733 (22.9%)</w:t>
            </w:r>
          </w:p>
        </w:tc>
        <w:tc>
          <w:tcPr>
            <w:tcW w:w="1740" w:type="dxa"/>
            <w:tcBorders>
              <w:top w:val="nil"/>
              <w:left w:val="nil"/>
              <w:bottom w:val="nil"/>
              <w:right w:val="nil"/>
            </w:tcBorders>
            <w:shd w:val="clear" w:color="auto" w:fill="auto"/>
            <w:noWrap/>
            <w:vAlign w:val="center"/>
            <w:hideMark/>
          </w:tcPr>
          <w:p w14:paraId="604B086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133,657 (21.1%)</w:t>
            </w:r>
          </w:p>
        </w:tc>
        <w:tc>
          <w:tcPr>
            <w:tcW w:w="1740" w:type="dxa"/>
            <w:tcBorders>
              <w:top w:val="nil"/>
              <w:left w:val="nil"/>
              <w:bottom w:val="nil"/>
              <w:right w:val="nil"/>
            </w:tcBorders>
            <w:shd w:val="clear" w:color="auto" w:fill="auto"/>
            <w:noWrap/>
            <w:vAlign w:val="center"/>
            <w:hideMark/>
          </w:tcPr>
          <w:p w14:paraId="398E71E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202,920 (21.7%)</w:t>
            </w:r>
          </w:p>
        </w:tc>
        <w:tc>
          <w:tcPr>
            <w:tcW w:w="2020" w:type="dxa"/>
            <w:tcBorders>
              <w:top w:val="nil"/>
              <w:left w:val="nil"/>
              <w:bottom w:val="nil"/>
              <w:right w:val="nil"/>
            </w:tcBorders>
            <w:shd w:val="clear" w:color="auto" w:fill="auto"/>
            <w:noWrap/>
            <w:vAlign w:val="center"/>
            <w:hideMark/>
          </w:tcPr>
          <w:p w14:paraId="28B5330B"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49,442 (24.4%)</w:t>
            </w:r>
          </w:p>
        </w:tc>
      </w:tr>
      <w:tr w:rsidR="00CF78B0" w:rsidRPr="00414476" w14:paraId="72469B18" w14:textId="77777777" w:rsidTr="006F5124">
        <w:trPr>
          <w:trHeight w:val="290"/>
        </w:trPr>
        <w:tc>
          <w:tcPr>
            <w:tcW w:w="960" w:type="dxa"/>
            <w:tcBorders>
              <w:top w:val="nil"/>
              <w:left w:val="nil"/>
              <w:bottom w:val="nil"/>
              <w:right w:val="nil"/>
            </w:tcBorders>
            <w:shd w:val="clear" w:color="auto" w:fill="auto"/>
            <w:noWrap/>
            <w:vAlign w:val="bottom"/>
            <w:hideMark/>
          </w:tcPr>
          <w:p w14:paraId="5C1820E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24B21B07"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Outer regional</w:t>
            </w:r>
          </w:p>
        </w:tc>
        <w:tc>
          <w:tcPr>
            <w:tcW w:w="1940" w:type="dxa"/>
            <w:tcBorders>
              <w:top w:val="nil"/>
              <w:left w:val="nil"/>
              <w:bottom w:val="nil"/>
              <w:right w:val="nil"/>
            </w:tcBorders>
            <w:shd w:val="clear" w:color="auto" w:fill="auto"/>
            <w:noWrap/>
            <w:vAlign w:val="bottom"/>
            <w:hideMark/>
          </w:tcPr>
          <w:p w14:paraId="5FC3935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31,894 (13.1%)</w:t>
            </w:r>
          </w:p>
        </w:tc>
        <w:tc>
          <w:tcPr>
            <w:tcW w:w="1740" w:type="dxa"/>
            <w:tcBorders>
              <w:top w:val="nil"/>
              <w:left w:val="nil"/>
              <w:bottom w:val="nil"/>
              <w:right w:val="nil"/>
            </w:tcBorders>
            <w:shd w:val="clear" w:color="auto" w:fill="auto"/>
            <w:noWrap/>
            <w:vAlign w:val="center"/>
            <w:hideMark/>
          </w:tcPr>
          <w:p w14:paraId="6CF93CF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40,274 (10.9%)</w:t>
            </w:r>
          </w:p>
        </w:tc>
        <w:tc>
          <w:tcPr>
            <w:tcW w:w="1740" w:type="dxa"/>
            <w:tcBorders>
              <w:top w:val="nil"/>
              <w:left w:val="nil"/>
              <w:bottom w:val="nil"/>
              <w:right w:val="nil"/>
            </w:tcBorders>
            <w:shd w:val="clear" w:color="auto" w:fill="auto"/>
            <w:noWrap/>
            <w:vAlign w:val="center"/>
            <w:hideMark/>
          </w:tcPr>
          <w:p w14:paraId="30A5867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63,814 (10.1%)</w:t>
            </w:r>
          </w:p>
        </w:tc>
        <w:tc>
          <w:tcPr>
            <w:tcW w:w="1740" w:type="dxa"/>
            <w:tcBorders>
              <w:top w:val="nil"/>
              <w:left w:val="nil"/>
              <w:bottom w:val="nil"/>
              <w:right w:val="nil"/>
            </w:tcBorders>
            <w:shd w:val="clear" w:color="auto" w:fill="auto"/>
            <w:noWrap/>
            <w:vAlign w:val="center"/>
            <w:hideMark/>
          </w:tcPr>
          <w:p w14:paraId="59241A8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97,367 (10.4%)</w:t>
            </w:r>
          </w:p>
        </w:tc>
        <w:tc>
          <w:tcPr>
            <w:tcW w:w="2020" w:type="dxa"/>
            <w:tcBorders>
              <w:top w:val="nil"/>
              <w:left w:val="nil"/>
              <w:bottom w:val="nil"/>
              <w:right w:val="nil"/>
            </w:tcBorders>
            <w:shd w:val="clear" w:color="auto" w:fill="auto"/>
            <w:noWrap/>
            <w:vAlign w:val="center"/>
            <w:hideMark/>
          </w:tcPr>
          <w:p w14:paraId="591AC00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28,535 (14.1%)</w:t>
            </w:r>
          </w:p>
        </w:tc>
      </w:tr>
      <w:tr w:rsidR="00CF78B0" w:rsidRPr="00414476" w14:paraId="177BAFA4" w14:textId="77777777" w:rsidTr="006F5124">
        <w:trPr>
          <w:trHeight w:val="290"/>
        </w:trPr>
        <w:tc>
          <w:tcPr>
            <w:tcW w:w="960" w:type="dxa"/>
            <w:tcBorders>
              <w:top w:val="nil"/>
              <w:left w:val="nil"/>
              <w:bottom w:val="nil"/>
              <w:right w:val="nil"/>
            </w:tcBorders>
            <w:shd w:val="clear" w:color="auto" w:fill="auto"/>
            <w:noWrap/>
            <w:vAlign w:val="bottom"/>
            <w:hideMark/>
          </w:tcPr>
          <w:p w14:paraId="19B8E8E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65CB78B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Remote</w:t>
            </w:r>
          </w:p>
        </w:tc>
        <w:tc>
          <w:tcPr>
            <w:tcW w:w="1940" w:type="dxa"/>
            <w:tcBorders>
              <w:top w:val="nil"/>
              <w:left w:val="nil"/>
              <w:bottom w:val="nil"/>
              <w:right w:val="nil"/>
            </w:tcBorders>
            <w:shd w:val="clear" w:color="auto" w:fill="auto"/>
            <w:noWrap/>
            <w:vAlign w:val="bottom"/>
            <w:hideMark/>
          </w:tcPr>
          <w:p w14:paraId="49E341C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10,175 (4.2%)</w:t>
            </w:r>
          </w:p>
        </w:tc>
        <w:tc>
          <w:tcPr>
            <w:tcW w:w="1740" w:type="dxa"/>
            <w:tcBorders>
              <w:top w:val="nil"/>
              <w:left w:val="nil"/>
              <w:bottom w:val="nil"/>
              <w:right w:val="nil"/>
            </w:tcBorders>
            <w:shd w:val="clear" w:color="auto" w:fill="auto"/>
            <w:noWrap/>
            <w:vAlign w:val="center"/>
            <w:hideMark/>
          </w:tcPr>
          <w:p w14:paraId="2E5E35D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12,935 (3.5%)</w:t>
            </w:r>
          </w:p>
        </w:tc>
        <w:tc>
          <w:tcPr>
            <w:tcW w:w="1740" w:type="dxa"/>
            <w:tcBorders>
              <w:top w:val="nil"/>
              <w:left w:val="nil"/>
              <w:bottom w:val="nil"/>
              <w:right w:val="nil"/>
            </w:tcBorders>
            <w:shd w:val="clear" w:color="auto" w:fill="auto"/>
            <w:noWrap/>
            <w:vAlign w:val="center"/>
            <w:hideMark/>
          </w:tcPr>
          <w:p w14:paraId="6F448A2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19,754 (3.1%)</w:t>
            </w:r>
          </w:p>
        </w:tc>
        <w:tc>
          <w:tcPr>
            <w:tcW w:w="1740" w:type="dxa"/>
            <w:tcBorders>
              <w:top w:val="nil"/>
              <w:left w:val="nil"/>
              <w:bottom w:val="nil"/>
              <w:right w:val="nil"/>
            </w:tcBorders>
            <w:shd w:val="clear" w:color="auto" w:fill="auto"/>
            <w:noWrap/>
            <w:vAlign w:val="center"/>
            <w:hideMark/>
          </w:tcPr>
          <w:p w14:paraId="3375604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30,204 (3.2%)</w:t>
            </w:r>
          </w:p>
        </w:tc>
        <w:tc>
          <w:tcPr>
            <w:tcW w:w="2020" w:type="dxa"/>
            <w:tcBorders>
              <w:top w:val="nil"/>
              <w:left w:val="nil"/>
              <w:bottom w:val="nil"/>
              <w:right w:val="nil"/>
            </w:tcBorders>
            <w:shd w:val="clear" w:color="auto" w:fill="auto"/>
            <w:noWrap/>
            <w:vAlign w:val="center"/>
            <w:hideMark/>
          </w:tcPr>
          <w:p w14:paraId="38FB306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9,387 ( 4.6%)</w:t>
            </w:r>
          </w:p>
        </w:tc>
      </w:tr>
      <w:tr w:rsidR="00CF78B0" w:rsidRPr="00414476" w14:paraId="0B45296C" w14:textId="77777777" w:rsidTr="006F5124">
        <w:trPr>
          <w:trHeight w:val="290"/>
        </w:trPr>
        <w:tc>
          <w:tcPr>
            <w:tcW w:w="4660" w:type="dxa"/>
            <w:gridSpan w:val="2"/>
            <w:tcBorders>
              <w:top w:val="nil"/>
              <w:left w:val="nil"/>
              <w:bottom w:val="nil"/>
              <w:right w:val="nil"/>
            </w:tcBorders>
            <w:shd w:val="clear" w:color="auto" w:fill="auto"/>
            <w:noWrap/>
            <w:vAlign w:val="bottom"/>
            <w:hideMark/>
          </w:tcPr>
          <w:p w14:paraId="7F0DD51B"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Comorbidities, n(%)</w:t>
            </w:r>
          </w:p>
        </w:tc>
        <w:tc>
          <w:tcPr>
            <w:tcW w:w="1940" w:type="dxa"/>
            <w:tcBorders>
              <w:top w:val="nil"/>
              <w:left w:val="nil"/>
              <w:bottom w:val="nil"/>
              <w:right w:val="nil"/>
            </w:tcBorders>
            <w:shd w:val="clear" w:color="auto" w:fill="auto"/>
            <w:noWrap/>
            <w:vAlign w:val="bottom"/>
            <w:hideMark/>
          </w:tcPr>
          <w:p w14:paraId="50B5654B" w14:textId="77777777" w:rsidR="00CF78B0" w:rsidRPr="00414476" w:rsidRDefault="00CF78B0" w:rsidP="006F5124">
            <w:pPr>
              <w:spacing w:after="0" w:line="240" w:lineRule="auto"/>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59FBCB15"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2BAAC07E"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50A76FC6"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2020" w:type="dxa"/>
            <w:tcBorders>
              <w:top w:val="nil"/>
              <w:left w:val="nil"/>
              <w:bottom w:val="nil"/>
              <w:right w:val="nil"/>
            </w:tcBorders>
            <w:shd w:val="clear" w:color="auto" w:fill="auto"/>
            <w:noWrap/>
            <w:vAlign w:val="bottom"/>
            <w:hideMark/>
          </w:tcPr>
          <w:p w14:paraId="4277DC24"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r>
      <w:tr w:rsidR="00CF78B0" w:rsidRPr="00414476" w14:paraId="10DEC336" w14:textId="77777777" w:rsidTr="006F5124">
        <w:trPr>
          <w:trHeight w:val="290"/>
        </w:trPr>
        <w:tc>
          <w:tcPr>
            <w:tcW w:w="960" w:type="dxa"/>
            <w:tcBorders>
              <w:top w:val="nil"/>
              <w:left w:val="nil"/>
              <w:bottom w:val="nil"/>
              <w:right w:val="nil"/>
            </w:tcBorders>
            <w:shd w:val="clear" w:color="auto" w:fill="auto"/>
            <w:noWrap/>
            <w:vAlign w:val="bottom"/>
            <w:hideMark/>
          </w:tcPr>
          <w:p w14:paraId="7752CDA0"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3700" w:type="dxa"/>
            <w:tcBorders>
              <w:top w:val="nil"/>
              <w:left w:val="nil"/>
              <w:bottom w:val="nil"/>
              <w:right w:val="nil"/>
            </w:tcBorders>
            <w:shd w:val="clear" w:color="auto" w:fill="auto"/>
            <w:noWrap/>
            <w:vAlign w:val="bottom"/>
            <w:hideMark/>
          </w:tcPr>
          <w:p w14:paraId="3EA7789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Cancer</w:t>
            </w:r>
          </w:p>
        </w:tc>
        <w:tc>
          <w:tcPr>
            <w:tcW w:w="1940" w:type="dxa"/>
            <w:tcBorders>
              <w:top w:val="nil"/>
              <w:left w:val="nil"/>
              <w:bottom w:val="nil"/>
              <w:right w:val="nil"/>
            </w:tcBorders>
            <w:shd w:val="clear" w:color="auto" w:fill="auto"/>
            <w:noWrap/>
            <w:vAlign w:val="bottom"/>
            <w:hideMark/>
          </w:tcPr>
          <w:p w14:paraId="39C9663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40,993 (16.8%)</w:t>
            </w:r>
          </w:p>
        </w:tc>
        <w:tc>
          <w:tcPr>
            <w:tcW w:w="1740" w:type="dxa"/>
            <w:tcBorders>
              <w:top w:val="nil"/>
              <w:left w:val="nil"/>
              <w:bottom w:val="nil"/>
              <w:right w:val="nil"/>
            </w:tcBorders>
            <w:shd w:val="clear" w:color="auto" w:fill="auto"/>
            <w:noWrap/>
            <w:vAlign w:val="center"/>
            <w:hideMark/>
          </w:tcPr>
          <w:p w14:paraId="7E62F20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44,120 (11.9%)</w:t>
            </w:r>
          </w:p>
        </w:tc>
        <w:tc>
          <w:tcPr>
            <w:tcW w:w="1740" w:type="dxa"/>
            <w:tcBorders>
              <w:top w:val="nil"/>
              <w:left w:val="nil"/>
              <w:bottom w:val="nil"/>
              <w:right w:val="nil"/>
            </w:tcBorders>
            <w:shd w:val="clear" w:color="auto" w:fill="auto"/>
            <w:noWrap/>
            <w:vAlign w:val="center"/>
            <w:hideMark/>
          </w:tcPr>
          <w:p w14:paraId="34EC745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91,175 (14.4%)</w:t>
            </w:r>
          </w:p>
        </w:tc>
        <w:tc>
          <w:tcPr>
            <w:tcW w:w="1740" w:type="dxa"/>
            <w:tcBorders>
              <w:top w:val="nil"/>
              <w:left w:val="nil"/>
              <w:bottom w:val="nil"/>
              <w:right w:val="nil"/>
            </w:tcBorders>
            <w:shd w:val="clear" w:color="auto" w:fill="auto"/>
            <w:noWrap/>
            <w:vAlign w:val="center"/>
            <w:hideMark/>
          </w:tcPr>
          <w:p w14:paraId="6E37766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125,628 (13.4%)</w:t>
            </w:r>
          </w:p>
        </w:tc>
        <w:tc>
          <w:tcPr>
            <w:tcW w:w="2020" w:type="dxa"/>
            <w:tcBorders>
              <w:top w:val="nil"/>
              <w:left w:val="nil"/>
              <w:bottom w:val="nil"/>
              <w:right w:val="nil"/>
            </w:tcBorders>
            <w:shd w:val="clear" w:color="auto" w:fill="auto"/>
            <w:noWrap/>
            <w:vAlign w:val="center"/>
            <w:hideMark/>
          </w:tcPr>
          <w:p w14:paraId="60C56C7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30,790 (15.2%)</w:t>
            </w:r>
          </w:p>
        </w:tc>
      </w:tr>
      <w:tr w:rsidR="00CF78B0" w:rsidRPr="00414476" w14:paraId="43551215" w14:textId="77777777" w:rsidTr="006F5124">
        <w:trPr>
          <w:trHeight w:val="290"/>
        </w:trPr>
        <w:tc>
          <w:tcPr>
            <w:tcW w:w="960" w:type="dxa"/>
            <w:tcBorders>
              <w:top w:val="nil"/>
              <w:left w:val="nil"/>
              <w:bottom w:val="nil"/>
              <w:right w:val="nil"/>
            </w:tcBorders>
            <w:shd w:val="clear" w:color="auto" w:fill="auto"/>
            <w:noWrap/>
            <w:vAlign w:val="bottom"/>
            <w:hideMark/>
          </w:tcPr>
          <w:p w14:paraId="4CF3A80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3A815A2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Chronic obstructive pulmonary disease</w:t>
            </w:r>
          </w:p>
        </w:tc>
        <w:tc>
          <w:tcPr>
            <w:tcW w:w="1940" w:type="dxa"/>
            <w:tcBorders>
              <w:top w:val="nil"/>
              <w:left w:val="nil"/>
              <w:bottom w:val="nil"/>
              <w:right w:val="nil"/>
            </w:tcBorders>
            <w:shd w:val="clear" w:color="auto" w:fill="auto"/>
            <w:noWrap/>
            <w:vAlign w:val="bottom"/>
            <w:hideMark/>
          </w:tcPr>
          <w:p w14:paraId="0F6D371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13,116 (5.4%)</w:t>
            </w:r>
          </w:p>
        </w:tc>
        <w:tc>
          <w:tcPr>
            <w:tcW w:w="1740" w:type="dxa"/>
            <w:tcBorders>
              <w:top w:val="nil"/>
              <w:left w:val="nil"/>
              <w:bottom w:val="nil"/>
              <w:right w:val="nil"/>
            </w:tcBorders>
            <w:shd w:val="clear" w:color="auto" w:fill="auto"/>
            <w:noWrap/>
            <w:vAlign w:val="center"/>
            <w:hideMark/>
          </w:tcPr>
          <w:p w14:paraId="6BE6E61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23,028 (6.2%)</w:t>
            </w:r>
          </w:p>
        </w:tc>
        <w:tc>
          <w:tcPr>
            <w:tcW w:w="1740" w:type="dxa"/>
            <w:tcBorders>
              <w:top w:val="nil"/>
              <w:left w:val="nil"/>
              <w:bottom w:val="nil"/>
              <w:right w:val="nil"/>
            </w:tcBorders>
            <w:shd w:val="clear" w:color="auto" w:fill="auto"/>
            <w:noWrap/>
            <w:vAlign w:val="center"/>
            <w:hideMark/>
          </w:tcPr>
          <w:p w14:paraId="1415C27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60,687 (9.6%)</w:t>
            </w:r>
          </w:p>
        </w:tc>
        <w:tc>
          <w:tcPr>
            <w:tcW w:w="1740" w:type="dxa"/>
            <w:tcBorders>
              <w:top w:val="nil"/>
              <w:left w:val="nil"/>
              <w:bottom w:val="nil"/>
              <w:right w:val="nil"/>
            </w:tcBorders>
            <w:shd w:val="clear" w:color="auto" w:fill="auto"/>
            <w:noWrap/>
            <w:vAlign w:val="center"/>
            <w:hideMark/>
          </w:tcPr>
          <w:p w14:paraId="21D14AF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77,454 (8.3%)</w:t>
            </w:r>
          </w:p>
        </w:tc>
        <w:tc>
          <w:tcPr>
            <w:tcW w:w="2020" w:type="dxa"/>
            <w:tcBorders>
              <w:top w:val="nil"/>
              <w:left w:val="nil"/>
              <w:bottom w:val="nil"/>
              <w:right w:val="nil"/>
            </w:tcBorders>
            <w:shd w:val="clear" w:color="auto" w:fill="auto"/>
            <w:noWrap/>
            <w:vAlign w:val="center"/>
            <w:hideMark/>
          </w:tcPr>
          <w:p w14:paraId="7536688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12,075 (6.0%)</w:t>
            </w:r>
          </w:p>
        </w:tc>
      </w:tr>
      <w:tr w:rsidR="00CF78B0" w:rsidRPr="00414476" w14:paraId="660F5FF0" w14:textId="77777777" w:rsidTr="006F5124">
        <w:trPr>
          <w:trHeight w:val="290"/>
        </w:trPr>
        <w:tc>
          <w:tcPr>
            <w:tcW w:w="960" w:type="dxa"/>
            <w:tcBorders>
              <w:top w:val="nil"/>
              <w:left w:val="nil"/>
              <w:bottom w:val="nil"/>
              <w:right w:val="nil"/>
            </w:tcBorders>
            <w:shd w:val="clear" w:color="auto" w:fill="auto"/>
            <w:noWrap/>
            <w:vAlign w:val="bottom"/>
            <w:hideMark/>
          </w:tcPr>
          <w:p w14:paraId="31A38007"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6873628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Diabetes</w:t>
            </w:r>
          </w:p>
        </w:tc>
        <w:tc>
          <w:tcPr>
            <w:tcW w:w="1940" w:type="dxa"/>
            <w:tcBorders>
              <w:top w:val="nil"/>
              <w:left w:val="nil"/>
              <w:bottom w:val="nil"/>
              <w:right w:val="nil"/>
            </w:tcBorders>
            <w:shd w:val="clear" w:color="auto" w:fill="auto"/>
            <w:noWrap/>
            <w:vAlign w:val="bottom"/>
            <w:hideMark/>
          </w:tcPr>
          <w:p w14:paraId="2D98F5D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70,327 (28.8%)</w:t>
            </w:r>
          </w:p>
        </w:tc>
        <w:tc>
          <w:tcPr>
            <w:tcW w:w="1740" w:type="dxa"/>
            <w:tcBorders>
              <w:top w:val="nil"/>
              <w:left w:val="nil"/>
              <w:bottom w:val="nil"/>
              <w:right w:val="nil"/>
            </w:tcBorders>
            <w:shd w:val="clear" w:color="auto" w:fill="auto"/>
            <w:noWrap/>
            <w:vAlign w:val="center"/>
            <w:hideMark/>
          </w:tcPr>
          <w:p w14:paraId="601D316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107,332 (29.0%)</w:t>
            </w:r>
          </w:p>
        </w:tc>
        <w:tc>
          <w:tcPr>
            <w:tcW w:w="1740" w:type="dxa"/>
            <w:tcBorders>
              <w:top w:val="nil"/>
              <w:left w:val="nil"/>
              <w:bottom w:val="nil"/>
              <w:right w:val="nil"/>
            </w:tcBorders>
            <w:shd w:val="clear" w:color="auto" w:fill="auto"/>
            <w:noWrap/>
            <w:vAlign w:val="center"/>
            <w:hideMark/>
          </w:tcPr>
          <w:p w14:paraId="5AFCD12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184,262 (29.0%)</w:t>
            </w:r>
          </w:p>
        </w:tc>
        <w:tc>
          <w:tcPr>
            <w:tcW w:w="1740" w:type="dxa"/>
            <w:tcBorders>
              <w:top w:val="nil"/>
              <w:left w:val="nil"/>
              <w:bottom w:val="nil"/>
              <w:right w:val="nil"/>
            </w:tcBorders>
            <w:shd w:val="clear" w:color="auto" w:fill="auto"/>
            <w:noWrap/>
            <w:vAlign w:val="center"/>
            <w:hideMark/>
          </w:tcPr>
          <w:p w14:paraId="2FF16AE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269,329 (28.7%)</w:t>
            </w:r>
          </w:p>
        </w:tc>
        <w:tc>
          <w:tcPr>
            <w:tcW w:w="2020" w:type="dxa"/>
            <w:tcBorders>
              <w:top w:val="nil"/>
              <w:left w:val="nil"/>
              <w:bottom w:val="nil"/>
              <w:right w:val="nil"/>
            </w:tcBorders>
            <w:shd w:val="clear" w:color="auto" w:fill="auto"/>
            <w:noWrap/>
            <w:vAlign w:val="center"/>
            <w:hideMark/>
          </w:tcPr>
          <w:p w14:paraId="5B9E618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62,461 (30.8%)</w:t>
            </w:r>
          </w:p>
        </w:tc>
      </w:tr>
      <w:tr w:rsidR="00CF78B0" w:rsidRPr="00414476" w14:paraId="6D38725E" w14:textId="77777777" w:rsidTr="006F5124">
        <w:trPr>
          <w:trHeight w:val="290"/>
        </w:trPr>
        <w:tc>
          <w:tcPr>
            <w:tcW w:w="960" w:type="dxa"/>
            <w:tcBorders>
              <w:top w:val="nil"/>
              <w:left w:val="nil"/>
              <w:bottom w:val="nil"/>
              <w:right w:val="nil"/>
            </w:tcBorders>
            <w:shd w:val="clear" w:color="auto" w:fill="auto"/>
            <w:noWrap/>
            <w:vAlign w:val="bottom"/>
            <w:hideMark/>
          </w:tcPr>
          <w:p w14:paraId="76E05E5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1891105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HIV/AIDS</w:t>
            </w:r>
          </w:p>
        </w:tc>
        <w:tc>
          <w:tcPr>
            <w:tcW w:w="1940" w:type="dxa"/>
            <w:tcBorders>
              <w:top w:val="nil"/>
              <w:left w:val="nil"/>
              <w:bottom w:val="nil"/>
              <w:right w:val="nil"/>
            </w:tcBorders>
            <w:shd w:val="clear" w:color="auto" w:fill="auto"/>
            <w:noWrap/>
            <w:vAlign w:val="bottom"/>
            <w:hideMark/>
          </w:tcPr>
          <w:p w14:paraId="102DC64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222 (0.1%)</w:t>
            </w:r>
          </w:p>
        </w:tc>
        <w:tc>
          <w:tcPr>
            <w:tcW w:w="1740" w:type="dxa"/>
            <w:tcBorders>
              <w:top w:val="nil"/>
              <w:left w:val="nil"/>
              <w:bottom w:val="nil"/>
              <w:right w:val="nil"/>
            </w:tcBorders>
            <w:shd w:val="clear" w:color="auto" w:fill="auto"/>
            <w:noWrap/>
            <w:vAlign w:val="center"/>
            <w:hideMark/>
          </w:tcPr>
          <w:p w14:paraId="471C93B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323 (0.1%)</w:t>
            </w:r>
          </w:p>
        </w:tc>
        <w:tc>
          <w:tcPr>
            <w:tcW w:w="1740" w:type="dxa"/>
            <w:tcBorders>
              <w:top w:val="nil"/>
              <w:left w:val="nil"/>
              <w:bottom w:val="nil"/>
              <w:right w:val="nil"/>
            </w:tcBorders>
            <w:shd w:val="clear" w:color="auto" w:fill="auto"/>
            <w:noWrap/>
            <w:vAlign w:val="center"/>
            <w:hideMark/>
          </w:tcPr>
          <w:p w14:paraId="2E5BD25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789 (0.1%)</w:t>
            </w:r>
          </w:p>
        </w:tc>
        <w:tc>
          <w:tcPr>
            <w:tcW w:w="1740" w:type="dxa"/>
            <w:tcBorders>
              <w:top w:val="nil"/>
              <w:left w:val="nil"/>
              <w:bottom w:val="nil"/>
              <w:right w:val="nil"/>
            </w:tcBorders>
            <w:shd w:val="clear" w:color="auto" w:fill="auto"/>
            <w:noWrap/>
            <w:vAlign w:val="center"/>
            <w:hideMark/>
          </w:tcPr>
          <w:p w14:paraId="13A0F49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1,016 (0.1%)</w:t>
            </w:r>
          </w:p>
        </w:tc>
        <w:tc>
          <w:tcPr>
            <w:tcW w:w="2020" w:type="dxa"/>
            <w:tcBorders>
              <w:top w:val="nil"/>
              <w:left w:val="nil"/>
              <w:bottom w:val="nil"/>
              <w:right w:val="nil"/>
            </w:tcBorders>
            <w:shd w:val="clear" w:color="auto" w:fill="auto"/>
            <w:noWrap/>
            <w:vAlign w:val="center"/>
            <w:hideMark/>
          </w:tcPr>
          <w:p w14:paraId="20D3823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226 (0.1%)</w:t>
            </w:r>
          </w:p>
        </w:tc>
      </w:tr>
      <w:tr w:rsidR="00CF78B0" w:rsidRPr="00414476" w14:paraId="236A0117" w14:textId="77777777" w:rsidTr="006F5124">
        <w:trPr>
          <w:trHeight w:val="290"/>
        </w:trPr>
        <w:tc>
          <w:tcPr>
            <w:tcW w:w="960" w:type="dxa"/>
            <w:tcBorders>
              <w:top w:val="nil"/>
              <w:left w:val="nil"/>
              <w:bottom w:val="nil"/>
              <w:right w:val="nil"/>
            </w:tcBorders>
            <w:shd w:val="clear" w:color="auto" w:fill="auto"/>
            <w:noWrap/>
            <w:vAlign w:val="bottom"/>
            <w:hideMark/>
          </w:tcPr>
          <w:p w14:paraId="298864EE"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7094BDC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Liver disease</w:t>
            </w:r>
          </w:p>
        </w:tc>
        <w:tc>
          <w:tcPr>
            <w:tcW w:w="1940" w:type="dxa"/>
            <w:tcBorders>
              <w:top w:val="nil"/>
              <w:left w:val="nil"/>
              <w:bottom w:val="nil"/>
              <w:right w:val="nil"/>
            </w:tcBorders>
            <w:shd w:val="clear" w:color="auto" w:fill="auto"/>
            <w:noWrap/>
            <w:vAlign w:val="bottom"/>
            <w:hideMark/>
          </w:tcPr>
          <w:p w14:paraId="1541416E"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3,271 (1.3%)</w:t>
            </w:r>
          </w:p>
        </w:tc>
        <w:tc>
          <w:tcPr>
            <w:tcW w:w="1740" w:type="dxa"/>
            <w:tcBorders>
              <w:top w:val="nil"/>
              <w:left w:val="nil"/>
              <w:bottom w:val="nil"/>
              <w:right w:val="nil"/>
            </w:tcBorders>
            <w:shd w:val="clear" w:color="auto" w:fill="auto"/>
            <w:noWrap/>
            <w:vAlign w:val="center"/>
            <w:hideMark/>
          </w:tcPr>
          <w:p w14:paraId="0377CD0A"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6,757 (1.8%)</w:t>
            </w:r>
          </w:p>
        </w:tc>
        <w:tc>
          <w:tcPr>
            <w:tcW w:w="1740" w:type="dxa"/>
            <w:tcBorders>
              <w:top w:val="nil"/>
              <w:left w:val="nil"/>
              <w:bottom w:val="nil"/>
              <w:right w:val="nil"/>
            </w:tcBorders>
            <w:shd w:val="clear" w:color="auto" w:fill="auto"/>
            <w:noWrap/>
            <w:vAlign w:val="center"/>
            <w:hideMark/>
          </w:tcPr>
          <w:p w14:paraId="2601B55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18,992 (3.0%)</w:t>
            </w:r>
          </w:p>
        </w:tc>
        <w:tc>
          <w:tcPr>
            <w:tcW w:w="1740" w:type="dxa"/>
            <w:tcBorders>
              <w:top w:val="nil"/>
              <w:left w:val="nil"/>
              <w:bottom w:val="nil"/>
              <w:right w:val="nil"/>
            </w:tcBorders>
            <w:shd w:val="clear" w:color="auto" w:fill="auto"/>
            <w:noWrap/>
            <w:vAlign w:val="center"/>
            <w:hideMark/>
          </w:tcPr>
          <w:p w14:paraId="2A960FF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22,403 (2.4%)</w:t>
            </w:r>
          </w:p>
        </w:tc>
        <w:tc>
          <w:tcPr>
            <w:tcW w:w="2020" w:type="dxa"/>
            <w:tcBorders>
              <w:top w:val="nil"/>
              <w:left w:val="nil"/>
              <w:bottom w:val="nil"/>
              <w:right w:val="nil"/>
            </w:tcBorders>
            <w:shd w:val="clear" w:color="auto" w:fill="auto"/>
            <w:noWrap/>
            <w:vAlign w:val="center"/>
            <w:hideMark/>
          </w:tcPr>
          <w:p w14:paraId="59EE3B69"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3,284 (1.6%)</w:t>
            </w:r>
          </w:p>
        </w:tc>
      </w:tr>
      <w:tr w:rsidR="00CF78B0" w:rsidRPr="00414476" w14:paraId="74A9D96B" w14:textId="77777777" w:rsidTr="006F5124">
        <w:trPr>
          <w:trHeight w:val="290"/>
        </w:trPr>
        <w:tc>
          <w:tcPr>
            <w:tcW w:w="960" w:type="dxa"/>
            <w:tcBorders>
              <w:top w:val="nil"/>
              <w:left w:val="nil"/>
              <w:bottom w:val="nil"/>
              <w:right w:val="nil"/>
            </w:tcBorders>
            <w:shd w:val="clear" w:color="auto" w:fill="auto"/>
            <w:noWrap/>
            <w:vAlign w:val="bottom"/>
            <w:hideMark/>
          </w:tcPr>
          <w:p w14:paraId="34B88FF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2777006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Renal disease</w:t>
            </w:r>
          </w:p>
        </w:tc>
        <w:tc>
          <w:tcPr>
            <w:tcW w:w="1940" w:type="dxa"/>
            <w:tcBorders>
              <w:top w:val="nil"/>
              <w:left w:val="nil"/>
              <w:bottom w:val="nil"/>
              <w:right w:val="nil"/>
            </w:tcBorders>
            <w:shd w:val="clear" w:color="auto" w:fill="auto"/>
            <w:noWrap/>
            <w:vAlign w:val="bottom"/>
            <w:hideMark/>
          </w:tcPr>
          <w:p w14:paraId="1B57E9FB"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27,851 (11.4%)</w:t>
            </w:r>
          </w:p>
        </w:tc>
        <w:tc>
          <w:tcPr>
            <w:tcW w:w="1740" w:type="dxa"/>
            <w:tcBorders>
              <w:top w:val="nil"/>
              <w:left w:val="nil"/>
              <w:bottom w:val="nil"/>
              <w:right w:val="nil"/>
            </w:tcBorders>
            <w:shd w:val="clear" w:color="auto" w:fill="auto"/>
            <w:noWrap/>
            <w:vAlign w:val="center"/>
            <w:hideMark/>
          </w:tcPr>
          <w:p w14:paraId="16B8053F"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58,452 (15.8%)</w:t>
            </w:r>
          </w:p>
        </w:tc>
        <w:tc>
          <w:tcPr>
            <w:tcW w:w="1740" w:type="dxa"/>
            <w:tcBorders>
              <w:top w:val="nil"/>
              <w:left w:val="nil"/>
              <w:bottom w:val="nil"/>
              <w:right w:val="nil"/>
            </w:tcBorders>
            <w:shd w:val="clear" w:color="auto" w:fill="auto"/>
            <w:noWrap/>
            <w:vAlign w:val="center"/>
            <w:hideMark/>
          </w:tcPr>
          <w:p w14:paraId="2CAE0B2B"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105,482 (16.6%)</w:t>
            </w:r>
          </w:p>
        </w:tc>
        <w:tc>
          <w:tcPr>
            <w:tcW w:w="1740" w:type="dxa"/>
            <w:tcBorders>
              <w:top w:val="nil"/>
              <w:left w:val="nil"/>
              <w:bottom w:val="nil"/>
              <w:right w:val="nil"/>
            </w:tcBorders>
            <w:shd w:val="clear" w:color="auto" w:fill="auto"/>
            <w:noWrap/>
            <w:vAlign w:val="center"/>
            <w:hideMark/>
          </w:tcPr>
          <w:p w14:paraId="2BEF3CD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148,465 (15.8%)</w:t>
            </w:r>
          </w:p>
        </w:tc>
        <w:tc>
          <w:tcPr>
            <w:tcW w:w="2020" w:type="dxa"/>
            <w:tcBorders>
              <w:top w:val="nil"/>
              <w:left w:val="nil"/>
              <w:bottom w:val="nil"/>
              <w:right w:val="nil"/>
            </w:tcBorders>
            <w:shd w:val="clear" w:color="auto" w:fill="auto"/>
            <w:noWrap/>
            <w:vAlign w:val="center"/>
            <w:hideMark/>
          </w:tcPr>
          <w:p w14:paraId="13FD3A1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26,426 (13.0%)</w:t>
            </w:r>
          </w:p>
        </w:tc>
      </w:tr>
      <w:tr w:rsidR="00CF78B0" w:rsidRPr="00414476" w14:paraId="1A46E795" w14:textId="77777777" w:rsidTr="006F5124">
        <w:trPr>
          <w:trHeight w:val="290"/>
        </w:trPr>
        <w:tc>
          <w:tcPr>
            <w:tcW w:w="4660" w:type="dxa"/>
            <w:gridSpan w:val="2"/>
            <w:tcBorders>
              <w:top w:val="nil"/>
              <w:left w:val="nil"/>
              <w:bottom w:val="nil"/>
              <w:right w:val="nil"/>
            </w:tcBorders>
            <w:shd w:val="clear" w:color="auto" w:fill="auto"/>
            <w:noWrap/>
            <w:vAlign w:val="bottom"/>
            <w:hideMark/>
          </w:tcPr>
          <w:p w14:paraId="3306DB01" w14:textId="77777777" w:rsidR="00CF78B0" w:rsidRPr="00414476" w:rsidRDefault="00CF78B0" w:rsidP="006F5124">
            <w:pPr>
              <w:keepNext/>
              <w:spacing w:after="0" w:line="240" w:lineRule="auto"/>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Sepsis onset, n(%)</w:t>
            </w:r>
          </w:p>
        </w:tc>
        <w:tc>
          <w:tcPr>
            <w:tcW w:w="1940" w:type="dxa"/>
            <w:tcBorders>
              <w:top w:val="nil"/>
              <w:left w:val="nil"/>
              <w:bottom w:val="nil"/>
              <w:right w:val="nil"/>
            </w:tcBorders>
            <w:shd w:val="clear" w:color="auto" w:fill="auto"/>
            <w:noWrap/>
            <w:vAlign w:val="bottom"/>
            <w:hideMark/>
          </w:tcPr>
          <w:p w14:paraId="290C7607" w14:textId="77777777" w:rsidR="00CF78B0" w:rsidRPr="00414476" w:rsidRDefault="00CF78B0" w:rsidP="006F5124">
            <w:pPr>
              <w:spacing w:after="0" w:line="240" w:lineRule="auto"/>
              <w:rPr>
                <w:rFonts w:ascii="Calibri" w:eastAsia="Times New Roman" w:hAnsi="Calibri" w:cs="Calibri"/>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5E18BB04"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75CB6570"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16FF637D"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2020" w:type="dxa"/>
            <w:tcBorders>
              <w:top w:val="nil"/>
              <w:left w:val="nil"/>
              <w:bottom w:val="nil"/>
              <w:right w:val="nil"/>
            </w:tcBorders>
            <w:shd w:val="clear" w:color="auto" w:fill="auto"/>
            <w:noWrap/>
            <w:vAlign w:val="bottom"/>
            <w:hideMark/>
          </w:tcPr>
          <w:p w14:paraId="5E98782B"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r>
      <w:tr w:rsidR="00CF78B0" w:rsidRPr="00414476" w14:paraId="5A6EFFD1" w14:textId="77777777" w:rsidTr="006F5124">
        <w:trPr>
          <w:trHeight w:val="290"/>
        </w:trPr>
        <w:tc>
          <w:tcPr>
            <w:tcW w:w="960" w:type="dxa"/>
            <w:tcBorders>
              <w:top w:val="nil"/>
              <w:left w:val="nil"/>
              <w:bottom w:val="nil"/>
              <w:right w:val="nil"/>
            </w:tcBorders>
            <w:shd w:val="clear" w:color="auto" w:fill="auto"/>
            <w:noWrap/>
            <w:vAlign w:val="bottom"/>
            <w:hideMark/>
          </w:tcPr>
          <w:p w14:paraId="2D2F106D" w14:textId="77777777" w:rsidR="00CF78B0" w:rsidRPr="00414476" w:rsidRDefault="00CF78B0" w:rsidP="006F5124">
            <w:pPr>
              <w:spacing w:after="0" w:line="240" w:lineRule="auto"/>
              <w:jc w:val="right"/>
              <w:rPr>
                <w:rFonts w:ascii="Times New Roman" w:eastAsia="Times New Roman" w:hAnsi="Times New Roman"/>
                <w:color w:val="auto"/>
                <w:sz w:val="20"/>
                <w:szCs w:val="20"/>
                <w:lang w:eastAsia="en-AU"/>
              </w:rPr>
            </w:pPr>
          </w:p>
        </w:tc>
        <w:tc>
          <w:tcPr>
            <w:tcW w:w="3700" w:type="dxa"/>
            <w:tcBorders>
              <w:top w:val="nil"/>
              <w:left w:val="nil"/>
              <w:bottom w:val="nil"/>
              <w:right w:val="nil"/>
            </w:tcBorders>
            <w:shd w:val="clear" w:color="auto" w:fill="auto"/>
            <w:noWrap/>
            <w:vAlign w:val="bottom"/>
            <w:hideMark/>
          </w:tcPr>
          <w:p w14:paraId="01960283"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present on admission</w:t>
            </w:r>
          </w:p>
        </w:tc>
        <w:tc>
          <w:tcPr>
            <w:tcW w:w="1940" w:type="dxa"/>
            <w:tcBorders>
              <w:top w:val="nil"/>
              <w:left w:val="nil"/>
              <w:bottom w:val="nil"/>
              <w:right w:val="nil"/>
            </w:tcBorders>
            <w:shd w:val="clear" w:color="auto" w:fill="auto"/>
            <w:noWrap/>
            <w:vAlign w:val="bottom"/>
            <w:hideMark/>
          </w:tcPr>
          <w:p w14:paraId="72EB180E"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51,597 (21.1%)</w:t>
            </w:r>
          </w:p>
        </w:tc>
        <w:tc>
          <w:tcPr>
            <w:tcW w:w="1740" w:type="dxa"/>
            <w:tcBorders>
              <w:top w:val="nil"/>
              <w:left w:val="nil"/>
              <w:bottom w:val="nil"/>
              <w:right w:val="nil"/>
            </w:tcBorders>
            <w:shd w:val="clear" w:color="auto" w:fill="auto"/>
            <w:noWrap/>
            <w:vAlign w:val="center"/>
            <w:hideMark/>
          </w:tcPr>
          <w:p w14:paraId="4006C154"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361,577 (97.6%)</w:t>
            </w:r>
          </w:p>
        </w:tc>
        <w:tc>
          <w:tcPr>
            <w:tcW w:w="1740" w:type="dxa"/>
            <w:tcBorders>
              <w:top w:val="nil"/>
              <w:left w:val="nil"/>
              <w:bottom w:val="nil"/>
              <w:right w:val="nil"/>
            </w:tcBorders>
            <w:shd w:val="clear" w:color="auto" w:fill="auto"/>
            <w:noWrap/>
            <w:vAlign w:val="center"/>
            <w:hideMark/>
          </w:tcPr>
          <w:p w14:paraId="5E339CA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522,648 (82.4%)</w:t>
            </w:r>
          </w:p>
        </w:tc>
        <w:tc>
          <w:tcPr>
            <w:tcW w:w="1740" w:type="dxa"/>
            <w:tcBorders>
              <w:top w:val="nil"/>
              <w:left w:val="nil"/>
              <w:bottom w:val="nil"/>
              <w:right w:val="nil"/>
            </w:tcBorders>
            <w:shd w:val="clear" w:color="auto" w:fill="auto"/>
            <w:noWrap/>
            <w:vAlign w:val="center"/>
            <w:hideMark/>
          </w:tcPr>
          <w:p w14:paraId="7D0D135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816,738 (87.2%)</w:t>
            </w:r>
          </w:p>
        </w:tc>
        <w:tc>
          <w:tcPr>
            <w:tcW w:w="2020" w:type="dxa"/>
            <w:tcBorders>
              <w:top w:val="nil"/>
              <w:left w:val="nil"/>
              <w:bottom w:val="nil"/>
              <w:right w:val="nil"/>
            </w:tcBorders>
            <w:shd w:val="clear" w:color="auto" w:fill="auto"/>
            <w:noWrap/>
            <w:vAlign w:val="center"/>
            <w:hideMark/>
          </w:tcPr>
          <w:p w14:paraId="79AC1A0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54,947 (27.1%)</w:t>
            </w:r>
          </w:p>
        </w:tc>
      </w:tr>
      <w:tr w:rsidR="00CF78B0" w:rsidRPr="00414476" w14:paraId="26D8B206" w14:textId="77777777" w:rsidTr="006F5124">
        <w:trPr>
          <w:trHeight w:val="290"/>
        </w:trPr>
        <w:tc>
          <w:tcPr>
            <w:tcW w:w="960" w:type="dxa"/>
            <w:tcBorders>
              <w:top w:val="nil"/>
              <w:left w:val="nil"/>
              <w:bottom w:val="nil"/>
              <w:right w:val="nil"/>
            </w:tcBorders>
            <w:shd w:val="clear" w:color="auto" w:fill="auto"/>
            <w:noWrap/>
            <w:vAlign w:val="bottom"/>
            <w:hideMark/>
          </w:tcPr>
          <w:p w14:paraId="6F58D23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3D8540ED"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hospital acquired</w:t>
            </w:r>
          </w:p>
        </w:tc>
        <w:tc>
          <w:tcPr>
            <w:tcW w:w="1940" w:type="dxa"/>
            <w:tcBorders>
              <w:top w:val="nil"/>
              <w:left w:val="nil"/>
              <w:bottom w:val="nil"/>
              <w:right w:val="nil"/>
            </w:tcBorders>
            <w:shd w:val="clear" w:color="auto" w:fill="auto"/>
            <w:noWrap/>
            <w:vAlign w:val="bottom"/>
            <w:hideMark/>
          </w:tcPr>
          <w:p w14:paraId="3C189FB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5,368 (2.2%)</w:t>
            </w:r>
          </w:p>
        </w:tc>
        <w:tc>
          <w:tcPr>
            <w:tcW w:w="1740" w:type="dxa"/>
            <w:tcBorders>
              <w:top w:val="nil"/>
              <w:left w:val="nil"/>
              <w:bottom w:val="nil"/>
              <w:right w:val="nil"/>
            </w:tcBorders>
            <w:shd w:val="clear" w:color="auto" w:fill="auto"/>
            <w:noWrap/>
            <w:vAlign w:val="center"/>
            <w:hideMark/>
          </w:tcPr>
          <w:p w14:paraId="17B4CEC2"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7,876 (2.1%)</w:t>
            </w:r>
          </w:p>
        </w:tc>
        <w:tc>
          <w:tcPr>
            <w:tcW w:w="1740" w:type="dxa"/>
            <w:tcBorders>
              <w:top w:val="nil"/>
              <w:left w:val="nil"/>
              <w:bottom w:val="nil"/>
              <w:right w:val="nil"/>
            </w:tcBorders>
            <w:shd w:val="clear" w:color="auto" w:fill="auto"/>
            <w:noWrap/>
            <w:vAlign w:val="center"/>
            <w:hideMark/>
          </w:tcPr>
          <w:p w14:paraId="0E6CABB1"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111,402 (17.6%)</w:t>
            </w:r>
          </w:p>
        </w:tc>
        <w:tc>
          <w:tcPr>
            <w:tcW w:w="1740" w:type="dxa"/>
            <w:tcBorders>
              <w:top w:val="nil"/>
              <w:left w:val="nil"/>
              <w:bottom w:val="nil"/>
              <w:right w:val="nil"/>
            </w:tcBorders>
            <w:shd w:val="clear" w:color="auto" w:fill="auto"/>
            <w:noWrap/>
            <w:vAlign w:val="center"/>
            <w:hideMark/>
          </w:tcPr>
          <w:p w14:paraId="7A035627"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118,033 (12.6%)</w:t>
            </w:r>
          </w:p>
        </w:tc>
        <w:tc>
          <w:tcPr>
            <w:tcW w:w="2020" w:type="dxa"/>
            <w:tcBorders>
              <w:top w:val="nil"/>
              <w:left w:val="nil"/>
              <w:bottom w:val="nil"/>
              <w:right w:val="nil"/>
            </w:tcBorders>
            <w:shd w:val="clear" w:color="auto" w:fill="auto"/>
            <w:noWrap/>
            <w:vAlign w:val="center"/>
            <w:hideMark/>
          </w:tcPr>
          <w:p w14:paraId="6D0D007D"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2,090 (1.0%)</w:t>
            </w:r>
          </w:p>
        </w:tc>
      </w:tr>
      <w:tr w:rsidR="00CF78B0" w:rsidRPr="00414476" w14:paraId="13D700F7" w14:textId="77777777" w:rsidTr="006F5124">
        <w:trPr>
          <w:trHeight w:val="290"/>
        </w:trPr>
        <w:tc>
          <w:tcPr>
            <w:tcW w:w="960" w:type="dxa"/>
            <w:tcBorders>
              <w:top w:val="nil"/>
              <w:left w:val="nil"/>
              <w:bottom w:val="nil"/>
              <w:right w:val="nil"/>
            </w:tcBorders>
            <w:shd w:val="clear" w:color="auto" w:fill="auto"/>
            <w:noWrap/>
            <w:vAlign w:val="bottom"/>
            <w:hideMark/>
          </w:tcPr>
          <w:p w14:paraId="62325855"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p>
        </w:tc>
        <w:tc>
          <w:tcPr>
            <w:tcW w:w="3700" w:type="dxa"/>
            <w:tcBorders>
              <w:top w:val="nil"/>
              <w:left w:val="nil"/>
              <w:bottom w:val="nil"/>
              <w:right w:val="nil"/>
            </w:tcBorders>
            <w:shd w:val="clear" w:color="auto" w:fill="auto"/>
            <w:noWrap/>
            <w:vAlign w:val="bottom"/>
            <w:hideMark/>
          </w:tcPr>
          <w:p w14:paraId="4073B202"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both</w:t>
            </w:r>
          </w:p>
        </w:tc>
        <w:tc>
          <w:tcPr>
            <w:tcW w:w="1940" w:type="dxa"/>
            <w:tcBorders>
              <w:top w:val="nil"/>
              <w:left w:val="nil"/>
              <w:bottom w:val="nil"/>
              <w:right w:val="nil"/>
            </w:tcBorders>
            <w:shd w:val="clear" w:color="auto" w:fill="auto"/>
            <w:noWrap/>
            <w:vAlign w:val="bottom"/>
            <w:hideMark/>
          </w:tcPr>
          <w:p w14:paraId="3180DD9B"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279 (0.1%)</w:t>
            </w:r>
          </w:p>
        </w:tc>
        <w:tc>
          <w:tcPr>
            <w:tcW w:w="1740" w:type="dxa"/>
            <w:tcBorders>
              <w:top w:val="nil"/>
              <w:left w:val="nil"/>
              <w:bottom w:val="nil"/>
              <w:right w:val="nil"/>
            </w:tcBorders>
            <w:shd w:val="clear" w:color="auto" w:fill="auto"/>
            <w:noWrap/>
            <w:vAlign w:val="center"/>
            <w:hideMark/>
          </w:tcPr>
          <w:p w14:paraId="37C245D9" w14:textId="77777777" w:rsidR="00CF78B0" w:rsidRPr="00414476" w:rsidRDefault="00CF78B0" w:rsidP="006F5124">
            <w:pPr>
              <w:spacing w:after="0" w:line="240" w:lineRule="auto"/>
              <w:jc w:val="right"/>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1,185 (0.3%)</w:t>
            </w:r>
          </w:p>
        </w:tc>
        <w:tc>
          <w:tcPr>
            <w:tcW w:w="1740" w:type="dxa"/>
            <w:tcBorders>
              <w:top w:val="nil"/>
              <w:left w:val="nil"/>
              <w:bottom w:val="nil"/>
              <w:right w:val="nil"/>
            </w:tcBorders>
            <w:shd w:val="clear" w:color="auto" w:fill="auto"/>
            <w:noWrap/>
            <w:vAlign w:val="center"/>
            <w:hideMark/>
          </w:tcPr>
          <w:p w14:paraId="32FE54B3"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4,160 (0.7%)</w:t>
            </w:r>
          </w:p>
        </w:tc>
        <w:tc>
          <w:tcPr>
            <w:tcW w:w="1740" w:type="dxa"/>
            <w:tcBorders>
              <w:top w:val="nil"/>
              <w:left w:val="nil"/>
              <w:bottom w:val="nil"/>
              <w:right w:val="nil"/>
            </w:tcBorders>
            <w:shd w:val="clear" w:color="auto" w:fill="auto"/>
            <w:noWrap/>
            <w:vAlign w:val="center"/>
            <w:hideMark/>
          </w:tcPr>
          <w:p w14:paraId="620419B6"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4,160 (0.4%)</w:t>
            </w:r>
          </w:p>
        </w:tc>
        <w:tc>
          <w:tcPr>
            <w:tcW w:w="2020" w:type="dxa"/>
            <w:tcBorders>
              <w:top w:val="nil"/>
              <w:left w:val="nil"/>
              <w:bottom w:val="nil"/>
              <w:right w:val="nil"/>
            </w:tcBorders>
            <w:shd w:val="clear" w:color="auto" w:fill="auto"/>
            <w:noWrap/>
            <w:vAlign w:val="center"/>
            <w:hideMark/>
          </w:tcPr>
          <w:p w14:paraId="525B4E48"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352 (0.2%)</w:t>
            </w:r>
          </w:p>
        </w:tc>
      </w:tr>
      <w:tr w:rsidR="00CF78B0" w:rsidRPr="00414476" w14:paraId="6CEA322C" w14:textId="77777777" w:rsidTr="006F5124">
        <w:trPr>
          <w:trHeight w:val="290"/>
        </w:trPr>
        <w:tc>
          <w:tcPr>
            <w:tcW w:w="4660" w:type="dxa"/>
            <w:gridSpan w:val="2"/>
            <w:tcBorders>
              <w:top w:val="nil"/>
              <w:left w:val="nil"/>
              <w:bottom w:val="single" w:sz="4" w:space="0" w:color="auto"/>
              <w:right w:val="nil"/>
            </w:tcBorders>
            <w:shd w:val="clear" w:color="auto" w:fill="auto"/>
            <w:noWrap/>
            <w:vAlign w:val="bottom"/>
            <w:hideMark/>
          </w:tcPr>
          <w:p w14:paraId="3A4CD148" w14:textId="77777777" w:rsidR="00CF78B0" w:rsidRPr="00414476" w:rsidRDefault="00CF78B0" w:rsidP="006F5124">
            <w:pPr>
              <w:spacing w:after="0" w:line="240" w:lineRule="auto"/>
              <w:rPr>
                <w:rFonts w:ascii="Calibri" w:eastAsia="Times New Roman" w:hAnsi="Calibri" w:cs="Calibri"/>
                <w:color w:val="auto"/>
                <w:sz w:val="20"/>
                <w:szCs w:val="20"/>
                <w:lang w:eastAsia="en-AU"/>
              </w:rPr>
            </w:pPr>
            <w:r w:rsidRPr="00414476">
              <w:rPr>
                <w:rFonts w:ascii="Calibri" w:eastAsia="Times New Roman" w:hAnsi="Calibri" w:cs="Calibri"/>
                <w:color w:val="auto"/>
                <w:sz w:val="20"/>
                <w:szCs w:val="20"/>
                <w:lang w:eastAsia="en-AU"/>
              </w:rPr>
              <w:t>Maternal sepsis, n(%)</w:t>
            </w:r>
          </w:p>
        </w:tc>
        <w:tc>
          <w:tcPr>
            <w:tcW w:w="1940" w:type="dxa"/>
            <w:tcBorders>
              <w:top w:val="nil"/>
              <w:left w:val="nil"/>
              <w:bottom w:val="single" w:sz="4" w:space="0" w:color="auto"/>
              <w:right w:val="nil"/>
            </w:tcBorders>
            <w:shd w:val="clear" w:color="auto" w:fill="auto"/>
            <w:noWrap/>
            <w:vAlign w:val="bottom"/>
            <w:hideMark/>
          </w:tcPr>
          <w:p w14:paraId="300590EC"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1,152 (1.1%)</w:t>
            </w:r>
          </w:p>
        </w:tc>
        <w:tc>
          <w:tcPr>
            <w:tcW w:w="1740" w:type="dxa"/>
            <w:tcBorders>
              <w:top w:val="nil"/>
              <w:left w:val="nil"/>
              <w:bottom w:val="single" w:sz="4" w:space="0" w:color="auto"/>
              <w:right w:val="nil"/>
            </w:tcBorders>
            <w:shd w:val="clear" w:color="auto" w:fill="auto"/>
            <w:noWrap/>
            <w:vAlign w:val="bottom"/>
            <w:hideMark/>
          </w:tcPr>
          <w:p w14:paraId="60957870"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13,786 (8.0%)</w:t>
            </w:r>
          </w:p>
        </w:tc>
        <w:tc>
          <w:tcPr>
            <w:tcW w:w="1740" w:type="dxa"/>
            <w:tcBorders>
              <w:top w:val="nil"/>
              <w:left w:val="nil"/>
              <w:bottom w:val="single" w:sz="4" w:space="0" w:color="auto"/>
              <w:right w:val="nil"/>
            </w:tcBorders>
            <w:shd w:val="clear" w:color="auto" w:fill="auto"/>
            <w:noWrap/>
            <w:vAlign w:val="bottom"/>
            <w:hideMark/>
          </w:tcPr>
          <w:p w14:paraId="613A3E3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16,965 (6.0%)</w:t>
            </w:r>
          </w:p>
        </w:tc>
        <w:tc>
          <w:tcPr>
            <w:tcW w:w="1740" w:type="dxa"/>
            <w:tcBorders>
              <w:top w:val="nil"/>
              <w:left w:val="nil"/>
              <w:bottom w:val="single" w:sz="4" w:space="0" w:color="auto"/>
              <w:right w:val="nil"/>
            </w:tcBorders>
            <w:shd w:val="clear" w:color="auto" w:fill="auto"/>
            <w:noWrap/>
            <w:vAlign w:val="bottom"/>
            <w:hideMark/>
          </w:tcPr>
          <w:p w14:paraId="1270F862"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29,289 (6.9%)</w:t>
            </w:r>
          </w:p>
        </w:tc>
        <w:tc>
          <w:tcPr>
            <w:tcW w:w="2020" w:type="dxa"/>
            <w:tcBorders>
              <w:top w:val="nil"/>
              <w:left w:val="nil"/>
              <w:bottom w:val="single" w:sz="4" w:space="0" w:color="auto"/>
              <w:right w:val="nil"/>
            </w:tcBorders>
            <w:shd w:val="clear" w:color="auto" w:fill="auto"/>
            <w:noWrap/>
            <w:vAlign w:val="bottom"/>
            <w:hideMark/>
          </w:tcPr>
          <w:p w14:paraId="12F57084" w14:textId="77777777" w:rsidR="00CF78B0" w:rsidRPr="00414476" w:rsidRDefault="00CF78B0" w:rsidP="006F5124">
            <w:pPr>
              <w:spacing w:after="0" w:line="240" w:lineRule="auto"/>
              <w:jc w:val="right"/>
              <w:rPr>
                <w:rFonts w:ascii="Calibri" w:eastAsia="Times New Roman" w:hAnsi="Calibri" w:cs="Calibri"/>
                <w:color w:val="000000"/>
                <w:sz w:val="20"/>
                <w:szCs w:val="20"/>
                <w:lang w:eastAsia="en-AU"/>
              </w:rPr>
            </w:pPr>
            <w:r w:rsidRPr="00414476">
              <w:rPr>
                <w:rFonts w:ascii="Calibri" w:eastAsia="Times New Roman" w:hAnsi="Calibri" w:cs="Calibri"/>
                <w:color w:val="000000"/>
                <w:sz w:val="20"/>
                <w:szCs w:val="20"/>
                <w:lang w:eastAsia="en-AU"/>
              </w:rPr>
              <w:t>1,181 (1.4%)</w:t>
            </w:r>
          </w:p>
        </w:tc>
      </w:tr>
    </w:tbl>
    <w:p w14:paraId="6F93A0FE" w14:textId="77777777" w:rsidR="00CF78B0" w:rsidRPr="00414476" w:rsidRDefault="00CF78B0" w:rsidP="00CF78B0">
      <w:pPr>
        <w:spacing w:line="240" w:lineRule="auto"/>
        <w:contextualSpacing/>
        <w:rPr>
          <w:rFonts w:ascii="Arial" w:eastAsia="Times New Roman" w:hAnsi="Arial"/>
          <w:color w:val="auto"/>
          <w:sz w:val="20"/>
          <w:szCs w:val="20"/>
          <w:lang w:eastAsia="en-AU"/>
        </w:rPr>
      </w:pPr>
    </w:p>
    <w:p w14:paraId="0D941667" w14:textId="77777777" w:rsidR="00CF78B0" w:rsidRPr="00414476" w:rsidRDefault="00CF78B0" w:rsidP="00CF78B0">
      <w:pPr>
        <w:spacing w:line="240" w:lineRule="auto"/>
        <w:contextualSpacing/>
        <w:rPr>
          <w:rFonts w:ascii="Arial" w:eastAsia="Times New Roman" w:hAnsi="Arial"/>
          <w:color w:val="auto"/>
          <w:sz w:val="20"/>
          <w:szCs w:val="20"/>
          <w:lang w:eastAsia="en-AU"/>
        </w:rPr>
      </w:pPr>
      <w:r w:rsidRPr="00414476">
        <w:rPr>
          <w:rFonts w:ascii="Arial" w:eastAsia="Times New Roman" w:hAnsi="Arial"/>
          <w:color w:val="auto"/>
          <w:sz w:val="20"/>
          <w:szCs w:val="20"/>
          <w:lang w:eastAsia="en-AU"/>
        </w:rPr>
        <w:t>Denominator for maternal sepsis is the total number of female separations.</w:t>
      </w:r>
    </w:p>
    <w:p w14:paraId="052C3714" w14:textId="77777777" w:rsidR="00CF78B0" w:rsidRPr="00414476" w:rsidRDefault="00CF78B0" w:rsidP="00CF78B0">
      <w:pPr>
        <w:spacing w:line="240" w:lineRule="auto"/>
        <w:contextualSpacing/>
        <w:rPr>
          <w:rFonts w:ascii="Arial" w:eastAsia="Times New Roman" w:hAnsi="Arial"/>
          <w:color w:val="auto"/>
          <w:sz w:val="20"/>
          <w:szCs w:val="20"/>
          <w:lang w:eastAsia="en-AU"/>
        </w:rPr>
      </w:pPr>
    </w:p>
    <w:p w14:paraId="0C499C96" w14:textId="77777777" w:rsidR="00CF78B0" w:rsidRPr="00414476" w:rsidRDefault="00CF78B0" w:rsidP="00CF78B0">
      <w:pPr>
        <w:spacing w:line="240" w:lineRule="auto"/>
        <w:contextualSpacing/>
        <w:rPr>
          <w:rFonts w:ascii="Arial" w:eastAsia="Times New Roman" w:hAnsi="Arial"/>
          <w:color w:val="auto"/>
          <w:sz w:val="20"/>
          <w:szCs w:val="20"/>
          <w:lang w:eastAsia="en-AU"/>
        </w:rPr>
      </w:pPr>
      <w:r w:rsidRPr="00414476">
        <w:rPr>
          <w:rFonts w:ascii="Arial" w:eastAsia="Times New Roman" w:hAnsi="Arial"/>
          <w:color w:val="auto"/>
          <w:sz w:val="20"/>
          <w:szCs w:val="20"/>
          <w:lang w:eastAsia="en-AU"/>
        </w:rPr>
        <w:t>Information recorded in gender for Tasmanian facilities in 2022-23 was used to impute sex (as sex was no longer available for Tasmanian data).</w:t>
      </w:r>
    </w:p>
    <w:p w14:paraId="7F08E14F" w14:textId="77777777" w:rsidR="00CF78B0" w:rsidRPr="00414476" w:rsidRDefault="00CF78B0" w:rsidP="00CF78B0">
      <w:pPr>
        <w:spacing w:line="240" w:lineRule="auto"/>
        <w:contextualSpacing/>
        <w:rPr>
          <w:rFonts w:ascii="Arial" w:eastAsia="Times New Roman" w:hAnsi="Arial"/>
          <w:color w:val="auto"/>
          <w:sz w:val="20"/>
          <w:szCs w:val="20"/>
          <w:lang w:eastAsia="en-AU"/>
        </w:rPr>
      </w:pPr>
      <w:r w:rsidRPr="00414476">
        <w:rPr>
          <w:rFonts w:ascii="Arial" w:eastAsia="Times New Roman" w:hAnsi="Arial"/>
          <w:color w:val="auto"/>
          <w:sz w:val="20"/>
          <w:szCs w:val="20"/>
          <w:lang w:eastAsia="en-AU"/>
        </w:rPr>
        <w:t>Sex categories shown do not add to 100%. Categories other than male and female are affected by small numbers and therefore subjected to data suppression for privacy purposes.</w:t>
      </w:r>
    </w:p>
    <w:p w14:paraId="12B88418" w14:textId="77777777" w:rsidR="00CF78B0" w:rsidRPr="00414476" w:rsidRDefault="00CF78B0" w:rsidP="00CF78B0">
      <w:pPr>
        <w:spacing w:line="240" w:lineRule="auto"/>
        <w:contextualSpacing/>
        <w:rPr>
          <w:rFonts w:ascii="Arial" w:eastAsia="Times New Roman" w:hAnsi="Arial"/>
          <w:color w:val="auto"/>
          <w:sz w:val="20"/>
          <w:szCs w:val="20"/>
          <w:lang w:eastAsia="en-AU"/>
        </w:rPr>
      </w:pPr>
    </w:p>
    <w:p w14:paraId="4BB051E1" w14:textId="77777777" w:rsidR="00CF78B0" w:rsidRPr="00414476" w:rsidRDefault="00CF78B0" w:rsidP="00CF78B0">
      <w:pPr>
        <w:spacing w:line="240" w:lineRule="auto"/>
        <w:contextualSpacing/>
        <w:rPr>
          <w:rFonts w:ascii="Arial" w:eastAsia="Times New Roman" w:hAnsi="Arial"/>
          <w:color w:val="auto"/>
          <w:sz w:val="20"/>
          <w:szCs w:val="20"/>
          <w:lang w:eastAsia="en-AU"/>
        </w:rPr>
      </w:pPr>
      <w:r w:rsidRPr="00414476">
        <w:rPr>
          <w:rFonts w:ascii="Arial" w:eastAsia="Times New Roman" w:hAnsi="Arial"/>
          <w:color w:val="auto"/>
          <w:sz w:val="20"/>
          <w:szCs w:val="20"/>
          <w:lang w:eastAsia="en-AU"/>
        </w:rPr>
        <w:t>Sepsis separations (principal diagnosis) and Sepsis separations (secondary diagnosis) groups do not add to Sepsis separations because the first two groups are not mutually exclusive. An episode of care can record explicit sepsis codes in both its principal and secondary diagnosis.</w:t>
      </w:r>
    </w:p>
    <w:p w14:paraId="4641F151" w14:textId="77777777" w:rsidR="00CF78B0" w:rsidRPr="00414476" w:rsidRDefault="00CF78B0" w:rsidP="00CF78B0">
      <w:pPr>
        <w:spacing w:before="0" w:after="80" w:line="240" w:lineRule="auto"/>
        <w:rPr>
          <w:rFonts w:ascii="Arial" w:eastAsia="Times New Roman" w:hAnsi="Arial"/>
          <w:color w:val="auto"/>
          <w:sz w:val="20"/>
          <w:szCs w:val="20"/>
          <w:lang w:eastAsia="en-AU"/>
        </w:rPr>
      </w:pPr>
      <w:r w:rsidRPr="00414476">
        <w:rPr>
          <w:rFonts w:ascii="Arial" w:eastAsia="Times New Roman" w:hAnsi="Arial"/>
          <w:color w:val="auto"/>
          <w:sz w:val="20"/>
          <w:szCs w:val="20"/>
          <w:lang w:eastAsia="en-AU"/>
        </w:rPr>
        <w:br w:type="page"/>
      </w:r>
    </w:p>
    <w:p w14:paraId="555517A8" w14:textId="77777777" w:rsidR="00A81E88" w:rsidRPr="00F865C8" w:rsidRDefault="00A81E88" w:rsidP="00A81E88">
      <w:pPr>
        <w:pStyle w:val="Heading3"/>
        <w:rPr>
          <w:lang w:eastAsia="en-AU"/>
        </w:rPr>
      </w:pPr>
      <w:bookmarkStart w:id="107" w:name="_Table_2._All"/>
      <w:bookmarkStart w:id="108" w:name="_Toc187133220"/>
      <w:bookmarkStart w:id="109" w:name="_Toc187313300"/>
      <w:bookmarkEnd w:id="107"/>
      <w:r w:rsidRPr="00F865C8">
        <w:rPr>
          <w:lang w:eastAsia="en-AU"/>
        </w:rPr>
        <w:lastRenderedPageBreak/>
        <w:t>Table 2. All cause readmissions following sepsis, public hospitals, 2022-23</w:t>
      </w:r>
      <w:bookmarkEnd w:id="108"/>
      <w:bookmarkEnd w:id="109"/>
    </w:p>
    <w:tbl>
      <w:tblPr>
        <w:tblW w:w="9140" w:type="dxa"/>
        <w:tblLook w:val="04A0" w:firstRow="1" w:lastRow="0" w:firstColumn="1" w:lastColumn="0" w:noHBand="0" w:noVBand="1"/>
      </w:tblPr>
      <w:tblGrid>
        <w:gridCol w:w="2880"/>
        <w:gridCol w:w="1740"/>
        <w:gridCol w:w="2260"/>
        <w:gridCol w:w="2260"/>
      </w:tblGrid>
      <w:tr w:rsidR="00BA1AF9" w:rsidRPr="00F865C8" w14:paraId="5BD5FA31" w14:textId="77777777" w:rsidTr="00BA1AF9">
        <w:trPr>
          <w:trHeight w:val="580"/>
        </w:trPr>
        <w:tc>
          <w:tcPr>
            <w:tcW w:w="2880" w:type="dxa"/>
            <w:tcBorders>
              <w:top w:val="single" w:sz="4" w:space="0" w:color="auto"/>
              <w:left w:val="nil"/>
              <w:bottom w:val="single" w:sz="4" w:space="0" w:color="auto"/>
              <w:right w:val="nil"/>
            </w:tcBorders>
            <w:shd w:val="clear" w:color="auto" w:fill="auto"/>
            <w:vAlign w:val="bottom"/>
            <w:hideMark/>
          </w:tcPr>
          <w:p w14:paraId="3C797880" w14:textId="77777777" w:rsidR="00BA1AF9" w:rsidRPr="00F865C8" w:rsidRDefault="00BA1AF9" w:rsidP="006F5124">
            <w:pPr>
              <w:spacing w:after="0" w:line="240" w:lineRule="auto"/>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 </w:t>
            </w:r>
          </w:p>
        </w:tc>
        <w:tc>
          <w:tcPr>
            <w:tcW w:w="1740" w:type="dxa"/>
            <w:tcBorders>
              <w:top w:val="single" w:sz="4" w:space="0" w:color="auto"/>
              <w:left w:val="nil"/>
              <w:bottom w:val="single" w:sz="4" w:space="0" w:color="auto"/>
              <w:right w:val="nil"/>
            </w:tcBorders>
            <w:shd w:val="clear" w:color="auto" w:fill="auto"/>
            <w:vAlign w:val="bottom"/>
            <w:hideMark/>
          </w:tcPr>
          <w:p w14:paraId="1B1092A1"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 </w:t>
            </w:r>
          </w:p>
        </w:tc>
        <w:tc>
          <w:tcPr>
            <w:tcW w:w="2260" w:type="dxa"/>
            <w:tcBorders>
              <w:top w:val="single" w:sz="4" w:space="0" w:color="auto"/>
              <w:left w:val="nil"/>
              <w:bottom w:val="single" w:sz="4" w:space="0" w:color="auto"/>
              <w:right w:val="nil"/>
            </w:tcBorders>
          </w:tcPr>
          <w:p w14:paraId="60EF1545" w14:textId="77777777" w:rsidR="00BA1AF9" w:rsidRPr="00F865C8" w:rsidRDefault="00BA1AF9" w:rsidP="006F5124">
            <w:pPr>
              <w:spacing w:after="0" w:line="240" w:lineRule="auto"/>
              <w:jc w:val="right"/>
              <w:rPr>
                <w:rFonts w:ascii="Calibri" w:eastAsia="Times New Roman" w:hAnsi="Calibri" w:cs="Calibri"/>
                <w:b/>
                <w:bCs/>
                <w:color w:val="auto"/>
                <w:sz w:val="20"/>
                <w:szCs w:val="20"/>
                <w:lang w:eastAsia="en-AU"/>
              </w:rPr>
            </w:pPr>
          </w:p>
        </w:tc>
        <w:tc>
          <w:tcPr>
            <w:tcW w:w="2260" w:type="dxa"/>
            <w:tcBorders>
              <w:top w:val="single" w:sz="4" w:space="0" w:color="auto"/>
              <w:left w:val="nil"/>
              <w:bottom w:val="single" w:sz="4" w:space="0" w:color="auto"/>
              <w:right w:val="nil"/>
            </w:tcBorders>
            <w:shd w:val="clear" w:color="auto" w:fill="auto"/>
            <w:vAlign w:val="bottom"/>
            <w:hideMark/>
          </w:tcPr>
          <w:p w14:paraId="65D5F2F1" w14:textId="0EB56BA3" w:rsidR="00BA1AF9" w:rsidRPr="00F865C8" w:rsidRDefault="00BA1AF9" w:rsidP="006F5124">
            <w:pPr>
              <w:spacing w:after="0" w:line="240" w:lineRule="auto"/>
              <w:jc w:val="right"/>
              <w:rPr>
                <w:rFonts w:ascii="Calibri" w:eastAsia="Times New Roman" w:hAnsi="Calibri" w:cs="Calibri"/>
                <w:b/>
                <w:bCs/>
                <w:color w:val="auto"/>
                <w:sz w:val="20"/>
                <w:szCs w:val="20"/>
                <w:lang w:eastAsia="en-AU"/>
              </w:rPr>
            </w:pPr>
            <w:r w:rsidRPr="00F865C8">
              <w:rPr>
                <w:rFonts w:ascii="Calibri" w:eastAsia="Times New Roman" w:hAnsi="Calibri" w:cs="Calibri"/>
                <w:b/>
                <w:bCs/>
                <w:color w:val="auto"/>
                <w:sz w:val="20"/>
                <w:szCs w:val="20"/>
                <w:lang w:eastAsia="en-AU"/>
              </w:rPr>
              <w:t>Post-sepsis readmissions</w:t>
            </w:r>
          </w:p>
        </w:tc>
      </w:tr>
      <w:tr w:rsidR="00BA1AF9" w:rsidRPr="00F865C8" w14:paraId="78170479" w14:textId="77777777" w:rsidTr="00BA1AF9">
        <w:trPr>
          <w:trHeight w:val="290"/>
        </w:trPr>
        <w:tc>
          <w:tcPr>
            <w:tcW w:w="2880" w:type="dxa"/>
            <w:tcBorders>
              <w:top w:val="nil"/>
              <w:left w:val="nil"/>
              <w:bottom w:val="nil"/>
              <w:right w:val="nil"/>
            </w:tcBorders>
            <w:shd w:val="clear" w:color="auto" w:fill="auto"/>
            <w:noWrap/>
            <w:vAlign w:val="bottom"/>
            <w:hideMark/>
          </w:tcPr>
          <w:p w14:paraId="3AEC0032" w14:textId="77777777" w:rsidR="00BA1AF9" w:rsidRPr="00F865C8" w:rsidRDefault="00BA1AF9" w:rsidP="006F5124">
            <w:pPr>
              <w:spacing w:after="0" w:line="240" w:lineRule="auto"/>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N</w:t>
            </w:r>
          </w:p>
        </w:tc>
        <w:tc>
          <w:tcPr>
            <w:tcW w:w="1740" w:type="dxa"/>
            <w:tcBorders>
              <w:top w:val="nil"/>
              <w:left w:val="nil"/>
              <w:bottom w:val="nil"/>
              <w:right w:val="nil"/>
            </w:tcBorders>
            <w:shd w:val="clear" w:color="auto" w:fill="auto"/>
            <w:noWrap/>
            <w:vAlign w:val="bottom"/>
            <w:hideMark/>
          </w:tcPr>
          <w:p w14:paraId="0AD04234" w14:textId="77777777" w:rsidR="00BA1AF9" w:rsidRPr="00F865C8" w:rsidRDefault="00BA1AF9" w:rsidP="006F5124">
            <w:pPr>
              <w:spacing w:after="0" w:line="240" w:lineRule="auto"/>
              <w:rPr>
                <w:rFonts w:ascii="Calibri" w:eastAsia="Times New Roman" w:hAnsi="Calibri" w:cs="Calibri"/>
                <w:color w:val="000000"/>
                <w:sz w:val="20"/>
                <w:szCs w:val="20"/>
                <w:lang w:eastAsia="en-AU"/>
              </w:rPr>
            </w:pPr>
          </w:p>
        </w:tc>
        <w:tc>
          <w:tcPr>
            <w:tcW w:w="2260" w:type="dxa"/>
            <w:tcBorders>
              <w:top w:val="nil"/>
              <w:left w:val="nil"/>
              <w:bottom w:val="nil"/>
              <w:right w:val="nil"/>
            </w:tcBorders>
          </w:tcPr>
          <w:p w14:paraId="2D871C5C"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2260" w:type="dxa"/>
            <w:tcBorders>
              <w:top w:val="nil"/>
              <w:left w:val="nil"/>
              <w:bottom w:val="nil"/>
              <w:right w:val="nil"/>
            </w:tcBorders>
            <w:shd w:val="clear" w:color="auto" w:fill="auto"/>
            <w:noWrap/>
            <w:vAlign w:val="center"/>
            <w:hideMark/>
          </w:tcPr>
          <w:p w14:paraId="728875AB" w14:textId="4F0FD5BA"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39,225</w:t>
            </w:r>
          </w:p>
        </w:tc>
      </w:tr>
      <w:tr w:rsidR="00BA1AF9" w:rsidRPr="00F865C8" w14:paraId="127A0DB2" w14:textId="77777777" w:rsidTr="00BA1AF9">
        <w:trPr>
          <w:trHeight w:val="290"/>
        </w:trPr>
        <w:tc>
          <w:tcPr>
            <w:tcW w:w="2880" w:type="dxa"/>
            <w:tcBorders>
              <w:top w:val="nil"/>
              <w:left w:val="nil"/>
              <w:bottom w:val="nil"/>
              <w:right w:val="nil"/>
            </w:tcBorders>
            <w:shd w:val="clear" w:color="auto" w:fill="auto"/>
            <w:noWrap/>
            <w:vAlign w:val="bottom"/>
            <w:hideMark/>
          </w:tcPr>
          <w:p w14:paraId="261390C4" w14:textId="77777777" w:rsidR="00BA1AF9" w:rsidRPr="00F865C8" w:rsidRDefault="00BA1AF9" w:rsidP="006F5124">
            <w:pPr>
              <w:spacing w:after="0" w:line="240" w:lineRule="auto"/>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Readmission interval, n(%)</w:t>
            </w:r>
          </w:p>
        </w:tc>
        <w:tc>
          <w:tcPr>
            <w:tcW w:w="1740" w:type="dxa"/>
            <w:tcBorders>
              <w:top w:val="nil"/>
              <w:left w:val="nil"/>
              <w:bottom w:val="nil"/>
              <w:right w:val="nil"/>
            </w:tcBorders>
            <w:shd w:val="clear" w:color="auto" w:fill="auto"/>
            <w:noWrap/>
            <w:vAlign w:val="bottom"/>
            <w:hideMark/>
          </w:tcPr>
          <w:p w14:paraId="57A57DF4" w14:textId="77777777" w:rsidR="00BA1AF9" w:rsidRPr="00F865C8" w:rsidRDefault="00BA1AF9" w:rsidP="006F5124">
            <w:pPr>
              <w:spacing w:after="0" w:line="240" w:lineRule="auto"/>
              <w:rPr>
                <w:rFonts w:ascii="Calibri" w:eastAsia="Times New Roman" w:hAnsi="Calibri" w:cs="Calibri"/>
                <w:color w:val="000000"/>
                <w:sz w:val="20"/>
                <w:szCs w:val="20"/>
                <w:lang w:eastAsia="en-AU"/>
              </w:rPr>
            </w:pPr>
          </w:p>
        </w:tc>
        <w:tc>
          <w:tcPr>
            <w:tcW w:w="2260" w:type="dxa"/>
            <w:tcBorders>
              <w:top w:val="nil"/>
              <w:left w:val="nil"/>
              <w:bottom w:val="nil"/>
              <w:right w:val="nil"/>
            </w:tcBorders>
          </w:tcPr>
          <w:p w14:paraId="47E58F79" w14:textId="77777777" w:rsidR="00BA1AF9" w:rsidRPr="00F865C8" w:rsidRDefault="00BA1AF9" w:rsidP="006F5124">
            <w:pPr>
              <w:spacing w:after="0" w:line="240" w:lineRule="auto"/>
              <w:jc w:val="right"/>
              <w:rPr>
                <w:rFonts w:ascii="Times New Roman" w:eastAsia="Times New Roman" w:hAnsi="Times New Roman"/>
                <w:color w:val="auto"/>
                <w:sz w:val="20"/>
                <w:szCs w:val="20"/>
                <w:lang w:eastAsia="en-AU"/>
              </w:rPr>
            </w:pPr>
          </w:p>
        </w:tc>
        <w:tc>
          <w:tcPr>
            <w:tcW w:w="2260" w:type="dxa"/>
            <w:tcBorders>
              <w:top w:val="nil"/>
              <w:left w:val="nil"/>
              <w:bottom w:val="nil"/>
              <w:right w:val="nil"/>
            </w:tcBorders>
            <w:shd w:val="clear" w:color="auto" w:fill="auto"/>
            <w:noWrap/>
            <w:vAlign w:val="bottom"/>
            <w:hideMark/>
          </w:tcPr>
          <w:p w14:paraId="02DDCFD0" w14:textId="3357BC74" w:rsidR="00BA1AF9" w:rsidRPr="00F865C8" w:rsidRDefault="00BA1AF9" w:rsidP="006F5124">
            <w:pPr>
              <w:spacing w:after="0" w:line="240" w:lineRule="auto"/>
              <w:jc w:val="right"/>
              <w:rPr>
                <w:rFonts w:ascii="Times New Roman" w:eastAsia="Times New Roman" w:hAnsi="Times New Roman"/>
                <w:color w:val="auto"/>
                <w:sz w:val="20"/>
                <w:szCs w:val="20"/>
                <w:lang w:eastAsia="en-AU"/>
              </w:rPr>
            </w:pPr>
          </w:p>
        </w:tc>
      </w:tr>
      <w:tr w:rsidR="00BA1AF9" w:rsidRPr="00F865C8" w14:paraId="4784FFA3" w14:textId="77777777" w:rsidTr="00BA1AF9">
        <w:trPr>
          <w:trHeight w:val="290"/>
        </w:trPr>
        <w:tc>
          <w:tcPr>
            <w:tcW w:w="2880" w:type="dxa"/>
            <w:tcBorders>
              <w:top w:val="nil"/>
              <w:left w:val="nil"/>
              <w:bottom w:val="nil"/>
              <w:right w:val="nil"/>
            </w:tcBorders>
            <w:shd w:val="clear" w:color="auto" w:fill="auto"/>
            <w:noWrap/>
            <w:vAlign w:val="bottom"/>
            <w:hideMark/>
          </w:tcPr>
          <w:p w14:paraId="6F6C22CE" w14:textId="77777777" w:rsidR="00BA1AF9" w:rsidRPr="00F865C8" w:rsidRDefault="00BA1AF9" w:rsidP="006F5124">
            <w:pPr>
              <w:spacing w:after="0" w:line="240" w:lineRule="auto"/>
              <w:rPr>
                <w:rFonts w:ascii="Times New Roman" w:eastAsia="Times New Roman" w:hAnsi="Times New Roman"/>
                <w:color w:val="auto"/>
                <w:sz w:val="20"/>
                <w:szCs w:val="20"/>
                <w:lang w:eastAsia="en-AU"/>
              </w:rPr>
            </w:pPr>
          </w:p>
        </w:tc>
        <w:tc>
          <w:tcPr>
            <w:tcW w:w="1740" w:type="dxa"/>
            <w:tcBorders>
              <w:top w:val="nil"/>
              <w:left w:val="nil"/>
              <w:bottom w:val="nil"/>
              <w:right w:val="nil"/>
            </w:tcBorders>
            <w:shd w:val="clear" w:color="auto" w:fill="auto"/>
            <w:noWrap/>
            <w:vAlign w:val="bottom"/>
            <w:hideMark/>
          </w:tcPr>
          <w:p w14:paraId="22803212"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7 days</w:t>
            </w:r>
          </w:p>
        </w:tc>
        <w:tc>
          <w:tcPr>
            <w:tcW w:w="2260" w:type="dxa"/>
            <w:tcBorders>
              <w:top w:val="nil"/>
              <w:left w:val="nil"/>
              <w:bottom w:val="nil"/>
              <w:right w:val="nil"/>
            </w:tcBorders>
          </w:tcPr>
          <w:p w14:paraId="2D36FD04"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2260" w:type="dxa"/>
            <w:tcBorders>
              <w:top w:val="nil"/>
              <w:left w:val="nil"/>
              <w:bottom w:val="nil"/>
              <w:right w:val="nil"/>
            </w:tcBorders>
            <w:shd w:val="clear" w:color="auto" w:fill="auto"/>
            <w:noWrap/>
            <w:vAlign w:val="center"/>
            <w:hideMark/>
          </w:tcPr>
          <w:p w14:paraId="2B0DB27C" w14:textId="4CBDECEC"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14,146 (36.1%)</w:t>
            </w:r>
          </w:p>
        </w:tc>
      </w:tr>
      <w:tr w:rsidR="00BA1AF9" w:rsidRPr="00F865C8" w14:paraId="2D2571AC" w14:textId="77777777" w:rsidTr="00BA1AF9">
        <w:trPr>
          <w:trHeight w:val="290"/>
        </w:trPr>
        <w:tc>
          <w:tcPr>
            <w:tcW w:w="2880" w:type="dxa"/>
            <w:tcBorders>
              <w:top w:val="nil"/>
              <w:left w:val="nil"/>
              <w:bottom w:val="nil"/>
              <w:right w:val="nil"/>
            </w:tcBorders>
            <w:shd w:val="clear" w:color="auto" w:fill="auto"/>
            <w:noWrap/>
            <w:vAlign w:val="bottom"/>
            <w:hideMark/>
          </w:tcPr>
          <w:p w14:paraId="544FD9B8"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166048F4"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30 days</w:t>
            </w:r>
          </w:p>
        </w:tc>
        <w:tc>
          <w:tcPr>
            <w:tcW w:w="2260" w:type="dxa"/>
            <w:tcBorders>
              <w:top w:val="nil"/>
              <w:left w:val="nil"/>
              <w:bottom w:val="nil"/>
              <w:right w:val="nil"/>
            </w:tcBorders>
          </w:tcPr>
          <w:p w14:paraId="48227084"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2260" w:type="dxa"/>
            <w:tcBorders>
              <w:top w:val="nil"/>
              <w:left w:val="nil"/>
              <w:bottom w:val="nil"/>
              <w:right w:val="nil"/>
            </w:tcBorders>
            <w:shd w:val="clear" w:color="auto" w:fill="auto"/>
            <w:noWrap/>
            <w:vAlign w:val="center"/>
            <w:hideMark/>
          </w:tcPr>
          <w:p w14:paraId="06DB7BB5" w14:textId="31954FC8"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21,434 (54.6%)</w:t>
            </w:r>
          </w:p>
        </w:tc>
      </w:tr>
      <w:tr w:rsidR="00BA1AF9" w:rsidRPr="00F865C8" w14:paraId="475F7151" w14:textId="77777777" w:rsidTr="00BA1AF9">
        <w:trPr>
          <w:trHeight w:val="290"/>
        </w:trPr>
        <w:tc>
          <w:tcPr>
            <w:tcW w:w="2880" w:type="dxa"/>
            <w:tcBorders>
              <w:top w:val="nil"/>
              <w:left w:val="nil"/>
              <w:bottom w:val="nil"/>
              <w:right w:val="nil"/>
            </w:tcBorders>
            <w:shd w:val="clear" w:color="auto" w:fill="auto"/>
            <w:noWrap/>
            <w:vAlign w:val="bottom"/>
            <w:hideMark/>
          </w:tcPr>
          <w:p w14:paraId="10869FB1"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17A8F25D"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90 days</w:t>
            </w:r>
          </w:p>
        </w:tc>
        <w:tc>
          <w:tcPr>
            <w:tcW w:w="2260" w:type="dxa"/>
            <w:tcBorders>
              <w:top w:val="nil"/>
              <w:left w:val="nil"/>
              <w:bottom w:val="nil"/>
              <w:right w:val="nil"/>
            </w:tcBorders>
          </w:tcPr>
          <w:p w14:paraId="6D3B4F33"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2260" w:type="dxa"/>
            <w:tcBorders>
              <w:top w:val="nil"/>
              <w:left w:val="nil"/>
              <w:bottom w:val="nil"/>
              <w:right w:val="nil"/>
            </w:tcBorders>
            <w:shd w:val="clear" w:color="auto" w:fill="auto"/>
            <w:noWrap/>
            <w:vAlign w:val="center"/>
            <w:hideMark/>
          </w:tcPr>
          <w:p w14:paraId="4766A1F1" w14:textId="6C434F04"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28,818 (73.5%)</w:t>
            </w:r>
          </w:p>
        </w:tc>
      </w:tr>
      <w:tr w:rsidR="00BA1AF9" w:rsidRPr="00F865C8" w14:paraId="5BD41248" w14:textId="77777777" w:rsidTr="00BA1AF9">
        <w:trPr>
          <w:trHeight w:val="290"/>
        </w:trPr>
        <w:tc>
          <w:tcPr>
            <w:tcW w:w="2880" w:type="dxa"/>
            <w:tcBorders>
              <w:top w:val="nil"/>
              <w:left w:val="nil"/>
              <w:bottom w:val="nil"/>
              <w:right w:val="nil"/>
            </w:tcBorders>
            <w:shd w:val="clear" w:color="auto" w:fill="auto"/>
            <w:noWrap/>
            <w:vAlign w:val="bottom"/>
            <w:hideMark/>
          </w:tcPr>
          <w:p w14:paraId="338B174E"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7A09CDDE"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120 days</w:t>
            </w:r>
          </w:p>
        </w:tc>
        <w:tc>
          <w:tcPr>
            <w:tcW w:w="2260" w:type="dxa"/>
            <w:tcBorders>
              <w:top w:val="nil"/>
              <w:left w:val="nil"/>
              <w:bottom w:val="nil"/>
              <w:right w:val="nil"/>
            </w:tcBorders>
          </w:tcPr>
          <w:p w14:paraId="7FB0B501"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2260" w:type="dxa"/>
            <w:tcBorders>
              <w:top w:val="nil"/>
              <w:left w:val="nil"/>
              <w:bottom w:val="nil"/>
              <w:right w:val="nil"/>
            </w:tcBorders>
            <w:shd w:val="clear" w:color="auto" w:fill="auto"/>
            <w:noWrap/>
            <w:vAlign w:val="center"/>
            <w:hideMark/>
          </w:tcPr>
          <w:p w14:paraId="652BC93D" w14:textId="175A5662"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30,884 (78.7%)</w:t>
            </w:r>
          </w:p>
        </w:tc>
      </w:tr>
      <w:tr w:rsidR="00BA1AF9" w:rsidRPr="00F865C8" w14:paraId="0DCE40D9" w14:textId="77777777" w:rsidTr="00BA1AF9">
        <w:trPr>
          <w:trHeight w:val="290"/>
        </w:trPr>
        <w:tc>
          <w:tcPr>
            <w:tcW w:w="2880" w:type="dxa"/>
            <w:tcBorders>
              <w:top w:val="nil"/>
              <w:left w:val="nil"/>
              <w:bottom w:val="nil"/>
              <w:right w:val="nil"/>
            </w:tcBorders>
            <w:shd w:val="clear" w:color="auto" w:fill="auto"/>
            <w:noWrap/>
            <w:vAlign w:val="bottom"/>
            <w:hideMark/>
          </w:tcPr>
          <w:p w14:paraId="71CE4E49"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1740" w:type="dxa"/>
            <w:tcBorders>
              <w:top w:val="nil"/>
              <w:left w:val="nil"/>
              <w:bottom w:val="nil"/>
              <w:right w:val="nil"/>
            </w:tcBorders>
            <w:shd w:val="clear" w:color="auto" w:fill="auto"/>
            <w:noWrap/>
            <w:vAlign w:val="bottom"/>
            <w:hideMark/>
          </w:tcPr>
          <w:p w14:paraId="129E4992"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365 days</w:t>
            </w:r>
          </w:p>
        </w:tc>
        <w:tc>
          <w:tcPr>
            <w:tcW w:w="2260" w:type="dxa"/>
            <w:tcBorders>
              <w:top w:val="nil"/>
              <w:left w:val="nil"/>
              <w:bottom w:val="nil"/>
              <w:right w:val="nil"/>
            </w:tcBorders>
          </w:tcPr>
          <w:p w14:paraId="2584D07F" w14:textId="77777777" w:rsidR="00BA1AF9" w:rsidRPr="00F865C8" w:rsidRDefault="00BA1AF9" w:rsidP="006F5124">
            <w:pPr>
              <w:spacing w:after="0" w:line="240" w:lineRule="auto"/>
              <w:jc w:val="right"/>
              <w:rPr>
                <w:rFonts w:ascii="Calibri" w:eastAsia="Times New Roman" w:hAnsi="Calibri" w:cs="Calibri"/>
                <w:color w:val="000000"/>
                <w:sz w:val="20"/>
                <w:szCs w:val="20"/>
                <w:lang w:eastAsia="en-AU"/>
              </w:rPr>
            </w:pPr>
          </w:p>
        </w:tc>
        <w:tc>
          <w:tcPr>
            <w:tcW w:w="2260" w:type="dxa"/>
            <w:tcBorders>
              <w:top w:val="nil"/>
              <w:left w:val="nil"/>
              <w:bottom w:val="nil"/>
              <w:right w:val="nil"/>
            </w:tcBorders>
            <w:shd w:val="clear" w:color="auto" w:fill="auto"/>
            <w:noWrap/>
            <w:vAlign w:val="center"/>
            <w:hideMark/>
          </w:tcPr>
          <w:p w14:paraId="5D79340A" w14:textId="391CEB8A" w:rsidR="00BA1AF9" w:rsidRPr="00F865C8" w:rsidRDefault="00BA1AF9" w:rsidP="006F5124">
            <w:pPr>
              <w:spacing w:after="0" w:line="240" w:lineRule="auto"/>
              <w:jc w:val="right"/>
              <w:rPr>
                <w:rFonts w:ascii="Calibri" w:eastAsia="Times New Roman" w:hAnsi="Calibri" w:cs="Calibri"/>
                <w:color w:val="000000"/>
                <w:sz w:val="20"/>
                <w:szCs w:val="20"/>
                <w:lang w:eastAsia="en-AU"/>
              </w:rPr>
            </w:pPr>
            <w:r w:rsidRPr="00F865C8">
              <w:rPr>
                <w:rFonts w:ascii="Calibri" w:eastAsia="Times New Roman" w:hAnsi="Calibri" w:cs="Calibri"/>
                <w:color w:val="000000"/>
                <w:sz w:val="20"/>
                <w:szCs w:val="20"/>
                <w:lang w:eastAsia="en-AU"/>
              </w:rPr>
              <w:t>39,225 (100%)</w:t>
            </w:r>
          </w:p>
        </w:tc>
      </w:tr>
      <w:tr w:rsidR="00BA1AF9" w:rsidRPr="00F865C8" w14:paraId="4E560916" w14:textId="77777777" w:rsidTr="00BA1AF9">
        <w:trPr>
          <w:trHeight w:val="290"/>
        </w:trPr>
        <w:tc>
          <w:tcPr>
            <w:tcW w:w="2880" w:type="dxa"/>
            <w:tcBorders>
              <w:top w:val="nil"/>
              <w:left w:val="nil"/>
              <w:bottom w:val="single" w:sz="4" w:space="0" w:color="auto"/>
              <w:right w:val="nil"/>
            </w:tcBorders>
            <w:shd w:val="clear" w:color="auto" w:fill="auto"/>
            <w:noWrap/>
            <w:vAlign w:val="bottom"/>
            <w:hideMark/>
          </w:tcPr>
          <w:p w14:paraId="3C9A76CF" w14:textId="77777777" w:rsidR="00BA1AF9" w:rsidRPr="00F865C8" w:rsidRDefault="00BA1AF9" w:rsidP="006F5124">
            <w:pPr>
              <w:spacing w:after="0" w:line="240" w:lineRule="auto"/>
              <w:rPr>
                <w:rFonts w:ascii="Calibri" w:eastAsia="Times New Roman" w:hAnsi="Calibri" w:cs="Calibri"/>
                <w:color w:val="000000"/>
                <w:lang w:eastAsia="en-AU"/>
              </w:rPr>
            </w:pPr>
            <w:r w:rsidRPr="00F865C8">
              <w:rPr>
                <w:rFonts w:ascii="Calibri" w:eastAsia="Times New Roman" w:hAnsi="Calibri" w:cs="Calibri"/>
                <w:color w:val="000000"/>
                <w:lang w:eastAsia="en-AU"/>
              </w:rPr>
              <w:t> </w:t>
            </w:r>
          </w:p>
        </w:tc>
        <w:tc>
          <w:tcPr>
            <w:tcW w:w="1740" w:type="dxa"/>
            <w:tcBorders>
              <w:top w:val="nil"/>
              <w:left w:val="nil"/>
              <w:bottom w:val="single" w:sz="4" w:space="0" w:color="auto"/>
              <w:right w:val="nil"/>
            </w:tcBorders>
            <w:shd w:val="clear" w:color="auto" w:fill="auto"/>
            <w:noWrap/>
            <w:vAlign w:val="bottom"/>
            <w:hideMark/>
          </w:tcPr>
          <w:p w14:paraId="0CCCC2F6" w14:textId="77777777" w:rsidR="00BA1AF9" w:rsidRPr="00F865C8" w:rsidRDefault="00BA1AF9" w:rsidP="006F5124">
            <w:pPr>
              <w:spacing w:after="0" w:line="240" w:lineRule="auto"/>
              <w:jc w:val="right"/>
              <w:rPr>
                <w:rFonts w:ascii="Calibri" w:eastAsia="Times New Roman" w:hAnsi="Calibri" w:cs="Calibri"/>
                <w:color w:val="000000"/>
                <w:lang w:eastAsia="en-AU"/>
              </w:rPr>
            </w:pPr>
            <w:r w:rsidRPr="00F865C8">
              <w:rPr>
                <w:rFonts w:ascii="Calibri" w:eastAsia="Times New Roman" w:hAnsi="Calibri" w:cs="Calibri"/>
                <w:color w:val="000000"/>
                <w:lang w:eastAsia="en-AU"/>
              </w:rPr>
              <w:t> </w:t>
            </w:r>
          </w:p>
        </w:tc>
        <w:tc>
          <w:tcPr>
            <w:tcW w:w="2260" w:type="dxa"/>
            <w:tcBorders>
              <w:top w:val="nil"/>
              <w:left w:val="nil"/>
              <w:bottom w:val="single" w:sz="4" w:space="0" w:color="auto"/>
              <w:right w:val="nil"/>
            </w:tcBorders>
          </w:tcPr>
          <w:p w14:paraId="5FF6A42D" w14:textId="77777777" w:rsidR="00BA1AF9" w:rsidRPr="00F865C8" w:rsidRDefault="00BA1AF9" w:rsidP="006F5124">
            <w:pPr>
              <w:spacing w:after="0" w:line="240" w:lineRule="auto"/>
              <w:rPr>
                <w:rFonts w:ascii="Calibri" w:eastAsia="Times New Roman" w:hAnsi="Calibri" w:cs="Calibri"/>
                <w:color w:val="000000"/>
                <w:lang w:eastAsia="en-AU"/>
              </w:rPr>
            </w:pPr>
          </w:p>
        </w:tc>
        <w:tc>
          <w:tcPr>
            <w:tcW w:w="2260" w:type="dxa"/>
            <w:tcBorders>
              <w:top w:val="nil"/>
              <w:left w:val="nil"/>
              <w:bottom w:val="single" w:sz="4" w:space="0" w:color="auto"/>
              <w:right w:val="nil"/>
            </w:tcBorders>
            <w:shd w:val="clear" w:color="auto" w:fill="auto"/>
            <w:noWrap/>
            <w:vAlign w:val="bottom"/>
            <w:hideMark/>
          </w:tcPr>
          <w:p w14:paraId="26601017" w14:textId="733F56ED" w:rsidR="00BA1AF9" w:rsidRPr="00F865C8" w:rsidRDefault="00BA1AF9" w:rsidP="006F5124">
            <w:pPr>
              <w:spacing w:after="0" w:line="240" w:lineRule="auto"/>
              <w:rPr>
                <w:rFonts w:ascii="Calibri" w:eastAsia="Times New Roman" w:hAnsi="Calibri" w:cs="Calibri"/>
                <w:color w:val="000000"/>
                <w:lang w:eastAsia="en-AU"/>
              </w:rPr>
            </w:pPr>
            <w:r w:rsidRPr="00F865C8">
              <w:rPr>
                <w:rFonts w:ascii="Calibri" w:eastAsia="Times New Roman" w:hAnsi="Calibri" w:cs="Calibri"/>
                <w:color w:val="000000"/>
                <w:lang w:eastAsia="en-AU"/>
              </w:rPr>
              <w:t> </w:t>
            </w:r>
          </w:p>
        </w:tc>
      </w:tr>
    </w:tbl>
    <w:p w14:paraId="55A77CD0" w14:textId="77777777" w:rsidR="00A81E88" w:rsidRPr="00F865C8" w:rsidRDefault="00A81E88" w:rsidP="00A81E88">
      <w:pPr>
        <w:spacing w:line="240" w:lineRule="auto"/>
        <w:contextualSpacing/>
        <w:rPr>
          <w:rFonts w:ascii="Arial" w:eastAsia="Times New Roman" w:hAnsi="Arial"/>
          <w:color w:val="auto"/>
          <w:sz w:val="20"/>
          <w:szCs w:val="20"/>
          <w:lang w:eastAsia="en-AU"/>
        </w:rPr>
      </w:pPr>
    </w:p>
    <w:p w14:paraId="156C2004" w14:textId="77777777" w:rsidR="00A81E88" w:rsidRDefault="00A81E88" w:rsidP="00A81E88">
      <w:pPr>
        <w:spacing w:before="0" w:after="80" w:line="240" w:lineRule="auto"/>
        <w:rPr>
          <w:rFonts w:ascii="Arial" w:eastAsia="Times New Roman" w:hAnsi="Arial"/>
          <w:color w:val="auto"/>
          <w:sz w:val="20"/>
          <w:szCs w:val="20"/>
          <w:lang w:eastAsia="en-AU"/>
        </w:rPr>
      </w:pPr>
      <w:r w:rsidRPr="00F865C8">
        <w:rPr>
          <w:rFonts w:ascii="Arial" w:eastAsia="Times New Roman" w:hAnsi="Arial"/>
          <w:color w:val="auto"/>
          <w:sz w:val="20"/>
          <w:szCs w:val="20"/>
          <w:lang w:eastAsia="en-AU"/>
        </w:rPr>
        <w:br w:type="page"/>
      </w:r>
    </w:p>
    <w:p w14:paraId="74016623" w14:textId="026A10B1" w:rsidR="00F2088B" w:rsidRPr="00F63618" w:rsidRDefault="00F63618" w:rsidP="00F63618">
      <w:pPr>
        <w:pStyle w:val="Heading3"/>
      </w:pPr>
      <w:bookmarkStart w:id="110" w:name="_Table_3._Top"/>
      <w:bookmarkStart w:id="111" w:name="_Toc187133221"/>
      <w:bookmarkStart w:id="112" w:name="_Toc187313301"/>
      <w:bookmarkStart w:id="113" w:name="_Toc203549636"/>
      <w:bookmarkEnd w:id="110"/>
      <w:r w:rsidRPr="00F63618">
        <w:lastRenderedPageBreak/>
        <w:t>Table 3. Top 3 reasons for all-cause readmissions following sepsis, public hospitals, 202</w:t>
      </w:r>
      <w:bookmarkEnd w:id="111"/>
      <w:bookmarkEnd w:id="112"/>
      <w:r w:rsidRPr="00F63618">
        <w:t>2-23</w:t>
      </w:r>
      <w:bookmarkEnd w:id="113"/>
    </w:p>
    <w:tbl>
      <w:tblPr>
        <w:tblW w:w="11940" w:type="dxa"/>
        <w:tblInd w:w="-284" w:type="dxa"/>
        <w:tblLook w:val="04A0" w:firstRow="1" w:lastRow="0" w:firstColumn="1" w:lastColumn="0" w:noHBand="0" w:noVBand="1"/>
      </w:tblPr>
      <w:tblGrid>
        <w:gridCol w:w="1508"/>
        <w:gridCol w:w="2490"/>
        <w:gridCol w:w="5714"/>
        <w:gridCol w:w="2228"/>
      </w:tblGrid>
      <w:tr w:rsidR="00F2088B" w:rsidRPr="00591BF6" w14:paraId="6C7E2DDC" w14:textId="77777777" w:rsidTr="006F5124">
        <w:trPr>
          <w:trHeight w:val="520"/>
          <w:tblHeader/>
        </w:trPr>
        <w:tc>
          <w:tcPr>
            <w:tcW w:w="1508" w:type="dxa"/>
            <w:tcBorders>
              <w:top w:val="single" w:sz="4" w:space="0" w:color="auto"/>
              <w:left w:val="nil"/>
              <w:bottom w:val="single" w:sz="4" w:space="0" w:color="auto"/>
              <w:right w:val="nil"/>
            </w:tcBorders>
            <w:shd w:val="clear" w:color="auto" w:fill="auto"/>
            <w:vAlign w:val="bottom"/>
            <w:hideMark/>
          </w:tcPr>
          <w:p w14:paraId="74B84C64" w14:textId="77777777" w:rsidR="00F2088B" w:rsidRPr="00591BF6" w:rsidRDefault="00F2088B" w:rsidP="006F5124">
            <w:pPr>
              <w:spacing w:after="0" w:line="240" w:lineRule="auto"/>
              <w:rPr>
                <w:rFonts w:ascii="Calibri" w:eastAsia="Times New Roman" w:hAnsi="Calibri" w:cs="Calibri"/>
                <w:b/>
                <w:bCs/>
                <w:color w:val="auto"/>
                <w:sz w:val="20"/>
                <w:szCs w:val="20"/>
                <w:lang w:eastAsia="en-AU"/>
              </w:rPr>
            </w:pPr>
            <w:r w:rsidRPr="00591BF6">
              <w:rPr>
                <w:rFonts w:ascii="Calibri" w:eastAsia="Times New Roman" w:hAnsi="Calibri" w:cs="Calibri"/>
                <w:b/>
                <w:bCs/>
                <w:color w:val="auto"/>
                <w:sz w:val="20"/>
                <w:szCs w:val="20"/>
                <w:lang w:eastAsia="en-AU"/>
              </w:rPr>
              <w:t>Readmission interval</w:t>
            </w:r>
          </w:p>
        </w:tc>
        <w:tc>
          <w:tcPr>
            <w:tcW w:w="2490" w:type="dxa"/>
            <w:tcBorders>
              <w:top w:val="single" w:sz="4" w:space="0" w:color="auto"/>
              <w:left w:val="nil"/>
              <w:bottom w:val="single" w:sz="4" w:space="0" w:color="auto"/>
              <w:right w:val="nil"/>
            </w:tcBorders>
            <w:shd w:val="clear" w:color="auto" w:fill="auto"/>
            <w:vAlign w:val="bottom"/>
            <w:hideMark/>
          </w:tcPr>
          <w:p w14:paraId="5D5785F2" w14:textId="77777777" w:rsidR="00F2088B" w:rsidRPr="00591BF6" w:rsidRDefault="00F2088B" w:rsidP="006F5124">
            <w:pPr>
              <w:spacing w:after="0" w:line="240" w:lineRule="auto"/>
              <w:jc w:val="right"/>
              <w:rPr>
                <w:rFonts w:ascii="Calibri" w:eastAsia="Times New Roman" w:hAnsi="Calibri" w:cs="Calibri"/>
                <w:b/>
                <w:bCs/>
                <w:color w:val="auto"/>
                <w:sz w:val="20"/>
                <w:szCs w:val="20"/>
                <w:lang w:eastAsia="en-AU"/>
              </w:rPr>
            </w:pPr>
            <w:r w:rsidRPr="00591BF6">
              <w:rPr>
                <w:rFonts w:ascii="Calibri" w:eastAsia="Times New Roman" w:hAnsi="Calibri" w:cs="Calibri"/>
                <w:b/>
                <w:bCs/>
                <w:color w:val="auto"/>
                <w:sz w:val="20"/>
                <w:szCs w:val="20"/>
                <w:lang w:eastAsia="en-AU"/>
              </w:rPr>
              <w:t> </w:t>
            </w:r>
          </w:p>
        </w:tc>
        <w:tc>
          <w:tcPr>
            <w:tcW w:w="5714" w:type="dxa"/>
            <w:tcBorders>
              <w:top w:val="single" w:sz="4" w:space="0" w:color="auto"/>
              <w:left w:val="nil"/>
              <w:bottom w:val="single" w:sz="4" w:space="0" w:color="auto"/>
              <w:right w:val="nil"/>
            </w:tcBorders>
            <w:shd w:val="clear" w:color="auto" w:fill="auto"/>
            <w:vAlign w:val="bottom"/>
            <w:hideMark/>
          </w:tcPr>
          <w:p w14:paraId="01BA8B3B" w14:textId="77777777" w:rsidR="00F2088B" w:rsidRPr="00591BF6" w:rsidRDefault="00F2088B" w:rsidP="006F5124">
            <w:pPr>
              <w:spacing w:after="0" w:line="240" w:lineRule="auto"/>
              <w:jc w:val="right"/>
              <w:rPr>
                <w:rFonts w:ascii="Calibri" w:eastAsia="Times New Roman" w:hAnsi="Calibri" w:cs="Calibri"/>
                <w:b/>
                <w:bCs/>
                <w:color w:val="auto"/>
                <w:sz w:val="20"/>
                <w:szCs w:val="20"/>
                <w:lang w:eastAsia="en-AU"/>
              </w:rPr>
            </w:pPr>
            <w:r w:rsidRPr="00591BF6">
              <w:rPr>
                <w:rFonts w:ascii="Calibri" w:eastAsia="Times New Roman" w:hAnsi="Calibri" w:cs="Calibri"/>
                <w:b/>
                <w:bCs/>
                <w:color w:val="auto"/>
                <w:sz w:val="20"/>
                <w:szCs w:val="20"/>
                <w:lang w:eastAsia="en-AU"/>
              </w:rPr>
              <w:t> </w:t>
            </w:r>
          </w:p>
        </w:tc>
        <w:tc>
          <w:tcPr>
            <w:tcW w:w="2228" w:type="dxa"/>
            <w:tcBorders>
              <w:top w:val="single" w:sz="4" w:space="0" w:color="auto"/>
              <w:left w:val="nil"/>
              <w:bottom w:val="single" w:sz="4" w:space="0" w:color="auto"/>
              <w:right w:val="nil"/>
            </w:tcBorders>
            <w:shd w:val="clear" w:color="auto" w:fill="auto"/>
            <w:vAlign w:val="bottom"/>
            <w:hideMark/>
          </w:tcPr>
          <w:p w14:paraId="6C7C02A4" w14:textId="77777777" w:rsidR="00F2088B" w:rsidRPr="00591BF6" w:rsidRDefault="00F2088B" w:rsidP="006F5124">
            <w:pPr>
              <w:spacing w:after="0" w:line="240" w:lineRule="auto"/>
              <w:jc w:val="right"/>
              <w:rPr>
                <w:rFonts w:ascii="Calibri" w:eastAsia="Times New Roman" w:hAnsi="Calibri" w:cs="Calibri"/>
                <w:b/>
                <w:bCs/>
                <w:color w:val="auto"/>
                <w:sz w:val="20"/>
                <w:szCs w:val="20"/>
                <w:lang w:eastAsia="en-AU"/>
              </w:rPr>
            </w:pPr>
            <w:r w:rsidRPr="00591BF6">
              <w:rPr>
                <w:rFonts w:ascii="Calibri" w:eastAsia="Times New Roman" w:hAnsi="Calibri" w:cs="Calibri"/>
                <w:b/>
                <w:bCs/>
                <w:color w:val="auto"/>
                <w:sz w:val="20"/>
                <w:szCs w:val="20"/>
                <w:lang w:eastAsia="en-AU"/>
              </w:rPr>
              <w:t>Post-sepsis readmissions</w:t>
            </w:r>
          </w:p>
        </w:tc>
      </w:tr>
      <w:tr w:rsidR="00F2088B" w:rsidRPr="00591BF6" w14:paraId="315C1781" w14:textId="77777777" w:rsidTr="006F5124">
        <w:trPr>
          <w:trHeight w:val="260"/>
        </w:trPr>
        <w:tc>
          <w:tcPr>
            <w:tcW w:w="1508" w:type="dxa"/>
            <w:tcBorders>
              <w:top w:val="nil"/>
              <w:left w:val="nil"/>
              <w:bottom w:val="nil"/>
              <w:right w:val="nil"/>
            </w:tcBorders>
            <w:shd w:val="clear" w:color="auto" w:fill="auto"/>
            <w:vAlign w:val="bottom"/>
            <w:hideMark/>
          </w:tcPr>
          <w:p w14:paraId="3FB2516D"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xml:space="preserve">7 days </w:t>
            </w:r>
          </w:p>
        </w:tc>
        <w:tc>
          <w:tcPr>
            <w:tcW w:w="2490" w:type="dxa"/>
            <w:tcBorders>
              <w:top w:val="nil"/>
              <w:left w:val="nil"/>
              <w:bottom w:val="nil"/>
              <w:right w:val="nil"/>
            </w:tcBorders>
            <w:shd w:val="clear" w:color="auto" w:fill="auto"/>
            <w:noWrap/>
            <w:vAlign w:val="bottom"/>
            <w:hideMark/>
          </w:tcPr>
          <w:p w14:paraId="36EA89DB"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N</w:t>
            </w:r>
          </w:p>
        </w:tc>
        <w:tc>
          <w:tcPr>
            <w:tcW w:w="5714" w:type="dxa"/>
            <w:tcBorders>
              <w:top w:val="nil"/>
              <w:left w:val="nil"/>
              <w:bottom w:val="nil"/>
              <w:right w:val="nil"/>
            </w:tcBorders>
            <w:shd w:val="clear" w:color="auto" w:fill="auto"/>
            <w:noWrap/>
            <w:vAlign w:val="bottom"/>
            <w:hideMark/>
          </w:tcPr>
          <w:p w14:paraId="5EB7666E"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center"/>
            <w:hideMark/>
          </w:tcPr>
          <w:p w14:paraId="3CE17BE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14,146</w:t>
            </w:r>
          </w:p>
        </w:tc>
      </w:tr>
      <w:tr w:rsidR="00F2088B" w:rsidRPr="00591BF6" w14:paraId="44870900" w14:textId="77777777" w:rsidTr="006F5124">
        <w:trPr>
          <w:trHeight w:val="260"/>
        </w:trPr>
        <w:tc>
          <w:tcPr>
            <w:tcW w:w="1508" w:type="dxa"/>
            <w:tcBorders>
              <w:top w:val="nil"/>
              <w:left w:val="nil"/>
              <w:bottom w:val="nil"/>
              <w:right w:val="nil"/>
            </w:tcBorders>
            <w:shd w:val="clear" w:color="auto" w:fill="auto"/>
            <w:noWrap/>
            <w:vAlign w:val="bottom"/>
            <w:hideMark/>
          </w:tcPr>
          <w:p w14:paraId="34FE72A0"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208037E6"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Principal diagnosis, n(%)</w:t>
            </w:r>
          </w:p>
        </w:tc>
        <w:tc>
          <w:tcPr>
            <w:tcW w:w="5714" w:type="dxa"/>
            <w:tcBorders>
              <w:top w:val="nil"/>
              <w:left w:val="nil"/>
              <w:bottom w:val="nil"/>
              <w:right w:val="nil"/>
            </w:tcBorders>
            <w:shd w:val="clear" w:color="auto" w:fill="auto"/>
            <w:noWrap/>
            <w:vAlign w:val="bottom"/>
            <w:hideMark/>
          </w:tcPr>
          <w:p w14:paraId="71ED28E0"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32460DAA"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51746F24" w14:textId="77777777" w:rsidTr="006F5124">
        <w:trPr>
          <w:trHeight w:val="260"/>
        </w:trPr>
        <w:tc>
          <w:tcPr>
            <w:tcW w:w="1508" w:type="dxa"/>
            <w:tcBorders>
              <w:top w:val="nil"/>
              <w:left w:val="nil"/>
              <w:bottom w:val="nil"/>
              <w:right w:val="nil"/>
            </w:tcBorders>
            <w:shd w:val="clear" w:color="auto" w:fill="auto"/>
            <w:noWrap/>
            <w:vAlign w:val="bottom"/>
            <w:hideMark/>
          </w:tcPr>
          <w:p w14:paraId="0B712177"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0E1D8B41"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1E73F8D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Sepsis, unspecified (A419)</w:t>
            </w:r>
          </w:p>
        </w:tc>
        <w:tc>
          <w:tcPr>
            <w:tcW w:w="2228" w:type="dxa"/>
            <w:tcBorders>
              <w:top w:val="nil"/>
              <w:left w:val="nil"/>
              <w:bottom w:val="nil"/>
              <w:right w:val="nil"/>
            </w:tcBorders>
            <w:shd w:val="clear" w:color="auto" w:fill="auto"/>
            <w:noWrap/>
            <w:vAlign w:val="center"/>
            <w:hideMark/>
          </w:tcPr>
          <w:p w14:paraId="621EC4E5"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898 (6.3%)</w:t>
            </w:r>
          </w:p>
        </w:tc>
      </w:tr>
      <w:tr w:rsidR="00F2088B" w:rsidRPr="00591BF6" w14:paraId="2934004C" w14:textId="77777777" w:rsidTr="006F5124">
        <w:trPr>
          <w:trHeight w:val="260"/>
        </w:trPr>
        <w:tc>
          <w:tcPr>
            <w:tcW w:w="1508" w:type="dxa"/>
            <w:tcBorders>
              <w:top w:val="nil"/>
              <w:left w:val="nil"/>
              <w:bottom w:val="nil"/>
              <w:right w:val="nil"/>
            </w:tcBorders>
            <w:shd w:val="clear" w:color="auto" w:fill="auto"/>
            <w:noWrap/>
            <w:vAlign w:val="bottom"/>
            <w:hideMark/>
          </w:tcPr>
          <w:p w14:paraId="7AD88BC5"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07700A5"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5060B25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Pneumonia, unspecified (J189)</w:t>
            </w:r>
          </w:p>
        </w:tc>
        <w:tc>
          <w:tcPr>
            <w:tcW w:w="2228" w:type="dxa"/>
            <w:tcBorders>
              <w:top w:val="nil"/>
              <w:left w:val="nil"/>
              <w:bottom w:val="nil"/>
              <w:right w:val="nil"/>
            </w:tcBorders>
            <w:shd w:val="clear" w:color="auto" w:fill="auto"/>
            <w:noWrap/>
            <w:vAlign w:val="center"/>
            <w:hideMark/>
          </w:tcPr>
          <w:p w14:paraId="28A6FC9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410 (2.9%)</w:t>
            </w:r>
          </w:p>
        </w:tc>
      </w:tr>
      <w:tr w:rsidR="00F2088B" w:rsidRPr="00591BF6" w14:paraId="4C729D70" w14:textId="77777777" w:rsidTr="006F5124">
        <w:trPr>
          <w:trHeight w:val="260"/>
        </w:trPr>
        <w:tc>
          <w:tcPr>
            <w:tcW w:w="1508" w:type="dxa"/>
            <w:tcBorders>
              <w:top w:val="nil"/>
              <w:left w:val="nil"/>
              <w:bottom w:val="nil"/>
              <w:right w:val="nil"/>
            </w:tcBorders>
            <w:shd w:val="clear" w:color="auto" w:fill="auto"/>
            <w:noWrap/>
            <w:vAlign w:val="bottom"/>
            <w:hideMark/>
          </w:tcPr>
          <w:p w14:paraId="4AFC313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47F9AB87"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503646F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Urinary tract infection, site not specified (N390)</w:t>
            </w:r>
          </w:p>
        </w:tc>
        <w:tc>
          <w:tcPr>
            <w:tcW w:w="2228" w:type="dxa"/>
            <w:tcBorders>
              <w:top w:val="nil"/>
              <w:left w:val="nil"/>
              <w:bottom w:val="nil"/>
              <w:right w:val="nil"/>
            </w:tcBorders>
            <w:shd w:val="clear" w:color="auto" w:fill="auto"/>
            <w:noWrap/>
            <w:vAlign w:val="center"/>
            <w:hideMark/>
          </w:tcPr>
          <w:p w14:paraId="4D4E35CB"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410 (2.9%)</w:t>
            </w:r>
          </w:p>
        </w:tc>
      </w:tr>
      <w:tr w:rsidR="00F2088B" w:rsidRPr="00591BF6" w14:paraId="10026C57" w14:textId="77777777" w:rsidTr="006F5124">
        <w:trPr>
          <w:trHeight w:val="260"/>
        </w:trPr>
        <w:tc>
          <w:tcPr>
            <w:tcW w:w="1508" w:type="dxa"/>
            <w:tcBorders>
              <w:top w:val="nil"/>
              <w:left w:val="nil"/>
              <w:bottom w:val="nil"/>
              <w:right w:val="nil"/>
            </w:tcBorders>
            <w:shd w:val="clear" w:color="auto" w:fill="auto"/>
            <w:noWrap/>
            <w:vAlign w:val="bottom"/>
            <w:hideMark/>
          </w:tcPr>
          <w:p w14:paraId="640EB2B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22EB1F4D"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Diagnosis Related Group, n(%)</w:t>
            </w:r>
          </w:p>
        </w:tc>
        <w:tc>
          <w:tcPr>
            <w:tcW w:w="5714" w:type="dxa"/>
            <w:tcBorders>
              <w:top w:val="nil"/>
              <w:left w:val="nil"/>
              <w:bottom w:val="nil"/>
              <w:right w:val="nil"/>
            </w:tcBorders>
            <w:shd w:val="clear" w:color="auto" w:fill="auto"/>
            <w:noWrap/>
            <w:vAlign w:val="bottom"/>
            <w:hideMark/>
          </w:tcPr>
          <w:p w14:paraId="311C9A60"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315B20B4"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4499EB3C" w14:textId="77777777" w:rsidTr="006F5124">
        <w:trPr>
          <w:trHeight w:val="260"/>
        </w:trPr>
        <w:tc>
          <w:tcPr>
            <w:tcW w:w="1508" w:type="dxa"/>
            <w:tcBorders>
              <w:top w:val="nil"/>
              <w:left w:val="nil"/>
              <w:bottom w:val="nil"/>
              <w:right w:val="nil"/>
            </w:tcBorders>
            <w:shd w:val="clear" w:color="auto" w:fill="auto"/>
            <w:noWrap/>
            <w:vAlign w:val="bottom"/>
            <w:hideMark/>
          </w:tcPr>
          <w:p w14:paraId="4802FC01"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358A8742"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1E73C11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Respiratory Infections and Inflammations, Major Complexity (E62A)</w:t>
            </w:r>
          </w:p>
        </w:tc>
        <w:tc>
          <w:tcPr>
            <w:tcW w:w="2228" w:type="dxa"/>
            <w:tcBorders>
              <w:top w:val="nil"/>
              <w:left w:val="nil"/>
              <w:bottom w:val="nil"/>
              <w:right w:val="nil"/>
            </w:tcBorders>
            <w:shd w:val="clear" w:color="auto" w:fill="auto"/>
            <w:noWrap/>
            <w:vAlign w:val="center"/>
            <w:hideMark/>
          </w:tcPr>
          <w:p w14:paraId="59C3B8EB"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643 (4.5%)</w:t>
            </w:r>
          </w:p>
        </w:tc>
      </w:tr>
      <w:tr w:rsidR="00F2088B" w:rsidRPr="00591BF6" w14:paraId="4299A977" w14:textId="77777777" w:rsidTr="006F5124">
        <w:trPr>
          <w:trHeight w:val="260"/>
        </w:trPr>
        <w:tc>
          <w:tcPr>
            <w:tcW w:w="1508" w:type="dxa"/>
            <w:tcBorders>
              <w:top w:val="nil"/>
              <w:left w:val="nil"/>
              <w:bottom w:val="nil"/>
              <w:right w:val="nil"/>
            </w:tcBorders>
            <w:shd w:val="clear" w:color="auto" w:fill="auto"/>
            <w:noWrap/>
            <w:vAlign w:val="bottom"/>
            <w:hideMark/>
          </w:tcPr>
          <w:p w14:paraId="5FE22AC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0290B153"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03EF6F22"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Major Complexity (T60A)</w:t>
            </w:r>
          </w:p>
        </w:tc>
        <w:tc>
          <w:tcPr>
            <w:tcW w:w="2228" w:type="dxa"/>
            <w:tcBorders>
              <w:top w:val="nil"/>
              <w:left w:val="nil"/>
              <w:bottom w:val="nil"/>
              <w:right w:val="nil"/>
            </w:tcBorders>
            <w:shd w:val="clear" w:color="auto" w:fill="auto"/>
            <w:noWrap/>
            <w:vAlign w:val="center"/>
            <w:hideMark/>
          </w:tcPr>
          <w:p w14:paraId="138724C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640 (4.5%)</w:t>
            </w:r>
          </w:p>
        </w:tc>
      </w:tr>
      <w:tr w:rsidR="00F2088B" w:rsidRPr="00591BF6" w14:paraId="155FFDE3" w14:textId="77777777" w:rsidTr="006F5124">
        <w:trPr>
          <w:trHeight w:val="260"/>
        </w:trPr>
        <w:tc>
          <w:tcPr>
            <w:tcW w:w="1508" w:type="dxa"/>
            <w:tcBorders>
              <w:top w:val="nil"/>
              <w:left w:val="nil"/>
              <w:bottom w:val="nil"/>
              <w:right w:val="nil"/>
            </w:tcBorders>
            <w:shd w:val="clear" w:color="auto" w:fill="auto"/>
            <w:noWrap/>
            <w:vAlign w:val="bottom"/>
            <w:hideMark/>
          </w:tcPr>
          <w:p w14:paraId="1C070F04"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55D7C0E7"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51103D73"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Intermediate Complexity (T60B)</w:t>
            </w:r>
          </w:p>
        </w:tc>
        <w:tc>
          <w:tcPr>
            <w:tcW w:w="2228" w:type="dxa"/>
            <w:tcBorders>
              <w:top w:val="nil"/>
              <w:left w:val="nil"/>
              <w:bottom w:val="nil"/>
              <w:right w:val="nil"/>
            </w:tcBorders>
            <w:shd w:val="clear" w:color="auto" w:fill="auto"/>
            <w:noWrap/>
            <w:vAlign w:val="center"/>
            <w:hideMark/>
          </w:tcPr>
          <w:p w14:paraId="7712555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536 (3.8%)</w:t>
            </w:r>
          </w:p>
        </w:tc>
      </w:tr>
      <w:tr w:rsidR="00F2088B" w:rsidRPr="00591BF6" w14:paraId="43C1CBD8" w14:textId="77777777" w:rsidTr="006F5124">
        <w:trPr>
          <w:trHeight w:val="260"/>
        </w:trPr>
        <w:tc>
          <w:tcPr>
            <w:tcW w:w="1508" w:type="dxa"/>
            <w:tcBorders>
              <w:top w:val="nil"/>
              <w:left w:val="nil"/>
              <w:bottom w:val="nil"/>
              <w:right w:val="nil"/>
            </w:tcBorders>
            <w:shd w:val="clear" w:color="auto" w:fill="auto"/>
            <w:vAlign w:val="bottom"/>
            <w:hideMark/>
          </w:tcPr>
          <w:p w14:paraId="1E9BB1E0"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xml:space="preserve">30 days </w:t>
            </w:r>
          </w:p>
        </w:tc>
        <w:tc>
          <w:tcPr>
            <w:tcW w:w="2490" w:type="dxa"/>
            <w:tcBorders>
              <w:top w:val="nil"/>
              <w:left w:val="nil"/>
              <w:bottom w:val="nil"/>
              <w:right w:val="nil"/>
            </w:tcBorders>
            <w:shd w:val="clear" w:color="auto" w:fill="auto"/>
            <w:noWrap/>
            <w:vAlign w:val="bottom"/>
            <w:hideMark/>
          </w:tcPr>
          <w:p w14:paraId="5603B1FE"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N</w:t>
            </w:r>
          </w:p>
        </w:tc>
        <w:tc>
          <w:tcPr>
            <w:tcW w:w="5714" w:type="dxa"/>
            <w:tcBorders>
              <w:top w:val="nil"/>
              <w:left w:val="nil"/>
              <w:bottom w:val="nil"/>
              <w:right w:val="nil"/>
            </w:tcBorders>
            <w:shd w:val="clear" w:color="auto" w:fill="auto"/>
            <w:noWrap/>
            <w:vAlign w:val="bottom"/>
            <w:hideMark/>
          </w:tcPr>
          <w:p w14:paraId="66D05262"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center"/>
            <w:hideMark/>
          </w:tcPr>
          <w:p w14:paraId="60F5762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21,434</w:t>
            </w:r>
          </w:p>
        </w:tc>
      </w:tr>
      <w:tr w:rsidR="00F2088B" w:rsidRPr="00591BF6" w14:paraId="6619CF8E" w14:textId="77777777" w:rsidTr="006F5124">
        <w:trPr>
          <w:trHeight w:val="260"/>
        </w:trPr>
        <w:tc>
          <w:tcPr>
            <w:tcW w:w="1508" w:type="dxa"/>
            <w:tcBorders>
              <w:top w:val="nil"/>
              <w:left w:val="nil"/>
              <w:bottom w:val="nil"/>
              <w:right w:val="nil"/>
            </w:tcBorders>
            <w:shd w:val="clear" w:color="auto" w:fill="auto"/>
            <w:noWrap/>
            <w:vAlign w:val="bottom"/>
            <w:hideMark/>
          </w:tcPr>
          <w:p w14:paraId="7CB600F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D5032B0"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Principal diagnosis, n(%)</w:t>
            </w:r>
          </w:p>
        </w:tc>
        <w:tc>
          <w:tcPr>
            <w:tcW w:w="5714" w:type="dxa"/>
            <w:tcBorders>
              <w:top w:val="nil"/>
              <w:left w:val="nil"/>
              <w:bottom w:val="nil"/>
              <w:right w:val="nil"/>
            </w:tcBorders>
            <w:shd w:val="clear" w:color="auto" w:fill="auto"/>
            <w:noWrap/>
            <w:vAlign w:val="bottom"/>
            <w:hideMark/>
          </w:tcPr>
          <w:p w14:paraId="38B568DF"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2285123F"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285A74A8" w14:textId="77777777" w:rsidTr="006F5124">
        <w:trPr>
          <w:trHeight w:val="300"/>
        </w:trPr>
        <w:tc>
          <w:tcPr>
            <w:tcW w:w="1508" w:type="dxa"/>
            <w:tcBorders>
              <w:top w:val="nil"/>
              <w:left w:val="nil"/>
              <w:bottom w:val="nil"/>
              <w:right w:val="nil"/>
            </w:tcBorders>
            <w:shd w:val="clear" w:color="auto" w:fill="auto"/>
            <w:noWrap/>
            <w:vAlign w:val="bottom"/>
            <w:hideMark/>
          </w:tcPr>
          <w:p w14:paraId="073C5E2B"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31F55A75"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2C9C153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Sepsis, unspecified (A419)</w:t>
            </w:r>
          </w:p>
        </w:tc>
        <w:tc>
          <w:tcPr>
            <w:tcW w:w="2228" w:type="dxa"/>
            <w:tcBorders>
              <w:top w:val="nil"/>
              <w:left w:val="nil"/>
              <w:bottom w:val="nil"/>
              <w:right w:val="nil"/>
            </w:tcBorders>
            <w:shd w:val="clear" w:color="auto" w:fill="auto"/>
            <w:noWrap/>
            <w:vAlign w:val="center"/>
            <w:hideMark/>
          </w:tcPr>
          <w:p w14:paraId="7AE7C416"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1,159 (5.4%)</w:t>
            </w:r>
          </w:p>
        </w:tc>
      </w:tr>
      <w:tr w:rsidR="00F2088B" w:rsidRPr="00591BF6" w14:paraId="7C61F311" w14:textId="77777777" w:rsidTr="006F5124">
        <w:trPr>
          <w:trHeight w:val="260"/>
        </w:trPr>
        <w:tc>
          <w:tcPr>
            <w:tcW w:w="1508" w:type="dxa"/>
            <w:tcBorders>
              <w:top w:val="nil"/>
              <w:left w:val="nil"/>
              <w:bottom w:val="nil"/>
              <w:right w:val="nil"/>
            </w:tcBorders>
            <w:shd w:val="clear" w:color="auto" w:fill="auto"/>
            <w:noWrap/>
            <w:vAlign w:val="bottom"/>
            <w:hideMark/>
          </w:tcPr>
          <w:p w14:paraId="313A23D4"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1E7D4AD8"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47ACF73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Urinary tract infection, site not specified (N390)</w:t>
            </w:r>
          </w:p>
        </w:tc>
        <w:tc>
          <w:tcPr>
            <w:tcW w:w="2228" w:type="dxa"/>
            <w:tcBorders>
              <w:top w:val="nil"/>
              <w:left w:val="nil"/>
              <w:bottom w:val="nil"/>
              <w:right w:val="nil"/>
            </w:tcBorders>
            <w:shd w:val="clear" w:color="auto" w:fill="auto"/>
            <w:noWrap/>
            <w:vAlign w:val="center"/>
            <w:hideMark/>
          </w:tcPr>
          <w:p w14:paraId="5195D6E5"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659 (3.1%)</w:t>
            </w:r>
          </w:p>
        </w:tc>
      </w:tr>
      <w:tr w:rsidR="00F2088B" w:rsidRPr="00591BF6" w14:paraId="3C1996F3" w14:textId="77777777" w:rsidTr="006F5124">
        <w:trPr>
          <w:trHeight w:val="260"/>
        </w:trPr>
        <w:tc>
          <w:tcPr>
            <w:tcW w:w="1508" w:type="dxa"/>
            <w:tcBorders>
              <w:top w:val="nil"/>
              <w:left w:val="nil"/>
              <w:bottom w:val="nil"/>
              <w:right w:val="nil"/>
            </w:tcBorders>
            <w:shd w:val="clear" w:color="auto" w:fill="auto"/>
            <w:noWrap/>
            <w:vAlign w:val="bottom"/>
            <w:hideMark/>
          </w:tcPr>
          <w:p w14:paraId="54B6D83F"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0592D982"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6DAF03E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Pneumonia, unspecified (J189)</w:t>
            </w:r>
          </w:p>
        </w:tc>
        <w:tc>
          <w:tcPr>
            <w:tcW w:w="2228" w:type="dxa"/>
            <w:tcBorders>
              <w:top w:val="nil"/>
              <w:left w:val="nil"/>
              <w:bottom w:val="nil"/>
              <w:right w:val="nil"/>
            </w:tcBorders>
            <w:shd w:val="clear" w:color="auto" w:fill="auto"/>
            <w:noWrap/>
            <w:vAlign w:val="center"/>
            <w:hideMark/>
          </w:tcPr>
          <w:p w14:paraId="6E3681A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525 (2.4%)</w:t>
            </w:r>
          </w:p>
        </w:tc>
      </w:tr>
      <w:tr w:rsidR="00F2088B" w:rsidRPr="00591BF6" w14:paraId="39A6285E" w14:textId="77777777" w:rsidTr="006F5124">
        <w:trPr>
          <w:trHeight w:val="260"/>
        </w:trPr>
        <w:tc>
          <w:tcPr>
            <w:tcW w:w="1508" w:type="dxa"/>
            <w:tcBorders>
              <w:top w:val="nil"/>
              <w:left w:val="nil"/>
              <w:bottom w:val="nil"/>
              <w:right w:val="nil"/>
            </w:tcBorders>
            <w:shd w:val="clear" w:color="auto" w:fill="auto"/>
            <w:noWrap/>
            <w:vAlign w:val="bottom"/>
            <w:hideMark/>
          </w:tcPr>
          <w:p w14:paraId="3CC0BEA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495F9085"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Diagnosis Related Group, n(%)</w:t>
            </w:r>
          </w:p>
        </w:tc>
        <w:tc>
          <w:tcPr>
            <w:tcW w:w="5714" w:type="dxa"/>
            <w:tcBorders>
              <w:top w:val="nil"/>
              <w:left w:val="nil"/>
              <w:bottom w:val="nil"/>
              <w:right w:val="nil"/>
            </w:tcBorders>
            <w:shd w:val="clear" w:color="auto" w:fill="auto"/>
            <w:noWrap/>
            <w:vAlign w:val="bottom"/>
            <w:hideMark/>
          </w:tcPr>
          <w:p w14:paraId="72381575"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6C9C0CDB"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0D378CA4" w14:textId="77777777" w:rsidTr="006F5124">
        <w:trPr>
          <w:trHeight w:val="260"/>
        </w:trPr>
        <w:tc>
          <w:tcPr>
            <w:tcW w:w="1508" w:type="dxa"/>
            <w:tcBorders>
              <w:top w:val="nil"/>
              <w:left w:val="nil"/>
              <w:bottom w:val="nil"/>
              <w:right w:val="nil"/>
            </w:tcBorders>
            <w:shd w:val="clear" w:color="auto" w:fill="auto"/>
            <w:noWrap/>
            <w:vAlign w:val="bottom"/>
            <w:hideMark/>
          </w:tcPr>
          <w:p w14:paraId="36676CE6"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38C989B9"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26B553B4"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Respiratory Infections and Inflammations, Major Complexity (E62A)</w:t>
            </w:r>
          </w:p>
        </w:tc>
        <w:tc>
          <w:tcPr>
            <w:tcW w:w="2228" w:type="dxa"/>
            <w:tcBorders>
              <w:top w:val="nil"/>
              <w:left w:val="nil"/>
              <w:bottom w:val="nil"/>
              <w:right w:val="nil"/>
            </w:tcBorders>
            <w:shd w:val="clear" w:color="auto" w:fill="auto"/>
            <w:noWrap/>
            <w:vAlign w:val="center"/>
            <w:hideMark/>
          </w:tcPr>
          <w:p w14:paraId="1558DD89"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873 (4.1%)</w:t>
            </w:r>
          </w:p>
        </w:tc>
      </w:tr>
      <w:tr w:rsidR="00F2088B" w:rsidRPr="00591BF6" w14:paraId="6D6EECD9" w14:textId="77777777" w:rsidTr="006F5124">
        <w:trPr>
          <w:trHeight w:val="260"/>
        </w:trPr>
        <w:tc>
          <w:tcPr>
            <w:tcW w:w="1508" w:type="dxa"/>
            <w:tcBorders>
              <w:top w:val="nil"/>
              <w:left w:val="nil"/>
              <w:bottom w:val="nil"/>
              <w:right w:val="nil"/>
            </w:tcBorders>
            <w:shd w:val="clear" w:color="auto" w:fill="auto"/>
            <w:noWrap/>
            <w:vAlign w:val="bottom"/>
            <w:hideMark/>
          </w:tcPr>
          <w:p w14:paraId="271B2813"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57DD3918"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5CE41F8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Major Complexity (T60A)</w:t>
            </w:r>
          </w:p>
        </w:tc>
        <w:tc>
          <w:tcPr>
            <w:tcW w:w="2228" w:type="dxa"/>
            <w:tcBorders>
              <w:top w:val="nil"/>
              <w:left w:val="nil"/>
              <w:bottom w:val="nil"/>
              <w:right w:val="nil"/>
            </w:tcBorders>
            <w:shd w:val="clear" w:color="auto" w:fill="auto"/>
            <w:noWrap/>
            <w:vAlign w:val="center"/>
            <w:hideMark/>
          </w:tcPr>
          <w:p w14:paraId="369AD876"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768 (3.6%)</w:t>
            </w:r>
          </w:p>
        </w:tc>
      </w:tr>
      <w:tr w:rsidR="00F2088B" w:rsidRPr="00591BF6" w14:paraId="331B9691" w14:textId="77777777" w:rsidTr="006F5124">
        <w:trPr>
          <w:trHeight w:val="260"/>
        </w:trPr>
        <w:tc>
          <w:tcPr>
            <w:tcW w:w="1508" w:type="dxa"/>
            <w:tcBorders>
              <w:top w:val="nil"/>
              <w:left w:val="nil"/>
              <w:bottom w:val="nil"/>
              <w:right w:val="nil"/>
            </w:tcBorders>
            <w:shd w:val="clear" w:color="auto" w:fill="auto"/>
            <w:noWrap/>
            <w:vAlign w:val="bottom"/>
            <w:hideMark/>
          </w:tcPr>
          <w:p w14:paraId="538133B2"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1EA91F0A"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59188146"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Intermediate Complexity (T60B)</w:t>
            </w:r>
          </w:p>
        </w:tc>
        <w:tc>
          <w:tcPr>
            <w:tcW w:w="2228" w:type="dxa"/>
            <w:tcBorders>
              <w:top w:val="nil"/>
              <w:left w:val="nil"/>
              <w:bottom w:val="nil"/>
              <w:right w:val="nil"/>
            </w:tcBorders>
            <w:shd w:val="clear" w:color="auto" w:fill="auto"/>
            <w:noWrap/>
            <w:vAlign w:val="center"/>
            <w:hideMark/>
          </w:tcPr>
          <w:p w14:paraId="1C242E94"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682 (3.2%)</w:t>
            </w:r>
          </w:p>
        </w:tc>
      </w:tr>
      <w:tr w:rsidR="00F2088B" w:rsidRPr="00591BF6" w14:paraId="6F843E3F" w14:textId="77777777" w:rsidTr="006F5124">
        <w:trPr>
          <w:trHeight w:val="260"/>
        </w:trPr>
        <w:tc>
          <w:tcPr>
            <w:tcW w:w="1508" w:type="dxa"/>
            <w:tcBorders>
              <w:top w:val="nil"/>
              <w:left w:val="nil"/>
              <w:bottom w:val="nil"/>
              <w:right w:val="nil"/>
            </w:tcBorders>
            <w:shd w:val="clear" w:color="auto" w:fill="auto"/>
            <w:vAlign w:val="bottom"/>
            <w:hideMark/>
          </w:tcPr>
          <w:p w14:paraId="446C185C"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xml:space="preserve">90 days </w:t>
            </w:r>
          </w:p>
        </w:tc>
        <w:tc>
          <w:tcPr>
            <w:tcW w:w="2490" w:type="dxa"/>
            <w:tcBorders>
              <w:top w:val="nil"/>
              <w:left w:val="nil"/>
              <w:bottom w:val="nil"/>
              <w:right w:val="nil"/>
            </w:tcBorders>
            <w:shd w:val="clear" w:color="auto" w:fill="auto"/>
            <w:noWrap/>
            <w:vAlign w:val="bottom"/>
            <w:hideMark/>
          </w:tcPr>
          <w:p w14:paraId="01EF598B"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N</w:t>
            </w:r>
          </w:p>
        </w:tc>
        <w:tc>
          <w:tcPr>
            <w:tcW w:w="5714" w:type="dxa"/>
            <w:tcBorders>
              <w:top w:val="nil"/>
              <w:left w:val="nil"/>
              <w:bottom w:val="nil"/>
              <w:right w:val="nil"/>
            </w:tcBorders>
            <w:shd w:val="clear" w:color="auto" w:fill="auto"/>
            <w:noWrap/>
            <w:vAlign w:val="bottom"/>
            <w:hideMark/>
          </w:tcPr>
          <w:p w14:paraId="564ACDFC"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center"/>
            <w:hideMark/>
          </w:tcPr>
          <w:p w14:paraId="0ECD2800"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28,818</w:t>
            </w:r>
          </w:p>
        </w:tc>
      </w:tr>
      <w:tr w:rsidR="00F2088B" w:rsidRPr="00591BF6" w14:paraId="177498B2" w14:textId="77777777" w:rsidTr="006F5124">
        <w:trPr>
          <w:trHeight w:val="260"/>
        </w:trPr>
        <w:tc>
          <w:tcPr>
            <w:tcW w:w="1508" w:type="dxa"/>
            <w:tcBorders>
              <w:top w:val="nil"/>
              <w:left w:val="nil"/>
              <w:bottom w:val="nil"/>
              <w:right w:val="nil"/>
            </w:tcBorders>
            <w:shd w:val="clear" w:color="auto" w:fill="auto"/>
            <w:noWrap/>
            <w:vAlign w:val="bottom"/>
            <w:hideMark/>
          </w:tcPr>
          <w:p w14:paraId="3F54E435"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36C39FB1"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Principal diagnosis, n(%)</w:t>
            </w:r>
          </w:p>
        </w:tc>
        <w:tc>
          <w:tcPr>
            <w:tcW w:w="5714" w:type="dxa"/>
            <w:tcBorders>
              <w:top w:val="nil"/>
              <w:left w:val="nil"/>
              <w:bottom w:val="nil"/>
              <w:right w:val="nil"/>
            </w:tcBorders>
            <w:shd w:val="clear" w:color="auto" w:fill="auto"/>
            <w:noWrap/>
            <w:vAlign w:val="bottom"/>
            <w:hideMark/>
          </w:tcPr>
          <w:p w14:paraId="09D22C5C"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5EFC7DD7"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441A14AF" w14:textId="77777777" w:rsidTr="006F5124">
        <w:trPr>
          <w:trHeight w:val="260"/>
        </w:trPr>
        <w:tc>
          <w:tcPr>
            <w:tcW w:w="1508" w:type="dxa"/>
            <w:tcBorders>
              <w:top w:val="nil"/>
              <w:left w:val="nil"/>
              <w:bottom w:val="nil"/>
              <w:right w:val="nil"/>
            </w:tcBorders>
            <w:shd w:val="clear" w:color="auto" w:fill="auto"/>
            <w:noWrap/>
            <w:vAlign w:val="bottom"/>
            <w:hideMark/>
          </w:tcPr>
          <w:p w14:paraId="6F12943E"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36CDF57A"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164F12F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Sepsis, unspecified (A419)</w:t>
            </w:r>
          </w:p>
        </w:tc>
        <w:tc>
          <w:tcPr>
            <w:tcW w:w="2228" w:type="dxa"/>
            <w:tcBorders>
              <w:top w:val="nil"/>
              <w:left w:val="nil"/>
              <w:bottom w:val="nil"/>
              <w:right w:val="nil"/>
            </w:tcBorders>
            <w:shd w:val="clear" w:color="auto" w:fill="auto"/>
            <w:noWrap/>
            <w:vAlign w:val="center"/>
            <w:hideMark/>
          </w:tcPr>
          <w:p w14:paraId="7297C97F"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1,368 (4.7%)</w:t>
            </w:r>
          </w:p>
        </w:tc>
      </w:tr>
      <w:tr w:rsidR="00F2088B" w:rsidRPr="00591BF6" w14:paraId="712EA6BF" w14:textId="77777777" w:rsidTr="006F5124">
        <w:trPr>
          <w:trHeight w:val="260"/>
        </w:trPr>
        <w:tc>
          <w:tcPr>
            <w:tcW w:w="1508" w:type="dxa"/>
            <w:tcBorders>
              <w:top w:val="nil"/>
              <w:left w:val="nil"/>
              <w:bottom w:val="nil"/>
              <w:right w:val="nil"/>
            </w:tcBorders>
            <w:shd w:val="clear" w:color="auto" w:fill="auto"/>
            <w:noWrap/>
            <w:vAlign w:val="bottom"/>
            <w:hideMark/>
          </w:tcPr>
          <w:p w14:paraId="379847A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802AA56"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494D9410"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Urinary tract infection, site not specified (N390)</w:t>
            </w:r>
          </w:p>
        </w:tc>
        <w:tc>
          <w:tcPr>
            <w:tcW w:w="2228" w:type="dxa"/>
            <w:tcBorders>
              <w:top w:val="nil"/>
              <w:left w:val="nil"/>
              <w:bottom w:val="nil"/>
              <w:right w:val="nil"/>
            </w:tcBorders>
            <w:shd w:val="clear" w:color="auto" w:fill="auto"/>
            <w:noWrap/>
            <w:vAlign w:val="center"/>
            <w:hideMark/>
          </w:tcPr>
          <w:p w14:paraId="4035F617"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951 (3.3%)</w:t>
            </w:r>
          </w:p>
        </w:tc>
      </w:tr>
      <w:tr w:rsidR="00F2088B" w:rsidRPr="00591BF6" w14:paraId="48283799" w14:textId="77777777" w:rsidTr="006F5124">
        <w:trPr>
          <w:trHeight w:val="260"/>
        </w:trPr>
        <w:tc>
          <w:tcPr>
            <w:tcW w:w="1508" w:type="dxa"/>
            <w:tcBorders>
              <w:top w:val="nil"/>
              <w:left w:val="nil"/>
              <w:bottom w:val="nil"/>
              <w:right w:val="nil"/>
            </w:tcBorders>
            <w:shd w:val="clear" w:color="auto" w:fill="auto"/>
            <w:noWrap/>
            <w:vAlign w:val="bottom"/>
            <w:hideMark/>
          </w:tcPr>
          <w:p w14:paraId="25BFD7C9"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4BC61129"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088D354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Pneumonia, unspecified (J189)</w:t>
            </w:r>
          </w:p>
        </w:tc>
        <w:tc>
          <w:tcPr>
            <w:tcW w:w="2228" w:type="dxa"/>
            <w:tcBorders>
              <w:top w:val="nil"/>
              <w:left w:val="nil"/>
              <w:bottom w:val="nil"/>
              <w:right w:val="nil"/>
            </w:tcBorders>
            <w:shd w:val="clear" w:color="auto" w:fill="auto"/>
            <w:noWrap/>
            <w:vAlign w:val="center"/>
            <w:hideMark/>
          </w:tcPr>
          <w:p w14:paraId="2C40AC8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674 (2.3%)</w:t>
            </w:r>
          </w:p>
        </w:tc>
      </w:tr>
      <w:tr w:rsidR="00F2088B" w:rsidRPr="00591BF6" w14:paraId="54CA9110" w14:textId="77777777" w:rsidTr="006F5124">
        <w:trPr>
          <w:trHeight w:val="260"/>
        </w:trPr>
        <w:tc>
          <w:tcPr>
            <w:tcW w:w="1508" w:type="dxa"/>
            <w:tcBorders>
              <w:top w:val="nil"/>
              <w:left w:val="nil"/>
              <w:bottom w:val="nil"/>
              <w:right w:val="nil"/>
            </w:tcBorders>
            <w:shd w:val="clear" w:color="auto" w:fill="auto"/>
            <w:noWrap/>
            <w:vAlign w:val="bottom"/>
            <w:hideMark/>
          </w:tcPr>
          <w:p w14:paraId="49E9C006"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27787F0C"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Diagnosis Related Group, n(%)</w:t>
            </w:r>
          </w:p>
        </w:tc>
        <w:tc>
          <w:tcPr>
            <w:tcW w:w="5714" w:type="dxa"/>
            <w:tcBorders>
              <w:top w:val="nil"/>
              <w:left w:val="nil"/>
              <w:bottom w:val="nil"/>
              <w:right w:val="nil"/>
            </w:tcBorders>
            <w:shd w:val="clear" w:color="auto" w:fill="auto"/>
            <w:noWrap/>
            <w:vAlign w:val="bottom"/>
            <w:hideMark/>
          </w:tcPr>
          <w:p w14:paraId="54AEB32B"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4D1C6138"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3B234997" w14:textId="77777777" w:rsidTr="006F5124">
        <w:trPr>
          <w:trHeight w:val="260"/>
        </w:trPr>
        <w:tc>
          <w:tcPr>
            <w:tcW w:w="1508" w:type="dxa"/>
            <w:tcBorders>
              <w:top w:val="nil"/>
              <w:left w:val="nil"/>
              <w:bottom w:val="nil"/>
              <w:right w:val="nil"/>
            </w:tcBorders>
            <w:shd w:val="clear" w:color="auto" w:fill="auto"/>
            <w:noWrap/>
            <w:vAlign w:val="bottom"/>
            <w:hideMark/>
          </w:tcPr>
          <w:p w14:paraId="7A2BE5FB"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0122BFDB"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2D26D6C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Respiratory Infections and Inflammations, Major Complexity (E62A)</w:t>
            </w:r>
          </w:p>
        </w:tc>
        <w:tc>
          <w:tcPr>
            <w:tcW w:w="2228" w:type="dxa"/>
            <w:tcBorders>
              <w:top w:val="nil"/>
              <w:left w:val="nil"/>
              <w:bottom w:val="nil"/>
              <w:right w:val="nil"/>
            </w:tcBorders>
            <w:shd w:val="clear" w:color="auto" w:fill="auto"/>
            <w:noWrap/>
            <w:vAlign w:val="center"/>
            <w:hideMark/>
          </w:tcPr>
          <w:p w14:paraId="460B50B0"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1,107 (3.8%)</w:t>
            </w:r>
          </w:p>
        </w:tc>
      </w:tr>
      <w:tr w:rsidR="00F2088B" w:rsidRPr="00591BF6" w14:paraId="01C82AA8" w14:textId="77777777" w:rsidTr="006F5124">
        <w:trPr>
          <w:trHeight w:val="260"/>
        </w:trPr>
        <w:tc>
          <w:tcPr>
            <w:tcW w:w="1508" w:type="dxa"/>
            <w:tcBorders>
              <w:top w:val="nil"/>
              <w:left w:val="nil"/>
              <w:bottom w:val="nil"/>
              <w:right w:val="nil"/>
            </w:tcBorders>
            <w:shd w:val="clear" w:color="auto" w:fill="auto"/>
            <w:noWrap/>
            <w:vAlign w:val="bottom"/>
            <w:hideMark/>
          </w:tcPr>
          <w:p w14:paraId="53CAF953"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2CCBCC55"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216A90E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Kidney and Urinary Tract Infections, Major Complexity (L63A)</w:t>
            </w:r>
          </w:p>
        </w:tc>
        <w:tc>
          <w:tcPr>
            <w:tcW w:w="2228" w:type="dxa"/>
            <w:tcBorders>
              <w:top w:val="nil"/>
              <w:left w:val="nil"/>
              <w:bottom w:val="nil"/>
              <w:right w:val="nil"/>
            </w:tcBorders>
            <w:shd w:val="clear" w:color="auto" w:fill="auto"/>
            <w:noWrap/>
            <w:vAlign w:val="center"/>
            <w:hideMark/>
          </w:tcPr>
          <w:p w14:paraId="1046A8D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881 (3.1%)</w:t>
            </w:r>
          </w:p>
        </w:tc>
      </w:tr>
      <w:tr w:rsidR="00F2088B" w:rsidRPr="00591BF6" w14:paraId="48F16081" w14:textId="77777777" w:rsidTr="006F5124">
        <w:trPr>
          <w:trHeight w:val="260"/>
        </w:trPr>
        <w:tc>
          <w:tcPr>
            <w:tcW w:w="1508" w:type="dxa"/>
            <w:tcBorders>
              <w:top w:val="nil"/>
              <w:left w:val="nil"/>
              <w:bottom w:val="nil"/>
              <w:right w:val="nil"/>
            </w:tcBorders>
            <w:shd w:val="clear" w:color="auto" w:fill="auto"/>
            <w:noWrap/>
            <w:vAlign w:val="bottom"/>
            <w:hideMark/>
          </w:tcPr>
          <w:p w14:paraId="77192DB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1BFCD381"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4D4AC19F"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Major Complexity (T60A)</w:t>
            </w:r>
          </w:p>
        </w:tc>
        <w:tc>
          <w:tcPr>
            <w:tcW w:w="2228" w:type="dxa"/>
            <w:tcBorders>
              <w:top w:val="nil"/>
              <w:left w:val="nil"/>
              <w:bottom w:val="nil"/>
              <w:right w:val="nil"/>
            </w:tcBorders>
            <w:shd w:val="clear" w:color="auto" w:fill="auto"/>
            <w:noWrap/>
            <w:vAlign w:val="center"/>
            <w:hideMark/>
          </w:tcPr>
          <w:p w14:paraId="47F2CEB9"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861 (3.0%)</w:t>
            </w:r>
          </w:p>
        </w:tc>
      </w:tr>
      <w:tr w:rsidR="00F2088B" w:rsidRPr="00591BF6" w14:paraId="50E3A3AB" w14:textId="77777777" w:rsidTr="006F5124">
        <w:trPr>
          <w:trHeight w:val="260"/>
        </w:trPr>
        <w:tc>
          <w:tcPr>
            <w:tcW w:w="1508" w:type="dxa"/>
            <w:tcBorders>
              <w:top w:val="nil"/>
              <w:left w:val="nil"/>
              <w:bottom w:val="nil"/>
              <w:right w:val="nil"/>
            </w:tcBorders>
            <w:shd w:val="clear" w:color="auto" w:fill="auto"/>
            <w:vAlign w:val="bottom"/>
            <w:hideMark/>
          </w:tcPr>
          <w:p w14:paraId="6F1011C6" w14:textId="77777777" w:rsidR="00F2088B" w:rsidRPr="00591BF6" w:rsidRDefault="00F2088B" w:rsidP="006F5124">
            <w:pPr>
              <w:keepNext/>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xml:space="preserve">120 days </w:t>
            </w:r>
          </w:p>
        </w:tc>
        <w:tc>
          <w:tcPr>
            <w:tcW w:w="2490" w:type="dxa"/>
            <w:tcBorders>
              <w:top w:val="nil"/>
              <w:left w:val="nil"/>
              <w:bottom w:val="nil"/>
              <w:right w:val="nil"/>
            </w:tcBorders>
            <w:shd w:val="clear" w:color="auto" w:fill="auto"/>
            <w:noWrap/>
            <w:vAlign w:val="bottom"/>
            <w:hideMark/>
          </w:tcPr>
          <w:p w14:paraId="5686BBC2" w14:textId="77777777" w:rsidR="00F2088B" w:rsidRPr="00591BF6" w:rsidRDefault="00F2088B" w:rsidP="006F5124">
            <w:pPr>
              <w:keepNext/>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N</w:t>
            </w:r>
          </w:p>
        </w:tc>
        <w:tc>
          <w:tcPr>
            <w:tcW w:w="5714" w:type="dxa"/>
            <w:tcBorders>
              <w:top w:val="nil"/>
              <w:left w:val="nil"/>
              <w:bottom w:val="nil"/>
              <w:right w:val="nil"/>
            </w:tcBorders>
            <w:shd w:val="clear" w:color="auto" w:fill="auto"/>
            <w:noWrap/>
            <w:vAlign w:val="bottom"/>
            <w:hideMark/>
          </w:tcPr>
          <w:p w14:paraId="09DDF1CC" w14:textId="77777777" w:rsidR="00F2088B" w:rsidRPr="00591BF6" w:rsidRDefault="00F2088B" w:rsidP="006F5124">
            <w:pPr>
              <w:keepNext/>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center"/>
            <w:hideMark/>
          </w:tcPr>
          <w:p w14:paraId="2291DD4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30,884</w:t>
            </w:r>
          </w:p>
        </w:tc>
      </w:tr>
      <w:tr w:rsidR="00F2088B" w:rsidRPr="00591BF6" w14:paraId="37AFCEFB" w14:textId="77777777" w:rsidTr="006F5124">
        <w:trPr>
          <w:trHeight w:val="260"/>
        </w:trPr>
        <w:tc>
          <w:tcPr>
            <w:tcW w:w="1508" w:type="dxa"/>
            <w:tcBorders>
              <w:top w:val="nil"/>
              <w:left w:val="nil"/>
              <w:bottom w:val="nil"/>
              <w:right w:val="nil"/>
            </w:tcBorders>
            <w:shd w:val="clear" w:color="auto" w:fill="auto"/>
            <w:noWrap/>
            <w:vAlign w:val="bottom"/>
            <w:hideMark/>
          </w:tcPr>
          <w:p w14:paraId="480AC903" w14:textId="77777777" w:rsidR="00F2088B" w:rsidRPr="00591BF6" w:rsidRDefault="00F2088B" w:rsidP="006F5124">
            <w:pPr>
              <w:keepNext/>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0CE5586" w14:textId="77777777" w:rsidR="00F2088B" w:rsidRPr="00591BF6" w:rsidRDefault="00F2088B" w:rsidP="006F5124">
            <w:pPr>
              <w:keepNext/>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Principal diagnosis, n(%)</w:t>
            </w:r>
          </w:p>
        </w:tc>
        <w:tc>
          <w:tcPr>
            <w:tcW w:w="5714" w:type="dxa"/>
            <w:tcBorders>
              <w:top w:val="nil"/>
              <w:left w:val="nil"/>
              <w:bottom w:val="nil"/>
              <w:right w:val="nil"/>
            </w:tcBorders>
            <w:shd w:val="clear" w:color="auto" w:fill="auto"/>
            <w:noWrap/>
            <w:vAlign w:val="bottom"/>
            <w:hideMark/>
          </w:tcPr>
          <w:p w14:paraId="66B3E2EC" w14:textId="77777777" w:rsidR="00F2088B" w:rsidRPr="00591BF6" w:rsidRDefault="00F2088B" w:rsidP="006F5124">
            <w:pPr>
              <w:keepNext/>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1E15717F"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20A3052F" w14:textId="77777777" w:rsidTr="006F5124">
        <w:trPr>
          <w:trHeight w:val="260"/>
        </w:trPr>
        <w:tc>
          <w:tcPr>
            <w:tcW w:w="1508" w:type="dxa"/>
            <w:tcBorders>
              <w:top w:val="nil"/>
              <w:left w:val="nil"/>
              <w:bottom w:val="nil"/>
              <w:right w:val="nil"/>
            </w:tcBorders>
            <w:shd w:val="clear" w:color="auto" w:fill="auto"/>
            <w:noWrap/>
            <w:vAlign w:val="bottom"/>
            <w:hideMark/>
          </w:tcPr>
          <w:p w14:paraId="6EA455B6"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317921DA"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0F14700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Sepsis, unspecified (A419)</w:t>
            </w:r>
          </w:p>
        </w:tc>
        <w:tc>
          <w:tcPr>
            <w:tcW w:w="2228" w:type="dxa"/>
            <w:tcBorders>
              <w:top w:val="nil"/>
              <w:left w:val="nil"/>
              <w:bottom w:val="nil"/>
              <w:right w:val="nil"/>
            </w:tcBorders>
            <w:shd w:val="clear" w:color="auto" w:fill="auto"/>
            <w:noWrap/>
            <w:vAlign w:val="center"/>
            <w:hideMark/>
          </w:tcPr>
          <w:p w14:paraId="1E1B83FB"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1,410 (4.6%)</w:t>
            </w:r>
          </w:p>
        </w:tc>
      </w:tr>
      <w:tr w:rsidR="00F2088B" w:rsidRPr="00591BF6" w14:paraId="018D819A" w14:textId="77777777" w:rsidTr="006F5124">
        <w:trPr>
          <w:trHeight w:val="260"/>
        </w:trPr>
        <w:tc>
          <w:tcPr>
            <w:tcW w:w="1508" w:type="dxa"/>
            <w:tcBorders>
              <w:top w:val="nil"/>
              <w:left w:val="nil"/>
              <w:bottom w:val="nil"/>
              <w:right w:val="nil"/>
            </w:tcBorders>
            <w:shd w:val="clear" w:color="auto" w:fill="auto"/>
            <w:noWrap/>
            <w:vAlign w:val="bottom"/>
            <w:hideMark/>
          </w:tcPr>
          <w:p w14:paraId="290A9D1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173A2E7D"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2E1639CB"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Urinary tract infection, site not specified (N390)</w:t>
            </w:r>
          </w:p>
        </w:tc>
        <w:tc>
          <w:tcPr>
            <w:tcW w:w="2228" w:type="dxa"/>
            <w:tcBorders>
              <w:top w:val="nil"/>
              <w:left w:val="nil"/>
              <w:bottom w:val="nil"/>
              <w:right w:val="nil"/>
            </w:tcBorders>
            <w:shd w:val="clear" w:color="auto" w:fill="auto"/>
            <w:noWrap/>
            <w:vAlign w:val="center"/>
            <w:hideMark/>
          </w:tcPr>
          <w:p w14:paraId="25B3E60F"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1,030 (3.3%)</w:t>
            </w:r>
          </w:p>
        </w:tc>
      </w:tr>
      <w:tr w:rsidR="00F2088B" w:rsidRPr="00591BF6" w14:paraId="30F2A4BA" w14:textId="77777777" w:rsidTr="006F5124">
        <w:trPr>
          <w:trHeight w:val="260"/>
        </w:trPr>
        <w:tc>
          <w:tcPr>
            <w:tcW w:w="1508" w:type="dxa"/>
            <w:tcBorders>
              <w:top w:val="nil"/>
              <w:left w:val="nil"/>
              <w:bottom w:val="nil"/>
              <w:right w:val="nil"/>
            </w:tcBorders>
            <w:shd w:val="clear" w:color="auto" w:fill="auto"/>
            <w:noWrap/>
            <w:vAlign w:val="bottom"/>
            <w:hideMark/>
          </w:tcPr>
          <w:p w14:paraId="2CB1B49B"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386A78F9"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67AFC58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Pneumonia, unspecified (J189)</w:t>
            </w:r>
          </w:p>
        </w:tc>
        <w:tc>
          <w:tcPr>
            <w:tcW w:w="2228" w:type="dxa"/>
            <w:tcBorders>
              <w:top w:val="nil"/>
              <w:left w:val="nil"/>
              <w:bottom w:val="nil"/>
              <w:right w:val="nil"/>
            </w:tcBorders>
            <w:shd w:val="clear" w:color="auto" w:fill="auto"/>
            <w:noWrap/>
            <w:vAlign w:val="center"/>
            <w:hideMark/>
          </w:tcPr>
          <w:p w14:paraId="5D3AB9B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724 (2.3%)</w:t>
            </w:r>
          </w:p>
        </w:tc>
      </w:tr>
      <w:tr w:rsidR="00F2088B" w:rsidRPr="00591BF6" w14:paraId="2904D3E0" w14:textId="77777777" w:rsidTr="006F5124">
        <w:trPr>
          <w:trHeight w:val="260"/>
        </w:trPr>
        <w:tc>
          <w:tcPr>
            <w:tcW w:w="1508" w:type="dxa"/>
            <w:tcBorders>
              <w:top w:val="nil"/>
              <w:left w:val="nil"/>
              <w:bottom w:val="nil"/>
              <w:right w:val="nil"/>
            </w:tcBorders>
            <w:shd w:val="clear" w:color="auto" w:fill="auto"/>
            <w:noWrap/>
            <w:vAlign w:val="bottom"/>
            <w:hideMark/>
          </w:tcPr>
          <w:p w14:paraId="67A63CD9"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F794365"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Diagnosis Related Group, n(%)</w:t>
            </w:r>
          </w:p>
        </w:tc>
        <w:tc>
          <w:tcPr>
            <w:tcW w:w="5714" w:type="dxa"/>
            <w:tcBorders>
              <w:top w:val="nil"/>
              <w:left w:val="nil"/>
              <w:bottom w:val="nil"/>
              <w:right w:val="nil"/>
            </w:tcBorders>
            <w:shd w:val="clear" w:color="auto" w:fill="auto"/>
            <w:noWrap/>
            <w:vAlign w:val="bottom"/>
            <w:hideMark/>
          </w:tcPr>
          <w:p w14:paraId="1A1B6F7B"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299089D7"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56CBF3E1" w14:textId="77777777" w:rsidTr="006F5124">
        <w:trPr>
          <w:trHeight w:val="260"/>
        </w:trPr>
        <w:tc>
          <w:tcPr>
            <w:tcW w:w="1508" w:type="dxa"/>
            <w:tcBorders>
              <w:top w:val="nil"/>
              <w:left w:val="nil"/>
              <w:bottom w:val="nil"/>
              <w:right w:val="nil"/>
            </w:tcBorders>
            <w:shd w:val="clear" w:color="auto" w:fill="auto"/>
            <w:noWrap/>
            <w:vAlign w:val="bottom"/>
            <w:hideMark/>
          </w:tcPr>
          <w:p w14:paraId="3940F8E4"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0C99055E"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656FA603"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Respiratory Infections and Inflammations, Major Complexity (E62A)</w:t>
            </w:r>
          </w:p>
        </w:tc>
        <w:tc>
          <w:tcPr>
            <w:tcW w:w="2228" w:type="dxa"/>
            <w:tcBorders>
              <w:top w:val="nil"/>
              <w:left w:val="nil"/>
              <w:bottom w:val="nil"/>
              <w:right w:val="nil"/>
            </w:tcBorders>
            <w:shd w:val="clear" w:color="auto" w:fill="auto"/>
            <w:noWrap/>
            <w:vAlign w:val="center"/>
            <w:hideMark/>
          </w:tcPr>
          <w:p w14:paraId="0740AA25"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1,180 (3.8%)</w:t>
            </w:r>
          </w:p>
        </w:tc>
      </w:tr>
      <w:tr w:rsidR="00F2088B" w:rsidRPr="00591BF6" w14:paraId="1E23A8A9" w14:textId="77777777" w:rsidTr="006F5124">
        <w:trPr>
          <w:trHeight w:val="260"/>
        </w:trPr>
        <w:tc>
          <w:tcPr>
            <w:tcW w:w="1508" w:type="dxa"/>
            <w:tcBorders>
              <w:top w:val="nil"/>
              <w:left w:val="nil"/>
              <w:bottom w:val="nil"/>
              <w:right w:val="nil"/>
            </w:tcBorders>
            <w:shd w:val="clear" w:color="auto" w:fill="auto"/>
            <w:noWrap/>
            <w:vAlign w:val="bottom"/>
            <w:hideMark/>
          </w:tcPr>
          <w:p w14:paraId="6957DF8B"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B27CB68"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70B354E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Kidney and Urinary Tract Infections, Major Complexity (L63A)</w:t>
            </w:r>
          </w:p>
        </w:tc>
        <w:tc>
          <w:tcPr>
            <w:tcW w:w="2228" w:type="dxa"/>
            <w:tcBorders>
              <w:top w:val="nil"/>
              <w:left w:val="nil"/>
              <w:bottom w:val="nil"/>
              <w:right w:val="nil"/>
            </w:tcBorders>
            <w:shd w:val="clear" w:color="auto" w:fill="auto"/>
            <w:noWrap/>
            <w:vAlign w:val="center"/>
            <w:hideMark/>
          </w:tcPr>
          <w:p w14:paraId="2ACD3980"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943 (3.1%)</w:t>
            </w:r>
          </w:p>
        </w:tc>
      </w:tr>
      <w:tr w:rsidR="00F2088B" w:rsidRPr="00591BF6" w14:paraId="3D600072" w14:textId="77777777" w:rsidTr="006F5124">
        <w:trPr>
          <w:trHeight w:val="260"/>
        </w:trPr>
        <w:tc>
          <w:tcPr>
            <w:tcW w:w="1508" w:type="dxa"/>
            <w:tcBorders>
              <w:top w:val="nil"/>
              <w:left w:val="nil"/>
              <w:bottom w:val="nil"/>
              <w:right w:val="nil"/>
            </w:tcBorders>
            <w:shd w:val="clear" w:color="auto" w:fill="auto"/>
            <w:noWrap/>
            <w:vAlign w:val="bottom"/>
            <w:hideMark/>
          </w:tcPr>
          <w:p w14:paraId="590A27F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75AC475B"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6D3A6E55"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Major Complexity (T60A)</w:t>
            </w:r>
          </w:p>
        </w:tc>
        <w:tc>
          <w:tcPr>
            <w:tcW w:w="2228" w:type="dxa"/>
            <w:tcBorders>
              <w:top w:val="nil"/>
              <w:left w:val="nil"/>
              <w:bottom w:val="nil"/>
              <w:right w:val="nil"/>
            </w:tcBorders>
            <w:shd w:val="clear" w:color="auto" w:fill="auto"/>
            <w:noWrap/>
            <w:vAlign w:val="center"/>
            <w:hideMark/>
          </w:tcPr>
          <w:p w14:paraId="75A7B1E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883 (2.9%)</w:t>
            </w:r>
          </w:p>
        </w:tc>
      </w:tr>
      <w:tr w:rsidR="00F2088B" w:rsidRPr="00591BF6" w14:paraId="4E5B8CF8" w14:textId="77777777" w:rsidTr="006F5124">
        <w:trPr>
          <w:trHeight w:val="260"/>
        </w:trPr>
        <w:tc>
          <w:tcPr>
            <w:tcW w:w="1508" w:type="dxa"/>
            <w:tcBorders>
              <w:top w:val="nil"/>
              <w:left w:val="nil"/>
              <w:bottom w:val="nil"/>
              <w:right w:val="nil"/>
            </w:tcBorders>
            <w:shd w:val="clear" w:color="auto" w:fill="auto"/>
            <w:vAlign w:val="bottom"/>
            <w:hideMark/>
          </w:tcPr>
          <w:p w14:paraId="26FDEB0F"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xml:space="preserve">365 days </w:t>
            </w:r>
          </w:p>
        </w:tc>
        <w:tc>
          <w:tcPr>
            <w:tcW w:w="2490" w:type="dxa"/>
            <w:tcBorders>
              <w:top w:val="nil"/>
              <w:left w:val="nil"/>
              <w:bottom w:val="nil"/>
              <w:right w:val="nil"/>
            </w:tcBorders>
            <w:shd w:val="clear" w:color="auto" w:fill="auto"/>
            <w:noWrap/>
            <w:vAlign w:val="bottom"/>
            <w:hideMark/>
          </w:tcPr>
          <w:p w14:paraId="762F6986"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N</w:t>
            </w:r>
          </w:p>
        </w:tc>
        <w:tc>
          <w:tcPr>
            <w:tcW w:w="5714" w:type="dxa"/>
            <w:tcBorders>
              <w:top w:val="nil"/>
              <w:left w:val="nil"/>
              <w:bottom w:val="nil"/>
              <w:right w:val="nil"/>
            </w:tcBorders>
            <w:shd w:val="clear" w:color="auto" w:fill="auto"/>
            <w:noWrap/>
            <w:vAlign w:val="bottom"/>
            <w:hideMark/>
          </w:tcPr>
          <w:p w14:paraId="13F03A09"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center"/>
            <w:hideMark/>
          </w:tcPr>
          <w:p w14:paraId="01EF249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39,225</w:t>
            </w:r>
          </w:p>
        </w:tc>
      </w:tr>
      <w:tr w:rsidR="00F2088B" w:rsidRPr="00591BF6" w14:paraId="4739F332" w14:textId="77777777" w:rsidTr="006F5124">
        <w:trPr>
          <w:trHeight w:val="260"/>
        </w:trPr>
        <w:tc>
          <w:tcPr>
            <w:tcW w:w="1508" w:type="dxa"/>
            <w:tcBorders>
              <w:top w:val="nil"/>
              <w:left w:val="nil"/>
              <w:bottom w:val="nil"/>
              <w:right w:val="nil"/>
            </w:tcBorders>
            <w:shd w:val="clear" w:color="auto" w:fill="auto"/>
            <w:noWrap/>
            <w:vAlign w:val="bottom"/>
            <w:hideMark/>
          </w:tcPr>
          <w:p w14:paraId="293BF75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7C8B9425"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Principal diagnosis, n(%)</w:t>
            </w:r>
          </w:p>
        </w:tc>
        <w:tc>
          <w:tcPr>
            <w:tcW w:w="5714" w:type="dxa"/>
            <w:tcBorders>
              <w:top w:val="nil"/>
              <w:left w:val="nil"/>
              <w:bottom w:val="nil"/>
              <w:right w:val="nil"/>
            </w:tcBorders>
            <w:shd w:val="clear" w:color="auto" w:fill="auto"/>
            <w:noWrap/>
            <w:vAlign w:val="bottom"/>
            <w:hideMark/>
          </w:tcPr>
          <w:p w14:paraId="11BF58B7"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74BB0EF6"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1F62EB3F" w14:textId="77777777" w:rsidTr="006F5124">
        <w:trPr>
          <w:trHeight w:val="260"/>
        </w:trPr>
        <w:tc>
          <w:tcPr>
            <w:tcW w:w="1508" w:type="dxa"/>
            <w:tcBorders>
              <w:top w:val="nil"/>
              <w:left w:val="nil"/>
              <w:bottom w:val="nil"/>
              <w:right w:val="nil"/>
            </w:tcBorders>
            <w:shd w:val="clear" w:color="auto" w:fill="auto"/>
            <w:noWrap/>
            <w:vAlign w:val="bottom"/>
            <w:hideMark/>
          </w:tcPr>
          <w:p w14:paraId="15339A83"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77BB42CB"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65FE503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Sepsis, unspecified (A419)</w:t>
            </w:r>
          </w:p>
        </w:tc>
        <w:tc>
          <w:tcPr>
            <w:tcW w:w="2228" w:type="dxa"/>
            <w:tcBorders>
              <w:top w:val="nil"/>
              <w:left w:val="nil"/>
              <w:bottom w:val="nil"/>
              <w:right w:val="nil"/>
            </w:tcBorders>
            <w:shd w:val="clear" w:color="auto" w:fill="auto"/>
            <w:noWrap/>
            <w:vAlign w:val="center"/>
            <w:hideMark/>
          </w:tcPr>
          <w:p w14:paraId="68585287"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1,578 (4.0%)</w:t>
            </w:r>
          </w:p>
        </w:tc>
      </w:tr>
      <w:tr w:rsidR="00F2088B" w:rsidRPr="00591BF6" w14:paraId="111763CC" w14:textId="77777777" w:rsidTr="006F5124">
        <w:trPr>
          <w:trHeight w:val="260"/>
        </w:trPr>
        <w:tc>
          <w:tcPr>
            <w:tcW w:w="1508" w:type="dxa"/>
            <w:tcBorders>
              <w:top w:val="nil"/>
              <w:left w:val="nil"/>
              <w:bottom w:val="nil"/>
              <w:right w:val="nil"/>
            </w:tcBorders>
            <w:shd w:val="clear" w:color="auto" w:fill="auto"/>
            <w:noWrap/>
            <w:vAlign w:val="bottom"/>
            <w:hideMark/>
          </w:tcPr>
          <w:p w14:paraId="30E7A070"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4102A647"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1DB1D779"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Urinary tract infection, site not specified (N390)</w:t>
            </w:r>
          </w:p>
        </w:tc>
        <w:tc>
          <w:tcPr>
            <w:tcW w:w="2228" w:type="dxa"/>
            <w:tcBorders>
              <w:top w:val="nil"/>
              <w:left w:val="nil"/>
              <w:bottom w:val="nil"/>
              <w:right w:val="nil"/>
            </w:tcBorders>
            <w:shd w:val="clear" w:color="auto" w:fill="auto"/>
            <w:noWrap/>
            <w:vAlign w:val="center"/>
            <w:hideMark/>
          </w:tcPr>
          <w:p w14:paraId="4AA40317"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1,372 (3.5%)</w:t>
            </w:r>
          </w:p>
        </w:tc>
      </w:tr>
      <w:tr w:rsidR="00F2088B" w:rsidRPr="00591BF6" w14:paraId="3E09998C" w14:textId="77777777" w:rsidTr="006F5124">
        <w:trPr>
          <w:trHeight w:val="260"/>
        </w:trPr>
        <w:tc>
          <w:tcPr>
            <w:tcW w:w="1508" w:type="dxa"/>
            <w:tcBorders>
              <w:top w:val="nil"/>
              <w:left w:val="nil"/>
              <w:bottom w:val="nil"/>
              <w:right w:val="nil"/>
            </w:tcBorders>
            <w:shd w:val="clear" w:color="auto" w:fill="auto"/>
            <w:noWrap/>
            <w:vAlign w:val="bottom"/>
            <w:hideMark/>
          </w:tcPr>
          <w:p w14:paraId="495C45C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73EEA841"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25B9BD33"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Pneumonia, unspecified (J189)</w:t>
            </w:r>
          </w:p>
        </w:tc>
        <w:tc>
          <w:tcPr>
            <w:tcW w:w="2228" w:type="dxa"/>
            <w:tcBorders>
              <w:top w:val="nil"/>
              <w:left w:val="nil"/>
              <w:bottom w:val="nil"/>
              <w:right w:val="nil"/>
            </w:tcBorders>
            <w:shd w:val="clear" w:color="auto" w:fill="auto"/>
            <w:noWrap/>
            <w:vAlign w:val="center"/>
            <w:hideMark/>
          </w:tcPr>
          <w:p w14:paraId="619C237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929 (2.4%)</w:t>
            </w:r>
          </w:p>
        </w:tc>
      </w:tr>
      <w:tr w:rsidR="00F2088B" w:rsidRPr="00591BF6" w14:paraId="6FB11843" w14:textId="77777777" w:rsidTr="006F5124">
        <w:trPr>
          <w:trHeight w:val="260"/>
        </w:trPr>
        <w:tc>
          <w:tcPr>
            <w:tcW w:w="1508" w:type="dxa"/>
            <w:tcBorders>
              <w:top w:val="nil"/>
              <w:left w:val="nil"/>
              <w:bottom w:val="nil"/>
              <w:right w:val="nil"/>
            </w:tcBorders>
            <w:shd w:val="clear" w:color="auto" w:fill="auto"/>
            <w:noWrap/>
            <w:vAlign w:val="bottom"/>
            <w:hideMark/>
          </w:tcPr>
          <w:p w14:paraId="1154595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6BF525E4"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Diagnosis Related Group, n(%)</w:t>
            </w:r>
          </w:p>
        </w:tc>
        <w:tc>
          <w:tcPr>
            <w:tcW w:w="5714" w:type="dxa"/>
            <w:tcBorders>
              <w:top w:val="nil"/>
              <w:left w:val="nil"/>
              <w:bottom w:val="nil"/>
              <w:right w:val="nil"/>
            </w:tcBorders>
            <w:shd w:val="clear" w:color="auto" w:fill="auto"/>
            <w:noWrap/>
            <w:vAlign w:val="bottom"/>
            <w:hideMark/>
          </w:tcPr>
          <w:p w14:paraId="36BB8541"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p>
        </w:tc>
        <w:tc>
          <w:tcPr>
            <w:tcW w:w="2228" w:type="dxa"/>
            <w:tcBorders>
              <w:top w:val="nil"/>
              <w:left w:val="nil"/>
              <w:bottom w:val="nil"/>
              <w:right w:val="nil"/>
            </w:tcBorders>
            <w:shd w:val="clear" w:color="auto" w:fill="auto"/>
            <w:noWrap/>
            <w:vAlign w:val="bottom"/>
            <w:hideMark/>
          </w:tcPr>
          <w:p w14:paraId="52F3D7F8"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r>
      <w:tr w:rsidR="00F2088B" w:rsidRPr="00591BF6" w14:paraId="528493B0" w14:textId="77777777" w:rsidTr="006F5124">
        <w:trPr>
          <w:trHeight w:val="260"/>
        </w:trPr>
        <w:tc>
          <w:tcPr>
            <w:tcW w:w="1508" w:type="dxa"/>
            <w:tcBorders>
              <w:top w:val="nil"/>
              <w:left w:val="nil"/>
              <w:bottom w:val="nil"/>
              <w:right w:val="nil"/>
            </w:tcBorders>
            <w:shd w:val="clear" w:color="auto" w:fill="auto"/>
            <w:noWrap/>
            <w:vAlign w:val="bottom"/>
            <w:hideMark/>
          </w:tcPr>
          <w:p w14:paraId="77FCB401" w14:textId="77777777" w:rsidR="00F2088B" w:rsidRPr="00591BF6" w:rsidRDefault="00F2088B" w:rsidP="006F5124">
            <w:pPr>
              <w:spacing w:after="0" w:line="240" w:lineRule="auto"/>
              <w:jc w:val="right"/>
              <w:rPr>
                <w:rFonts w:ascii="Times New Roman" w:eastAsia="Times New Roman" w:hAnsi="Times New Roman"/>
                <w:color w:val="auto"/>
                <w:sz w:val="20"/>
                <w:szCs w:val="20"/>
                <w:lang w:eastAsia="en-AU"/>
              </w:rPr>
            </w:pPr>
          </w:p>
        </w:tc>
        <w:tc>
          <w:tcPr>
            <w:tcW w:w="2490" w:type="dxa"/>
            <w:tcBorders>
              <w:top w:val="nil"/>
              <w:left w:val="nil"/>
              <w:bottom w:val="nil"/>
              <w:right w:val="nil"/>
            </w:tcBorders>
            <w:shd w:val="clear" w:color="auto" w:fill="auto"/>
            <w:noWrap/>
            <w:vAlign w:val="bottom"/>
            <w:hideMark/>
          </w:tcPr>
          <w:p w14:paraId="34927955"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72458C2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Respiratory Infections and Inflammations, Major Complexity (E62A)</w:t>
            </w:r>
          </w:p>
        </w:tc>
        <w:tc>
          <w:tcPr>
            <w:tcW w:w="2228" w:type="dxa"/>
            <w:tcBorders>
              <w:top w:val="nil"/>
              <w:left w:val="nil"/>
              <w:bottom w:val="nil"/>
              <w:right w:val="nil"/>
            </w:tcBorders>
            <w:shd w:val="clear" w:color="auto" w:fill="auto"/>
            <w:noWrap/>
            <w:vAlign w:val="center"/>
            <w:hideMark/>
          </w:tcPr>
          <w:p w14:paraId="711F22BD"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1,472 (3.8%)</w:t>
            </w:r>
          </w:p>
        </w:tc>
      </w:tr>
      <w:tr w:rsidR="00F2088B" w:rsidRPr="00591BF6" w14:paraId="4CC15068" w14:textId="77777777" w:rsidTr="006F5124">
        <w:trPr>
          <w:trHeight w:val="260"/>
        </w:trPr>
        <w:tc>
          <w:tcPr>
            <w:tcW w:w="1508" w:type="dxa"/>
            <w:tcBorders>
              <w:top w:val="nil"/>
              <w:left w:val="nil"/>
              <w:bottom w:val="nil"/>
              <w:right w:val="nil"/>
            </w:tcBorders>
            <w:shd w:val="clear" w:color="auto" w:fill="auto"/>
            <w:noWrap/>
            <w:vAlign w:val="bottom"/>
            <w:hideMark/>
          </w:tcPr>
          <w:p w14:paraId="4322977C"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211A5401"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0A1569AE"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Kidney and Urinary Tract Infections, Major Complexity (L63A)</w:t>
            </w:r>
          </w:p>
        </w:tc>
        <w:tc>
          <w:tcPr>
            <w:tcW w:w="2228" w:type="dxa"/>
            <w:tcBorders>
              <w:top w:val="nil"/>
              <w:left w:val="nil"/>
              <w:bottom w:val="nil"/>
              <w:right w:val="nil"/>
            </w:tcBorders>
            <w:shd w:val="clear" w:color="auto" w:fill="auto"/>
            <w:noWrap/>
            <w:vAlign w:val="center"/>
            <w:hideMark/>
          </w:tcPr>
          <w:p w14:paraId="7283FE57"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1,201 (3.1%)</w:t>
            </w:r>
          </w:p>
        </w:tc>
      </w:tr>
      <w:tr w:rsidR="00F2088B" w:rsidRPr="00591BF6" w14:paraId="7A73CA42" w14:textId="77777777" w:rsidTr="006F5124">
        <w:trPr>
          <w:trHeight w:val="260"/>
        </w:trPr>
        <w:tc>
          <w:tcPr>
            <w:tcW w:w="1508" w:type="dxa"/>
            <w:tcBorders>
              <w:top w:val="nil"/>
              <w:left w:val="nil"/>
              <w:bottom w:val="nil"/>
              <w:right w:val="nil"/>
            </w:tcBorders>
            <w:shd w:val="clear" w:color="auto" w:fill="auto"/>
            <w:noWrap/>
            <w:vAlign w:val="bottom"/>
            <w:hideMark/>
          </w:tcPr>
          <w:p w14:paraId="2F3688E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p>
        </w:tc>
        <w:tc>
          <w:tcPr>
            <w:tcW w:w="2490" w:type="dxa"/>
            <w:tcBorders>
              <w:top w:val="nil"/>
              <w:left w:val="nil"/>
              <w:bottom w:val="nil"/>
              <w:right w:val="nil"/>
            </w:tcBorders>
            <w:shd w:val="clear" w:color="auto" w:fill="auto"/>
            <w:noWrap/>
            <w:vAlign w:val="bottom"/>
            <w:hideMark/>
          </w:tcPr>
          <w:p w14:paraId="5A2F3865" w14:textId="77777777" w:rsidR="00F2088B" w:rsidRPr="00591BF6" w:rsidRDefault="00F2088B" w:rsidP="006F5124">
            <w:pPr>
              <w:spacing w:after="0" w:line="240" w:lineRule="auto"/>
              <w:rPr>
                <w:rFonts w:ascii="Times New Roman" w:eastAsia="Times New Roman" w:hAnsi="Times New Roman"/>
                <w:color w:val="auto"/>
                <w:sz w:val="20"/>
                <w:szCs w:val="20"/>
                <w:lang w:eastAsia="en-AU"/>
              </w:rPr>
            </w:pPr>
          </w:p>
        </w:tc>
        <w:tc>
          <w:tcPr>
            <w:tcW w:w="5714" w:type="dxa"/>
            <w:tcBorders>
              <w:top w:val="nil"/>
              <w:left w:val="nil"/>
              <w:bottom w:val="nil"/>
              <w:right w:val="nil"/>
            </w:tcBorders>
            <w:shd w:val="clear" w:color="auto" w:fill="auto"/>
            <w:noWrap/>
            <w:vAlign w:val="bottom"/>
            <w:hideMark/>
          </w:tcPr>
          <w:p w14:paraId="60936E27"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Septicaemia, Major Complexity (T60A)</w:t>
            </w:r>
          </w:p>
        </w:tc>
        <w:tc>
          <w:tcPr>
            <w:tcW w:w="2228" w:type="dxa"/>
            <w:tcBorders>
              <w:top w:val="nil"/>
              <w:left w:val="nil"/>
              <w:bottom w:val="nil"/>
              <w:right w:val="nil"/>
            </w:tcBorders>
            <w:shd w:val="clear" w:color="auto" w:fill="auto"/>
            <w:noWrap/>
            <w:vAlign w:val="center"/>
            <w:hideMark/>
          </w:tcPr>
          <w:p w14:paraId="12F5CADA"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953 (2.4%)</w:t>
            </w:r>
          </w:p>
        </w:tc>
      </w:tr>
      <w:tr w:rsidR="00F2088B" w:rsidRPr="00591BF6" w14:paraId="16A5B8AC" w14:textId="77777777" w:rsidTr="006F5124">
        <w:trPr>
          <w:trHeight w:val="260"/>
        </w:trPr>
        <w:tc>
          <w:tcPr>
            <w:tcW w:w="1508" w:type="dxa"/>
            <w:tcBorders>
              <w:top w:val="nil"/>
              <w:left w:val="nil"/>
              <w:bottom w:val="single" w:sz="4" w:space="0" w:color="auto"/>
              <w:right w:val="nil"/>
            </w:tcBorders>
            <w:shd w:val="clear" w:color="auto" w:fill="auto"/>
            <w:noWrap/>
            <w:vAlign w:val="bottom"/>
            <w:hideMark/>
          </w:tcPr>
          <w:p w14:paraId="4723479A"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w:t>
            </w:r>
          </w:p>
        </w:tc>
        <w:tc>
          <w:tcPr>
            <w:tcW w:w="2490" w:type="dxa"/>
            <w:tcBorders>
              <w:top w:val="nil"/>
              <w:left w:val="nil"/>
              <w:bottom w:val="single" w:sz="4" w:space="0" w:color="auto"/>
              <w:right w:val="nil"/>
            </w:tcBorders>
            <w:shd w:val="clear" w:color="auto" w:fill="auto"/>
            <w:noWrap/>
            <w:vAlign w:val="bottom"/>
            <w:hideMark/>
          </w:tcPr>
          <w:p w14:paraId="2F7EC214" w14:textId="77777777" w:rsidR="00F2088B" w:rsidRPr="00591BF6" w:rsidRDefault="00F2088B" w:rsidP="006F5124">
            <w:pPr>
              <w:spacing w:after="0" w:line="240" w:lineRule="auto"/>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w:t>
            </w:r>
          </w:p>
        </w:tc>
        <w:tc>
          <w:tcPr>
            <w:tcW w:w="5714" w:type="dxa"/>
            <w:tcBorders>
              <w:top w:val="nil"/>
              <w:left w:val="nil"/>
              <w:bottom w:val="single" w:sz="4" w:space="0" w:color="auto"/>
              <w:right w:val="nil"/>
            </w:tcBorders>
            <w:shd w:val="clear" w:color="auto" w:fill="auto"/>
            <w:noWrap/>
            <w:vAlign w:val="bottom"/>
            <w:hideMark/>
          </w:tcPr>
          <w:p w14:paraId="2CE838A8"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w:t>
            </w:r>
          </w:p>
        </w:tc>
        <w:tc>
          <w:tcPr>
            <w:tcW w:w="2228" w:type="dxa"/>
            <w:tcBorders>
              <w:top w:val="nil"/>
              <w:left w:val="nil"/>
              <w:bottom w:val="single" w:sz="4" w:space="0" w:color="auto"/>
              <w:right w:val="nil"/>
            </w:tcBorders>
            <w:shd w:val="clear" w:color="auto" w:fill="auto"/>
            <w:noWrap/>
            <w:vAlign w:val="bottom"/>
            <w:hideMark/>
          </w:tcPr>
          <w:p w14:paraId="63D25221" w14:textId="77777777" w:rsidR="00F2088B" w:rsidRPr="00591BF6" w:rsidRDefault="00F2088B" w:rsidP="006F5124">
            <w:pPr>
              <w:spacing w:after="0" w:line="240" w:lineRule="auto"/>
              <w:jc w:val="right"/>
              <w:rPr>
                <w:rFonts w:ascii="Calibri" w:eastAsia="Times New Roman" w:hAnsi="Calibri" w:cs="Calibri"/>
                <w:color w:val="000000"/>
                <w:sz w:val="20"/>
                <w:szCs w:val="20"/>
                <w:lang w:eastAsia="en-AU"/>
              </w:rPr>
            </w:pPr>
            <w:r w:rsidRPr="00591BF6">
              <w:rPr>
                <w:rFonts w:ascii="Calibri" w:eastAsia="Times New Roman" w:hAnsi="Calibri" w:cs="Calibri"/>
                <w:color w:val="000000"/>
                <w:sz w:val="20"/>
                <w:szCs w:val="20"/>
                <w:lang w:eastAsia="en-AU"/>
              </w:rPr>
              <w:t> </w:t>
            </w:r>
          </w:p>
        </w:tc>
      </w:tr>
    </w:tbl>
    <w:p w14:paraId="6EAA5B8C" w14:textId="77777777" w:rsidR="00F2088B" w:rsidRPr="00591BF6" w:rsidRDefault="00F2088B" w:rsidP="00F2088B">
      <w:pPr>
        <w:spacing w:line="240" w:lineRule="auto"/>
        <w:contextualSpacing/>
        <w:rPr>
          <w:rFonts w:ascii="Arial" w:eastAsia="Times New Roman" w:hAnsi="Arial"/>
          <w:color w:val="auto"/>
          <w:sz w:val="20"/>
          <w:szCs w:val="20"/>
          <w:lang w:eastAsia="en-AU"/>
        </w:rPr>
      </w:pPr>
    </w:p>
    <w:p w14:paraId="18870B7D" w14:textId="77777777" w:rsidR="00F2088B" w:rsidRPr="00591BF6" w:rsidRDefault="00F2088B" w:rsidP="00F2088B">
      <w:pPr>
        <w:spacing w:line="240" w:lineRule="auto"/>
        <w:contextualSpacing/>
        <w:rPr>
          <w:rFonts w:ascii="Arial" w:eastAsia="Times New Roman" w:hAnsi="Arial"/>
          <w:color w:val="auto"/>
          <w:sz w:val="20"/>
          <w:szCs w:val="20"/>
          <w:lang w:eastAsia="en-AU"/>
        </w:rPr>
      </w:pPr>
      <w:r w:rsidRPr="00591BF6">
        <w:rPr>
          <w:rFonts w:ascii="Arial" w:eastAsia="Times New Roman" w:hAnsi="Arial"/>
          <w:color w:val="auto"/>
          <w:sz w:val="20"/>
          <w:szCs w:val="20"/>
          <w:lang w:eastAsia="en-AU"/>
        </w:rPr>
        <w:t xml:space="preserve">DRG descriptions based on AR-DRG v8. </w:t>
      </w:r>
    </w:p>
    <w:p w14:paraId="0FD0772E" w14:textId="77777777" w:rsidR="00F2088B" w:rsidRPr="00591BF6" w:rsidRDefault="00F2088B" w:rsidP="00F2088B">
      <w:pPr>
        <w:spacing w:line="240" w:lineRule="auto"/>
        <w:contextualSpacing/>
        <w:rPr>
          <w:rFonts w:ascii="Arial" w:eastAsia="Times New Roman" w:hAnsi="Arial"/>
          <w:color w:val="auto"/>
          <w:sz w:val="20"/>
          <w:szCs w:val="20"/>
          <w:lang w:eastAsia="en-AU"/>
        </w:rPr>
      </w:pPr>
    </w:p>
    <w:p w14:paraId="4B78DF1A" w14:textId="77777777" w:rsidR="00F2088B" w:rsidRPr="00591BF6" w:rsidRDefault="00F2088B" w:rsidP="00F2088B">
      <w:pPr>
        <w:spacing w:line="240" w:lineRule="auto"/>
        <w:contextualSpacing/>
        <w:rPr>
          <w:rFonts w:ascii="Arial" w:eastAsia="Times New Roman" w:hAnsi="Arial"/>
          <w:color w:val="auto"/>
          <w:sz w:val="20"/>
          <w:szCs w:val="20"/>
          <w:lang w:eastAsia="en-AU"/>
        </w:rPr>
      </w:pPr>
      <w:r w:rsidRPr="00591BF6">
        <w:rPr>
          <w:rFonts w:ascii="Arial" w:eastAsia="Times New Roman" w:hAnsi="Arial"/>
          <w:color w:val="auto"/>
          <w:sz w:val="20"/>
          <w:szCs w:val="20"/>
          <w:lang w:eastAsia="en-AU"/>
        </w:rPr>
        <w:t>Principal diagnosis description based on ICD-10-AM 12</w:t>
      </w:r>
      <w:r w:rsidRPr="00591BF6">
        <w:rPr>
          <w:rFonts w:ascii="Arial" w:eastAsia="Times New Roman" w:hAnsi="Arial"/>
          <w:color w:val="auto"/>
          <w:sz w:val="20"/>
          <w:szCs w:val="20"/>
          <w:vertAlign w:val="superscript"/>
          <w:lang w:eastAsia="en-AU"/>
        </w:rPr>
        <w:t>th</w:t>
      </w:r>
      <w:r w:rsidRPr="00591BF6">
        <w:rPr>
          <w:rFonts w:ascii="Arial" w:eastAsia="Times New Roman" w:hAnsi="Arial"/>
          <w:color w:val="auto"/>
          <w:sz w:val="20"/>
          <w:szCs w:val="20"/>
          <w:lang w:eastAsia="en-AU"/>
        </w:rPr>
        <w:t xml:space="preserve"> edition</w:t>
      </w:r>
    </w:p>
    <w:p w14:paraId="7713B58B" w14:textId="77777777" w:rsidR="00F2088B" w:rsidRDefault="00F2088B" w:rsidP="00F2088B">
      <w:pPr>
        <w:spacing w:before="0" w:after="80" w:line="240" w:lineRule="auto"/>
        <w:rPr>
          <w:rFonts w:ascii="Arial" w:eastAsia="Times New Roman" w:hAnsi="Arial"/>
          <w:color w:val="auto"/>
          <w:sz w:val="20"/>
          <w:szCs w:val="20"/>
          <w:lang w:eastAsia="en-AU"/>
        </w:rPr>
      </w:pPr>
    </w:p>
    <w:p w14:paraId="4A28922D" w14:textId="77777777" w:rsidR="00F2088B" w:rsidRDefault="00F2088B" w:rsidP="00F2088B">
      <w:pPr>
        <w:spacing w:before="0" w:after="80" w:line="240" w:lineRule="auto"/>
        <w:rPr>
          <w:rFonts w:ascii="Arial" w:eastAsia="Times New Roman" w:hAnsi="Arial"/>
          <w:color w:val="auto"/>
          <w:sz w:val="20"/>
          <w:szCs w:val="20"/>
          <w:lang w:eastAsia="en-AU"/>
        </w:rPr>
      </w:pPr>
    </w:p>
    <w:p w14:paraId="40F583B1" w14:textId="77777777" w:rsidR="00524FC5" w:rsidRDefault="00524FC5"/>
    <w:p w14:paraId="2CCA1804" w14:textId="77777777" w:rsidR="001F1F64" w:rsidRDefault="001F1F64"/>
    <w:p w14:paraId="33E1F463" w14:textId="77777777" w:rsidR="001F1F64" w:rsidRDefault="001F1F64"/>
    <w:p w14:paraId="261201EE" w14:textId="77777777" w:rsidR="001F1F64" w:rsidRDefault="001F1F64"/>
    <w:p w14:paraId="18BDCBDC" w14:textId="77777777" w:rsidR="001F1F64" w:rsidRDefault="001F1F64"/>
    <w:p w14:paraId="4600B9CF" w14:textId="77777777" w:rsidR="001F1F64" w:rsidRDefault="001F1F64"/>
    <w:p w14:paraId="03279658" w14:textId="77777777" w:rsidR="001F1F64" w:rsidRDefault="001F1F64"/>
    <w:p w14:paraId="6829EE2C" w14:textId="77777777" w:rsidR="001F1F64" w:rsidRDefault="001F1F64"/>
    <w:p w14:paraId="29333B4F" w14:textId="77777777" w:rsidR="001F1F64" w:rsidRDefault="001F1F64"/>
    <w:p w14:paraId="4CF0AF17" w14:textId="77777777" w:rsidR="001F1F64" w:rsidRDefault="001F1F64"/>
    <w:p w14:paraId="0790E609" w14:textId="77777777" w:rsidR="001F1F64" w:rsidRDefault="001F1F64"/>
    <w:p w14:paraId="0BA6ABA7" w14:textId="77777777" w:rsidR="001F1F64" w:rsidRDefault="001F1F64"/>
    <w:p w14:paraId="5BA02E08" w14:textId="77777777" w:rsidR="001F1F64" w:rsidRDefault="001F1F64"/>
    <w:p w14:paraId="09DFC9E6" w14:textId="77777777" w:rsidR="001F1F64" w:rsidRDefault="001F1F64"/>
    <w:p w14:paraId="23939558" w14:textId="77777777" w:rsidR="00023CCC" w:rsidRPr="00AD5695" w:rsidRDefault="00023CCC" w:rsidP="00023CCC">
      <w:pPr>
        <w:pStyle w:val="Heading3"/>
        <w:ind w:hanging="426"/>
        <w:rPr>
          <w:lang w:eastAsia="en-AU"/>
        </w:rPr>
      </w:pPr>
      <w:bookmarkStart w:id="114" w:name="_Table_4._Demographic"/>
      <w:bookmarkStart w:id="115" w:name="_Toc187133222"/>
      <w:bookmarkStart w:id="116" w:name="_Toc187313302"/>
      <w:bookmarkEnd w:id="114"/>
      <w:r w:rsidRPr="00AD5695">
        <w:rPr>
          <w:lang w:eastAsia="en-AU"/>
        </w:rPr>
        <w:lastRenderedPageBreak/>
        <w:t>Table 4. Demographic characteristics for separations with explicit sepsis codes, public hospitals, 2017-18</w:t>
      </w:r>
      <w:bookmarkEnd w:id="115"/>
      <w:bookmarkEnd w:id="116"/>
    </w:p>
    <w:tbl>
      <w:tblPr>
        <w:tblW w:w="13128" w:type="dxa"/>
        <w:tblInd w:w="-426" w:type="dxa"/>
        <w:tblLook w:val="04A0" w:firstRow="1" w:lastRow="0" w:firstColumn="1" w:lastColumn="0" w:noHBand="0" w:noVBand="1"/>
      </w:tblPr>
      <w:tblGrid>
        <w:gridCol w:w="3625"/>
        <w:gridCol w:w="1951"/>
        <w:gridCol w:w="1888"/>
        <w:gridCol w:w="1888"/>
        <w:gridCol w:w="1888"/>
        <w:gridCol w:w="1888"/>
      </w:tblGrid>
      <w:tr w:rsidR="00023CCC" w:rsidRPr="00AD5695" w14:paraId="6139FE56" w14:textId="77777777" w:rsidTr="006F5124">
        <w:trPr>
          <w:trHeight w:val="797"/>
          <w:tblHeader/>
        </w:trPr>
        <w:tc>
          <w:tcPr>
            <w:tcW w:w="3625" w:type="dxa"/>
            <w:tcBorders>
              <w:top w:val="single" w:sz="4" w:space="0" w:color="auto"/>
              <w:left w:val="nil"/>
              <w:bottom w:val="single" w:sz="4" w:space="0" w:color="auto"/>
              <w:right w:val="nil"/>
            </w:tcBorders>
            <w:shd w:val="clear" w:color="auto" w:fill="auto"/>
            <w:vAlign w:val="bottom"/>
            <w:hideMark/>
          </w:tcPr>
          <w:p w14:paraId="6FD51FB7"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 </w:t>
            </w:r>
          </w:p>
        </w:tc>
        <w:tc>
          <w:tcPr>
            <w:tcW w:w="1951" w:type="dxa"/>
            <w:tcBorders>
              <w:top w:val="single" w:sz="4" w:space="0" w:color="auto"/>
              <w:left w:val="nil"/>
              <w:bottom w:val="single" w:sz="4" w:space="0" w:color="auto"/>
              <w:right w:val="nil"/>
            </w:tcBorders>
            <w:shd w:val="clear" w:color="auto" w:fill="auto"/>
            <w:vAlign w:val="bottom"/>
            <w:hideMark/>
          </w:tcPr>
          <w:p w14:paraId="5E2EAC03" w14:textId="77777777" w:rsidR="00023CCC" w:rsidRPr="00AD5695" w:rsidRDefault="00023CCC" w:rsidP="006F5124">
            <w:pPr>
              <w:spacing w:after="0" w:line="240" w:lineRule="auto"/>
              <w:jc w:val="right"/>
              <w:rPr>
                <w:rFonts w:ascii="Calibri" w:eastAsia="Times New Roman" w:hAnsi="Calibri" w:cs="Calibri"/>
                <w:b/>
                <w:bCs/>
                <w:color w:val="auto"/>
                <w:sz w:val="20"/>
                <w:szCs w:val="20"/>
                <w:lang w:eastAsia="en-AU"/>
              </w:rPr>
            </w:pPr>
            <w:r w:rsidRPr="00AD5695">
              <w:rPr>
                <w:rFonts w:ascii="Calibri" w:eastAsia="Times New Roman" w:hAnsi="Calibri" w:cs="Calibri"/>
                <w:b/>
                <w:bCs/>
                <w:color w:val="auto"/>
                <w:sz w:val="20"/>
                <w:szCs w:val="20"/>
                <w:lang w:eastAsia="en-AU"/>
              </w:rPr>
              <w:t>Pre-sepsis separations</w:t>
            </w:r>
            <w:r w:rsidRPr="00AD5695">
              <w:rPr>
                <w:rFonts w:ascii="Calibri" w:eastAsia="Times New Roman" w:hAnsi="Calibri" w:cs="Calibri"/>
                <w:b/>
                <w:bCs/>
                <w:color w:val="auto"/>
                <w:sz w:val="20"/>
                <w:szCs w:val="20"/>
                <w:lang w:eastAsia="en-AU"/>
              </w:rPr>
              <w:br/>
              <w:t>(30 days)</w:t>
            </w:r>
          </w:p>
        </w:tc>
        <w:tc>
          <w:tcPr>
            <w:tcW w:w="1888" w:type="dxa"/>
            <w:tcBorders>
              <w:top w:val="single" w:sz="4" w:space="0" w:color="auto"/>
              <w:left w:val="nil"/>
              <w:bottom w:val="single" w:sz="4" w:space="0" w:color="auto"/>
              <w:right w:val="nil"/>
            </w:tcBorders>
            <w:shd w:val="clear" w:color="auto" w:fill="auto"/>
            <w:vAlign w:val="bottom"/>
            <w:hideMark/>
          </w:tcPr>
          <w:p w14:paraId="3F89C4BC" w14:textId="77777777" w:rsidR="00023CCC" w:rsidRPr="00AD5695" w:rsidRDefault="00023CCC" w:rsidP="006F5124">
            <w:pPr>
              <w:spacing w:after="0" w:line="240" w:lineRule="auto"/>
              <w:jc w:val="right"/>
              <w:rPr>
                <w:rFonts w:ascii="Calibri" w:eastAsia="Times New Roman" w:hAnsi="Calibri" w:cs="Calibri"/>
                <w:b/>
                <w:bCs/>
                <w:color w:val="auto"/>
                <w:sz w:val="20"/>
                <w:szCs w:val="20"/>
                <w:lang w:eastAsia="en-AU"/>
              </w:rPr>
            </w:pPr>
            <w:r w:rsidRPr="00AD5695">
              <w:rPr>
                <w:rFonts w:ascii="Calibri" w:eastAsia="Times New Roman" w:hAnsi="Calibri" w:cs="Calibri"/>
                <w:b/>
                <w:bCs/>
                <w:color w:val="auto"/>
                <w:sz w:val="20"/>
                <w:szCs w:val="20"/>
                <w:lang w:eastAsia="en-AU"/>
              </w:rPr>
              <w:t>Sepsis separations (principal diagnosis)</w:t>
            </w:r>
          </w:p>
        </w:tc>
        <w:tc>
          <w:tcPr>
            <w:tcW w:w="1888" w:type="dxa"/>
            <w:tcBorders>
              <w:top w:val="single" w:sz="4" w:space="0" w:color="auto"/>
              <w:left w:val="nil"/>
              <w:bottom w:val="single" w:sz="4" w:space="0" w:color="auto"/>
              <w:right w:val="nil"/>
            </w:tcBorders>
            <w:shd w:val="clear" w:color="auto" w:fill="auto"/>
            <w:vAlign w:val="bottom"/>
            <w:hideMark/>
          </w:tcPr>
          <w:p w14:paraId="234D2B61" w14:textId="77777777" w:rsidR="00023CCC" w:rsidRPr="00AD5695" w:rsidRDefault="00023CCC" w:rsidP="006F5124">
            <w:pPr>
              <w:spacing w:after="0" w:line="240" w:lineRule="auto"/>
              <w:jc w:val="right"/>
              <w:rPr>
                <w:rFonts w:ascii="Calibri" w:eastAsia="Times New Roman" w:hAnsi="Calibri" w:cs="Calibri"/>
                <w:b/>
                <w:bCs/>
                <w:color w:val="auto"/>
                <w:sz w:val="20"/>
                <w:szCs w:val="20"/>
                <w:lang w:eastAsia="en-AU"/>
              </w:rPr>
            </w:pPr>
            <w:r w:rsidRPr="00AD5695">
              <w:rPr>
                <w:rFonts w:ascii="Calibri" w:eastAsia="Times New Roman" w:hAnsi="Calibri" w:cs="Calibri"/>
                <w:b/>
                <w:bCs/>
                <w:color w:val="auto"/>
                <w:sz w:val="20"/>
                <w:szCs w:val="20"/>
                <w:lang w:eastAsia="en-AU"/>
              </w:rPr>
              <w:t>Sepsis separations (secondary diagnosis)</w:t>
            </w:r>
          </w:p>
        </w:tc>
        <w:tc>
          <w:tcPr>
            <w:tcW w:w="1888" w:type="dxa"/>
            <w:tcBorders>
              <w:top w:val="single" w:sz="4" w:space="0" w:color="auto"/>
              <w:left w:val="nil"/>
              <w:bottom w:val="single" w:sz="4" w:space="0" w:color="auto"/>
              <w:right w:val="nil"/>
            </w:tcBorders>
            <w:shd w:val="clear" w:color="auto" w:fill="auto"/>
            <w:vAlign w:val="bottom"/>
            <w:hideMark/>
          </w:tcPr>
          <w:p w14:paraId="6285DBDD" w14:textId="77777777" w:rsidR="00023CCC" w:rsidRPr="00AD5695" w:rsidRDefault="00023CCC" w:rsidP="006F5124">
            <w:pPr>
              <w:spacing w:after="0" w:line="240" w:lineRule="auto"/>
              <w:jc w:val="right"/>
              <w:rPr>
                <w:rFonts w:ascii="Calibri" w:eastAsia="Times New Roman" w:hAnsi="Calibri" w:cs="Calibri"/>
                <w:b/>
                <w:bCs/>
                <w:color w:val="auto"/>
                <w:sz w:val="20"/>
                <w:szCs w:val="20"/>
                <w:lang w:eastAsia="en-AU"/>
              </w:rPr>
            </w:pPr>
            <w:r w:rsidRPr="00AD5695">
              <w:rPr>
                <w:rFonts w:ascii="Calibri" w:eastAsia="Times New Roman" w:hAnsi="Calibri" w:cs="Calibri"/>
                <w:b/>
                <w:bCs/>
                <w:color w:val="auto"/>
                <w:sz w:val="20"/>
                <w:szCs w:val="20"/>
                <w:lang w:eastAsia="en-AU"/>
              </w:rPr>
              <w:t>Sepsis separations</w:t>
            </w:r>
          </w:p>
        </w:tc>
        <w:tc>
          <w:tcPr>
            <w:tcW w:w="1888" w:type="dxa"/>
            <w:tcBorders>
              <w:top w:val="single" w:sz="4" w:space="0" w:color="auto"/>
              <w:left w:val="nil"/>
              <w:bottom w:val="single" w:sz="4" w:space="0" w:color="auto"/>
              <w:right w:val="nil"/>
            </w:tcBorders>
            <w:shd w:val="clear" w:color="auto" w:fill="auto"/>
            <w:vAlign w:val="bottom"/>
            <w:hideMark/>
          </w:tcPr>
          <w:p w14:paraId="44508CE5" w14:textId="77777777" w:rsidR="00023CCC" w:rsidRPr="00AD5695" w:rsidRDefault="00023CCC" w:rsidP="006F5124">
            <w:pPr>
              <w:spacing w:after="0" w:line="240" w:lineRule="auto"/>
              <w:jc w:val="right"/>
              <w:rPr>
                <w:rFonts w:ascii="Calibri" w:eastAsia="Times New Roman" w:hAnsi="Calibri" w:cs="Calibri"/>
                <w:b/>
                <w:bCs/>
                <w:color w:val="auto"/>
                <w:sz w:val="20"/>
                <w:szCs w:val="20"/>
                <w:lang w:eastAsia="en-AU"/>
              </w:rPr>
            </w:pPr>
            <w:r w:rsidRPr="00AD5695">
              <w:rPr>
                <w:rFonts w:ascii="Calibri" w:eastAsia="Times New Roman" w:hAnsi="Calibri" w:cs="Calibri"/>
                <w:b/>
                <w:bCs/>
                <w:color w:val="auto"/>
                <w:sz w:val="20"/>
                <w:szCs w:val="20"/>
                <w:lang w:eastAsia="en-AU"/>
              </w:rPr>
              <w:t xml:space="preserve">Post-sepsis readmissions </w:t>
            </w:r>
            <w:r w:rsidRPr="00AD5695">
              <w:rPr>
                <w:rFonts w:ascii="Calibri" w:eastAsia="Times New Roman" w:hAnsi="Calibri" w:cs="Calibri"/>
                <w:b/>
                <w:bCs/>
                <w:color w:val="auto"/>
                <w:sz w:val="20"/>
                <w:szCs w:val="20"/>
                <w:lang w:eastAsia="en-AU"/>
              </w:rPr>
              <w:br/>
              <w:t>(30 days)</w:t>
            </w:r>
          </w:p>
        </w:tc>
      </w:tr>
      <w:tr w:rsidR="00023CCC" w:rsidRPr="00AD5695" w14:paraId="04C99DCD" w14:textId="77777777" w:rsidTr="006F5124">
        <w:trPr>
          <w:trHeight w:val="292"/>
        </w:trPr>
        <w:tc>
          <w:tcPr>
            <w:tcW w:w="3625" w:type="dxa"/>
            <w:tcBorders>
              <w:top w:val="nil"/>
              <w:left w:val="nil"/>
              <w:bottom w:val="nil"/>
              <w:right w:val="nil"/>
            </w:tcBorders>
            <w:shd w:val="clear" w:color="auto" w:fill="auto"/>
            <w:noWrap/>
            <w:vAlign w:val="bottom"/>
            <w:hideMark/>
          </w:tcPr>
          <w:p w14:paraId="08DF1E95" w14:textId="77777777" w:rsidR="00023CCC" w:rsidRPr="00AD5695" w:rsidRDefault="00023CCC" w:rsidP="006F5124">
            <w:pPr>
              <w:spacing w:after="0" w:line="240" w:lineRule="auto"/>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N</w:t>
            </w:r>
          </w:p>
        </w:tc>
        <w:tc>
          <w:tcPr>
            <w:tcW w:w="1951" w:type="dxa"/>
            <w:tcBorders>
              <w:top w:val="nil"/>
              <w:left w:val="nil"/>
              <w:bottom w:val="nil"/>
              <w:right w:val="nil"/>
            </w:tcBorders>
            <w:shd w:val="clear" w:color="auto" w:fill="auto"/>
            <w:noWrap/>
            <w:vAlign w:val="bottom"/>
            <w:hideMark/>
          </w:tcPr>
          <w:p w14:paraId="72A4FED6"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32,926</w:t>
            </w:r>
          </w:p>
        </w:tc>
        <w:tc>
          <w:tcPr>
            <w:tcW w:w="1888" w:type="dxa"/>
            <w:tcBorders>
              <w:top w:val="nil"/>
              <w:left w:val="nil"/>
              <w:bottom w:val="nil"/>
              <w:right w:val="nil"/>
            </w:tcBorders>
            <w:shd w:val="clear" w:color="auto" w:fill="auto"/>
            <w:noWrap/>
            <w:vAlign w:val="bottom"/>
            <w:hideMark/>
          </w:tcPr>
          <w:p w14:paraId="3ED1473C"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42,926</w:t>
            </w:r>
          </w:p>
        </w:tc>
        <w:tc>
          <w:tcPr>
            <w:tcW w:w="1888" w:type="dxa"/>
            <w:tcBorders>
              <w:top w:val="nil"/>
              <w:left w:val="nil"/>
              <w:bottom w:val="nil"/>
              <w:right w:val="nil"/>
            </w:tcBorders>
            <w:shd w:val="clear" w:color="auto" w:fill="auto"/>
            <w:noWrap/>
            <w:vAlign w:val="center"/>
            <w:hideMark/>
          </w:tcPr>
          <w:p w14:paraId="7DA6AD6C"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71,626</w:t>
            </w:r>
          </w:p>
        </w:tc>
        <w:tc>
          <w:tcPr>
            <w:tcW w:w="1888" w:type="dxa"/>
            <w:tcBorders>
              <w:top w:val="nil"/>
              <w:left w:val="nil"/>
              <w:bottom w:val="nil"/>
              <w:right w:val="nil"/>
            </w:tcBorders>
            <w:shd w:val="clear" w:color="auto" w:fill="auto"/>
            <w:noWrap/>
            <w:vAlign w:val="center"/>
            <w:hideMark/>
          </w:tcPr>
          <w:p w14:paraId="7E58064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107,181</w:t>
            </w:r>
          </w:p>
        </w:tc>
        <w:tc>
          <w:tcPr>
            <w:tcW w:w="1888" w:type="dxa"/>
            <w:tcBorders>
              <w:top w:val="nil"/>
              <w:left w:val="nil"/>
              <w:bottom w:val="nil"/>
              <w:right w:val="nil"/>
            </w:tcBorders>
            <w:shd w:val="clear" w:color="auto" w:fill="auto"/>
            <w:noWrap/>
            <w:vAlign w:val="center"/>
            <w:hideMark/>
          </w:tcPr>
          <w:p w14:paraId="11F5264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27,130</w:t>
            </w:r>
          </w:p>
        </w:tc>
      </w:tr>
      <w:tr w:rsidR="00023CCC" w:rsidRPr="00AD5695" w14:paraId="30D04219" w14:textId="77777777" w:rsidTr="006F5124">
        <w:trPr>
          <w:trHeight w:val="292"/>
        </w:trPr>
        <w:tc>
          <w:tcPr>
            <w:tcW w:w="3625" w:type="dxa"/>
            <w:tcBorders>
              <w:top w:val="nil"/>
              <w:left w:val="nil"/>
              <w:bottom w:val="nil"/>
              <w:right w:val="nil"/>
            </w:tcBorders>
            <w:shd w:val="clear" w:color="auto" w:fill="auto"/>
            <w:noWrap/>
            <w:vAlign w:val="bottom"/>
            <w:hideMark/>
          </w:tcPr>
          <w:p w14:paraId="45B7838F"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Sex, n(%)</w:t>
            </w:r>
          </w:p>
        </w:tc>
        <w:tc>
          <w:tcPr>
            <w:tcW w:w="1951" w:type="dxa"/>
            <w:tcBorders>
              <w:top w:val="nil"/>
              <w:left w:val="nil"/>
              <w:bottom w:val="nil"/>
              <w:right w:val="nil"/>
            </w:tcBorders>
            <w:shd w:val="clear" w:color="auto" w:fill="auto"/>
            <w:noWrap/>
            <w:vAlign w:val="bottom"/>
            <w:hideMark/>
          </w:tcPr>
          <w:p w14:paraId="2C3EE6BB"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04266F5A"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518A73E3"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478C9B0A"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7824A4B9" w14:textId="77777777" w:rsidR="00023CCC" w:rsidRPr="00AD5695" w:rsidRDefault="00023CCC" w:rsidP="006F5124">
            <w:pPr>
              <w:spacing w:after="0" w:line="240" w:lineRule="auto"/>
              <w:rPr>
                <w:rFonts w:ascii="Times New Roman" w:eastAsia="Times New Roman" w:hAnsi="Times New Roman"/>
                <w:color w:val="auto"/>
                <w:sz w:val="20"/>
                <w:szCs w:val="20"/>
                <w:lang w:eastAsia="en-AU"/>
              </w:rPr>
            </w:pPr>
          </w:p>
        </w:tc>
      </w:tr>
      <w:tr w:rsidR="00023CCC" w:rsidRPr="00AD5695" w14:paraId="622AEEA1" w14:textId="77777777" w:rsidTr="006F5124">
        <w:trPr>
          <w:trHeight w:val="292"/>
        </w:trPr>
        <w:tc>
          <w:tcPr>
            <w:tcW w:w="3625" w:type="dxa"/>
            <w:tcBorders>
              <w:top w:val="nil"/>
              <w:left w:val="nil"/>
              <w:bottom w:val="nil"/>
              <w:right w:val="nil"/>
            </w:tcBorders>
            <w:shd w:val="clear" w:color="auto" w:fill="auto"/>
            <w:noWrap/>
            <w:vAlign w:val="bottom"/>
            <w:hideMark/>
          </w:tcPr>
          <w:p w14:paraId="40847A58"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Male</w:t>
            </w:r>
          </w:p>
        </w:tc>
        <w:tc>
          <w:tcPr>
            <w:tcW w:w="1951" w:type="dxa"/>
            <w:tcBorders>
              <w:top w:val="nil"/>
              <w:left w:val="nil"/>
              <w:bottom w:val="nil"/>
              <w:right w:val="nil"/>
            </w:tcBorders>
            <w:shd w:val="clear" w:color="auto" w:fill="auto"/>
            <w:noWrap/>
            <w:vAlign w:val="bottom"/>
            <w:hideMark/>
          </w:tcPr>
          <w:p w14:paraId="355663D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18,236 (55.4%)</w:t>
            </w:r>
          </w:p>
        </w:tc>
        <w:tc>
          <w:tcPr>
            <w:tcW w:w="1888" w:type="dxa"/>
            <w:tcBorders>
              <w:top w:val="nil"/>
              <w:left w:val="nil"/>
              <w:bottom w:val="nil"/>
              <w:right w:val="nil"/>
            </w:tcBorders>
            <w:shd w:val="clear" w:color="auto" w:fill="auto"/>
            <w:noWrap/>
            <w:vAlign w:val="center"/>
            <w:hideMark/>
          </w:tcPr>
          <w:p w14:paraId="4E407808"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22,978 (53.5%)</w:t>
            </w:r>
          </w:p>
        </w:tc>
        <w:tc>
          <w:tcPr>
            <w:tcW w:w="1888" w:type="dxa"/>
            <w:tcBorders>
              <w:top w:val="nil"/>
              <w:left w:val="nil"/>
              <w:bottom w:val="nil"/>
              <w:right w:val="nil"/>
            </w:tcBorders>
            <w:shd w:val="clear" w:color="auto" w:fill="auto"/>
            <w:noWrap/>
            <w:vAlign w:val="center"/>
            <w:hideMark/>
          </w:tcPr>
          <w:p w14:paraId="1A49B7B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39,745 (55.5%)</w:t>
            </w:r>
          </w:p>
        </w:tc>
        <w:tc>
          <w:tcPr>
            <w:tcW w:w="1888" w:type="dxa"/>
            <w:tcBorders>
              <w:top w:val="nil"/>
              <w:left w:val="nil"/>
              <w:bottom w:val="nil"/>
              <w:right w:val="nil"/>
            </w:tcBorders>
            <w:shd w:val="clear" w:color="auto" w:fill="auto"/>
            <w:noWrap/>
            <w:vAlign w:val="center"/>
            <w:hideMark/>
          </w:tcPr>
          <w:p w14:paraId="19194458"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58,733 (54.8%)</w:t>
            </w:r>
          </w:p>
        </w:tc>
        <w:tc>
          <w:tcPr>
            <w:tcW w:w="1888" w:type="dxa"/>
            <w:tcBorders>
              <w:top w:val="nil"/>
              <w:left w:val="nil"/>
              <w:bottom w:val="nil"/>
              <w:right w:val="nil"/>
            </w:tcBorders>
            <w:shd w:val="clear" w:color="auto" w:fill="auto"/>
            <w:noWrap/>
            <w:vAlign w:val="center"/>
            <w:hideMark/>
          </w:tcPr>
          <w:p w14:paraId="795F902C"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15,461 (57.0%)</w:t>
            </w:r>
          </w:p>
        </w:tc>
      </w:tr>
      <w:tr w:rsidR="00023CCC" w:rsidRPr="00AD5695" w14:paraId="7C01B4AA" w14:textId="77777777" w:rsidTr="006F5124">
        <w:trPr>
          <w:trHeight w:val="292"/>
        </w:trPr>
        <w:tc>
          <w:tcPr>
            <w:tcW w:w="3625" w:type="dxa"/>
            <w:tcBorders>
              <w:top w:val="nil"/>
              <w:left w:val="nil"/>
              <w:bottom w:val="nil"/>
              <w:right w:val="nil"/>
            </w:tcBorders>
            <w:shd w:val="clear" w:color="auto" w:fill="auto"/>
            <w:noWrap/>
            <w:vAlign w:val="bottom"/>
            <w:hideMark/>
          </w:tcPr>
          <w:p w14:paraId="24118010"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Female</w:t>
            </w:r>
          </w:p>
        </w:tc>
        <w:tc>
          <w:tcPr>
            <w:tcW w:w="1951" w:type="dxa"/>
            <w:tcBorders>
              <w:top w:val="nil"/>
              <w:left w:val="nil"/>
              <w:bottom w:val="nil"/>
              <w:right w:val="nil"/>
            </w:tcBorders>
            <w:shd w:val="clear" w:color="auto" w:fill="auto"/>
            <w:noWrap/>
            <w:vAlign w:val="bottom"/>
            <w:hideMark/>
          </w:tcPr>
          <w:p w14:paraId="4E6ABD07"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14,689 (44.6%)</w:t>
            </w:r>
          </w:p>
        </w:tc>
        <w:tc>
          <w:tcPr>
            <w:tcW w:w="1888" w:type="dxa"/>
            <w:tcBorders>
              <w:top w:val="nil"/>
              <w:left w:val="nil"/>
              <w:bottom w:val="nil"/>
              <w:right w:val="nil"/>
            </w:tcBorders>
            <w:shd w:val="clear" w:color="auto" w:fill="auto"/>
            <w:noWrap/>
            <w:vAlign w:val="center"/>
            <w:hideMark/>
          </w:tcPr>
          <w:p w14:paraId="6FE29FD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19,945 (46.5%)</w:t>
            </w:r>
          </w:p>
        </w:tc>
        <w:tc>
          <w:tcPr>
            <w:tcW w:w="1888" w:type="dxa"/>
            <w:tcBorders>
              <w:top w:val="nil"/>
              <w:left w:val="nil"/>
              <w:bottom w:val="nil"/>
              <w:right w:val="nil"/>
            </w:tcBorders>
            <w:shd w:val="clear" w:color="auto" w:fill="auto"/>
            <w:noWrap/>
            <w:vAlign w:val="center"/>
            <w:hideMark/>
          </w:tcPr>
          <w:p w14:paraId="641BD7D2"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31,880 (44.5%)</w:t>
            </w:r>
          </w:p>
        </w:tc>
        <w:tc>
          <w:tcPr>
            <w:tcW w:w="1888" w:type="dxa"/>
            <w:tcBorders>
              <w:top w:val="nil"/>
              <w:left w:val="nil"/>
              <w:bottom w:val="nil"/>
              <w:right w:val="nil"/>
            </w:tcBorders>
            <w:shd w:val="clear" w:color="auto" w:fill="auto"/>
            <w:noWrap/>
            <w:vAlign w:val="center"/>
            <w:hideMark/>
          </w:tcPr>
          <w:p w14:paraId="1B337AE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48,445 (45.2%)</w:t>
            </w:r>
          </w:p>
        </w:tc>
        <w:tc>
          <w:tcPr>
            <w:tcW w:w="1888" w:type="dxa"/>
            <w:tcBorders>
              <w:top w:val="nil"/>
              <w:left w:val="nil"/>
              <w:bottom w:val="nil"/>
              <w:right w:val="nil"/>
            </w:tcBorders>
            <w:shd w:val="clear" w:color="auto" w:fill="auto"/>
            <w:noWrap/>
            <w:vAlign w:val="center"/>
            <w:hideMark/>
          </w:tcPr>
          <w:p w14:paraId="20FF44DE"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11,668 (43.0%)</w:t>
            </w:r>
          </w:p>
        </w:tc>
      </w:tr>
      <w:tr w:rsidR="00023CCC" w:rsidRPr="00AD5695" w14:paraId="272C2D44" w14:textId="77777777" w:rsidTr="006F5124">
        <w:trPr>
          <w:trHeight w:val="292"/>
        </w:trPr>
        <w:tc>
          <w:tcPr>
            <w:tcW w:w="3625" w:type="dxa"/>
            <w:tcBorders>
              <w:top w:val="nil"/>
              <w:left w:val="nil"/>
              <w:bottom w:val="nil"/>
              <w:right w:val="nil"/>
            </w:tcBorders>
            <w:shd w:val="clear" w:color="auto" w:fill="auto"/>
            <w:noWrap/>
            <w:vAlign w:val="bottom"/>
            <w:hideMark/>
          </w:tcPr>
          <w:p w14:paraId="687CCA8D"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Age (years)</w:t>
            </w:r>
          </w:p>
        </w:tc>
        <w:tc>
          <w:tcPr>
            <w:tcW w:w="1951" w:type="dxa"/>
            <w:tcBorders>
              <w:top w:val="nil"/>
              <w:left w:val="nil"/>
              <w:bottom w:val="nil"/>
              <w:right w:val="nil"/>
            </w:tcBorders>
            <w:shd w:val="clear" w:color="auto" w:fill="auto"/>
            <w:noWrap/>
            <w:vAlign w:val="bottom"/>
            <w:hideMark/>
          </w:tcPr>
          <w:p w14:paraId="1673798A"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670A4F57"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11929CE4"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409999F7"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5FB468FA" w14:textId="77777777" w:rsidR="00023CCC" w:rsidRPr="00AD5695" w:rsidRDefault="00023CCC" w:rsidP="006F5124">
            <w:pPr>
              <w:spacing w:after="0" w:line="240" w:lineRule="auto"/>
              <w:rPr>
                <w:rFonts w:ascii="Times New Roman" w:eastAsia="Times New Roman" w:hAnsi="Times New Roman"/>
                <w:color w:val="auto"/>
                <w:sz w:val="20"/>
                <w:szCs w:val="20"/>
                <w:lang w:eastAsia="en-AU"/>
              </w:rPr>
            </w:pPr>
          </w:p>
        </w:tc>
      </w:tr>
      <w:tr w:rsidR="00023CCC" w:rsidRPr="00AD5695" w14:paraId="33811C20" w14:textId="77777777" w:rsidTr="006F5124">
        <w:trPr>
          <w:trHeight w:val="292"/>
        </w:trPr>
        <w:tc>
          <w:tcPr>
            <w:tcW w:w="3625" w:type="dxa"/>
            <w:tcBorders>
              <w:top w:val="nil"/>
              <w:left w:val="nil"/>
              <w:bottom w:val="nil"/>
              <w:right w:val="nil"/>
            </w:tcBorders>
            <w:shd w:val="clear" w:color="auto" w:fill="auto"/>
            <w:noWrap/>
            <w:vAlign w:val="bottom"/>
            <w:hideMark/>
          </w:tcPr>
          <w:p w14:paraId="64D15980"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mean (SD)</w:t>
            </w:r>
          </w:p>
        </w:tc>
        <w:tc>
          <w:tcPr>
            <w:tcW w:w="1951" w:type="dxa"/>
            <w:tcBorders>
              <w:top w:val="nil"/>
              <w:left w:val="nil"/>
              <w:bottom w:val="nil"/>
              <w:right w:val="nil"/>
            </w:tcBorders>
            <w:shd w:val="clear" w:color="auto" w:fill="auto"/>
            <w:noWrap/>
            <w:vAlign w:val="bottom"/>
            <w:hideMark/>
          </w:tcPr>
          <w:p w14:paraId="4E636E7F" w14:textId="417E64EF"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 xml:space="preserve">          62 </w:t>
            </w:r>
            <w:r w:rsidR="00E7181E">
              <w:rPr>
                <w:rFonts w:ascii="Calibri" w:eastAsia="Times New Roman" w:hAnsi="Calibri" w:cs="Calibri"/>
                <w:color w:val="000000"/>
                <w:sz w:val="20"/>
                <w:szCs w:val="20"/>
                <w:lang w:eastAsia="en-AU"/>
              </w:rPr>
              <w:t>(</w:t>
            </w:r>
            <w:r w:rsidRPr="00AD5695">
              <w:rPr>
                <w:rFonts w:ascii="Calibri" w:eastAsia="Times New Roman" w:hAnsi="Calibri" w:cs="Calibri"/>
                <w:color w:val="000000"/>
                <w:sz w:val="20"/>
                <w:szCs w:val="20"/>
                <w:lang w:eastAsia="en-AU"/>
              </w:rPr>
              <w:t>22.1)</w:t>
            </w:r>
          </w:p>
        </w:tc>
        <w:tc>
          <w:tcPr>
            <w:tcW w:w="1888" w:type="dxa"/>
            <w:tcBorders>
              <w:top w:val="nil"/>
              <w:left w:val="nil"/>
              <w:bottom w:val="nil"/>
              <w:right w:val="nil"/>
            </w:tcBorders>
            <w:shd w:val="clear" w:color="auto" w:fill="auto"/>
            <w:noWrap/>
            <w:vAlign w:val="center"/>
            <w:hideMark/>
          </w:tcPr>
          <w:p w14:paraId="5792E6A9"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 xml:space="preserve">          62 (27.2)</w:t>
            </w:r>
          </w:p>
        </w:tc>
        <w:tc>
          <w:tcPr>
            <w:tcW w:w="1888" w:type="dxa"/>
            <w:tcBorders>
              <w:top w:val="nil"/>
              <w:left w:val="nil"/>
              <w:bottom w:val="nil"/>
              <w:right w:val="nil"/>
            </w:tcBorders>
            <w:shd w:val="clear" w:color="auto" w:fill="auto"/>
            <w:noWrap/>
            <w:vAlign w:val="center"/>
            <w:hideMark/>
          </w:tcPr>
          <w:p w14:paraId="39A7CA25"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 xml:space="preserve">          60 (26.5)</w:t>
            </w:r>
          </w:p>
        </w:tc>
        <w:tc>
          <w:tcPr>
            <w:tcW w:w="1888" w:type="dxa"/>
            <w:tcBorders>
              <w:top w:val="nil"/>
              <w:left w:val="nil"/>
              <w:bottom w:val="nil"/>
              <w:right w:val="nil"/>
            </w:tcBorders>
            <w:shd w:val="clear" w:color="auto" w:fill="auto"/>
            <w:noWrap/>
            <w:vAlign w:val="center"/>
            <w:hideMark/>
          </w:tcPr>
          <w:p w14:paraId="7502C4B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 xml:space="preserve">          60 (27.2)</w:t>
            </w:r>
          </w:p>
        </w:tc>
        <w:tc>
          <w:tcPr>
            <w:tcW w:w="1888" w:type="dxa"/>
            <w:tcBorders>
              <w:top w:val="nil"/>
              <w:left w:val="nil"/>
              <w:bottom w:val="nil"/>
              <w:right w:val="nil"/>
            </w:tcBorders>
            <w:shd w:val="clear" w:color="auto" w:fill="auto"/>
            <w:noWrap/>
            <w:vAlign w:val="center"/>
            <w:hideMark/>
          </w:tcPr>
          <w:p w14:paraId="06422B3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 xml:space="preserve">          62 (22.2)</w:t>
            </w:r>
          </w:p>
        </w:tc>
      </w:tr>
      <w:tr w:rsidR="00023CCC" w:rsidRPr="00AD5695" w14:paraId="48541230" w14:textId="77777777" w:rsidTr="006F5124">
        <w:trPr>
          <w:trHeight w:val="292"/>
        </w:trPr>
        <w:tc>
          <w:tcPr>
            <w:tcW w:w="3625" w:type="dxa"/>
            <w:tcBorders>
              <w:top w:val="nil"/>
              <w:left w:val="nil"/>
              <w:bottom w:val="nil"/>
              <w:right w:val="nil"/>
            </w:tcBorders>
            <w:shd w:val="clear" w:color="auto" w:fill="auto"/>
            <w:noWrap/>
            <w:vAlign w:val="bottom"/>
            <w:hideMark/>
          </w:tcPr>
          <w:p w14:paraId="7B20B91C"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median (IQR)</w:t>
            </w:r>
          </w:p>
        </w:tc>
        <w:tc>
          <w:tcPr>
            <w:tcW w:w="1951" w:type="dxa"/>
            <w:tcBorders>
              <w:top w:val="nil"/>
              <w:left w:val="nil"/>
              <w:bottom w:val="nil"/>
              <w:right w:val="nil"/>
            </w:tcBorders>
            <w:shd w:val="clear" w:color="auto" w:fill="auto"/>
            <w:noWrap/>
            <w:vAlign w:val="bottom"/>
            <w:hideMark/>
          </w:tcPr>
          <w:p w14:paraId="316A5DEF"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 xml:space="preserve">          68 (51-79)</w:t>
            </w:r>
          </w:p>
        </w:tc>
        <w:tc>
          <w:tcPr>
            <w:tcW w:w="1888" w:type="dxa"/>
            <w:tcBorders>
              <w:top w:val="nil"/>
              <w:left w:val="nil"/>
              <w:bottom w:val="nil"/>
              <w:right w:val="nil"/>
            </w:tcBorders>
            <w:shd w:val="clear" w:color="auto" w:fill="auto"/>
            <w:noWrap/>
            <w:vAlign w:val="center"/>
            <w:hideMark/>
          </w:tcPr>
          <w:p w14:paraId="58A26FEA"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 xml:space="preserve">          70 (51-82)</w:t>
            </w:r>
          </w:p>
        </w:tc>
        <w:tc>
          <w:tcPr>
            <w:tcW w:w="1888" w:type="dxa"/>
            <w:tcBorders>
              <w:top w:val="nil"/>
              <w:left w:val="nil"/>
              <w:bottom w:val="nil"/>
              <w:right w:val="nil"/>
            </w:tcBorders>
            <w:shd w:val="clear" w:color="auto" w:fill="auto"/>
            <w:noWrap/>
            <w:vAlign w:val="center"/>
            <w:hideMark/>
          </w:tcPr>
          <w:p w14:paraId="6AAC58E5"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 xml:space="preserve">          68 (49-80)</w:t>
            </w:r>
          </w:p>
        </w:tc>
        <w:tc>
          <w:tcPr>
            <w:tcW w:w="1888" w:type="dxa"/>
            <w:tcBorders>
              <w:top w:val="nil"/>
              <w:left w:val="nil"/>
              <w:bottom w:val="nil"/>
              <w:right w:val="nil"/>
            </w:tcBorders>
            <w:shd w:val="clear" w:color="auto" w:fill="auto"/>
            <w:noWrap/>
            <w:vAlign w:val="center"/>
            <w:hideMark/>
          </w:tcPr>
          <w:p w14:paraId="70DB30D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 xml:space="preserve">          69 (48-81)</w:t>
            </w:r>
          </w:p>
        </w:tc>
        <w:tc>
          <w:tcPr>
            <w:tcW w:w="1888" w:type="dxa"/>
            <w:tcBorders>
              <w:top w:val="nil"/>
              <w:left w:val="nil"/>
              <w:bottom w:val="nil"/>
              <w:right w:val="nil"/>
            </w:tcBorders>
            <w:shd w:val="clear" w:color="auto" w:fill="auto"/>
            <w:noWrap/>
            <w:vAlign w:val="center"/>
            <w:hideMark/>
          </w:tcPr>
          <w:p w14:paraId="23ECA3C9"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 xml:space="preserve">          67 (52-78)</w:t>
            </w:r>
          </w:p>
        </w:tc>
      </w:tr>
      <w:tr w:rsidR="00023CCC" w:rsidRPr="00AD5695" w14:paraId="515D80E7" w14:textId="77777777" w:rsidTr="006F5124">
        <w:trPr>
          <w:trHeight w:val="292"/>
        </w:trPr>
        <w:tc>
          <w:tcPr>
            <w:tcW w:w="3625" w:type="dxa"/>
            <w:tcBorders>
              <w:top w:val="nil"/>
              <w:left w:val="nil"/>
              <w:bottom w:val="nil"/>
              <w:right w:val="nil"/>
            </w:tcBorders>
            <w:shd w:val="clear" w:color="auto" w:fill="auto"/>
            <w:noWrap/>
            <w:vAlign w:val="bottom"/>
            <w:hideMark/>
          </w:tcPr>
          <w:p w14:paraId="5C4A8FCE"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 xml:space="preserve">Broad age group (years), n(%) </w:t>
            </w:r>
          </w:p>
        </w:tc>
        <w:tc>
          <w:tcPr>
            <w:tcW w:w="1951" w:type="dxa"/>
            <w:tcBorders>
              <w:top w:val="nil"/>
              <w:left w:val="nil"/>
              <w:bottom w:val="nil"/>
              <w:right w:val="nil"/>
            </w:tcBorders>
            <w:shd w:val="clear" w:color="auto" w:fill="auto"/>
            <w:noWrap/>
            <w:vAlign w:val="bottom"/>
            <w:hideMark/>
          </w:tcPr>
          <w:p w14:paraId="337BBFE8"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2D7DFA9A"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5503BF2F"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0BCA54BB"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6C213790" w14:textId="77777777" w:rsidR="00023CCC" w:rsidRPr="00AD5695" w:rsidRDefault="00023CCC" w:rsidP="006F5124">
            <w:pPr>
              <w:spacing w:after="0" w:line="240" w:lineRule="auto"/>
              <w:rPr>
                <w:rFonts w:ascii="Times New Roman" w:eastAsia="Times New Roman" w:hAnsi="Times New Roman"/>
                <w:color w:val="auto"/>
                <w:sz w:val="20"/>
                <w:szCs w:val="20"/>
                <w:lang w:eastAsia="en-AU"/>
              </w:rPr>
            </w:pPr>
          </w:p>
        </w:tc>
      </w:tr>
      <w:tr w:rsidR="00023CCC" w:rsidRPr="00AD5695" w14:paraId="1088B153" w14:textId="77777777" w:rsidTr="006F5124">
        <w:trPr>
          <w:trHeight w:val="292"/>
        </w:trPr>
        <w:tc>
          <w:tcPr>
            <w:tcW w:w="3625" w:type="dxa"/>
            <w:tcBorders>
              <w:top w:val="nil"/>
              <w:left w:val="nil"/>
              <w:bottom w:val="nil"/>
              <w:right w:val="nil"/>
            </w:tcBorders>
            <w:shd w:val="clear" w:color="auto" w:fill="auto"/>
            <w:noWrap/>
            <w:vAlign w:val="bottom"/>
            <w:hideMark/>
          </w:tcPr>
          <w:p w14:paraId="0B2705D9"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&lt; 1</w:t>
            </w:r>
          </w:p>
        </w:tc>
        <w:tc>
          <w:tcPr>
            <w:tcW w:w="1951" w:type="dxa"/>
            <w:tcBorders>
              <w:top w:val="nil"/>
              <w:left w:val="nil"/>
              <w:bottom w:val="nil"/>
              <w:right w:val="nil"/>
            </w:tcBorders>
            <w:shd w:val="clear" w:color="auto" w:fill="auto"/>
            <w:noWrap/>
            <w:vAlign w:val="bottom"/>
            <w:hideMark/>
          </w:tcPr>
          <w:p w14:paraId="731806D5"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790 (2.4%)</w:t>
            </w:r>
          </w:p>
        </w:tc>
        <w:tc>
          <w:tcPr>
            <w:tcW w:w="1888" w:type="dxa"/>
            <w:tcBorders>
              <w:top w:val="nil"/>
              <w:left w:val="nil"/>
              <w:bottom w:val="nil"/>
              <w:right w:val="nil"/>
            </w:tcBorders>
            <w:shd w:val="clear" w:color="auto" w:fill="auto"/>
            <w:noWrap/>
            <w:vAlign w:val="center"/>
            <w:hideMark/>
          </w:tcPr>
          <w:p w14:paraId="7BCB11A3"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3,899 (9.1%)</w:t>
            </w:r>
          </w:p>
        </w:tc>
        <w:tc>
          <w:tcPr>
            <w:tcW w:w="1888" w:type="dxa"/>
            <w:tcBorders>
              <w:top w:val="nil"/>
              <w:left w:val="nil"/>
              <w:bottom w:val="nil"/>
              <w:right w:val="nil"/>
            </w:tcBorders>
            <w:shd w:val="clear" w:color="auto" w:fill="auto"/>
            <w:noWrap/>
            <w:vAlign w:val="center"/>
            <w:hideMark/>
          </w:tcPr>
          <w:p w14:paraId="38708896"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6,392 (8.9%)</w:t>
            </w:r>
          </w:p>
        </w:tc>
        <w:tc>
          <w:tcPr>
            <w:tcW w:w="1888" w:type="dxa"/>
            <w:tcBorders>
              <w:top w:val="nil"/>
              <w:left w:val="nil"/>
              <w:bottom w:val="nil"/>
              <w:right w:val="nil"/>
            </w:tcBorders>
            <w:shd w:val="clear" w:color="auto" w:fill="auto"/>
            <w:noWrap/>
            <w:vAlign w:val="center"/>
            <w:hideMark/>
          </w:tcPr>
          <w:p w14:paraId="5034AB66"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10,220 (9.5%)</w:t>
            </w:r>
          </w:p>
        </w:tc>
        <w:tc>
          <w:tcPr>
            <w:tcW w:w="1888" w:type="dxa"/>
            <w:tcBorders>
              <w:top w:val="nil"/>
              <w:left w:val="nil"/>
              <w:bottom w:val="nil"/>
              <w:right w:val="nil"/>
            </w:tcBorders>
            <w:shd w:val="clear" w:color="auto" w:fill="auto"/>
            <w:noWrap/>
            <w:vAlign w:val="center"/>
            <w:hideMark/>
          </w:tcPr>
          <w:p w14:paraId="0FA037C8"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837 (3.1%)</w:t>
            </w:r>
          </w:p>
        </w:tc>
      </w:tr>
      <w:tr w:rsidR="00023CCC" w:rsidRPr="00AD5695" w14:paraId="440D3EBD" w14:textId="77777777" w:rsidTr="006F5124">
        <w:trPr>
          <w:trHeight w:val="292"/>
        </w:trPr>
        <w:tc>
          <w:tcPr>
            <w:tcW w:w="3625" w:type="dxa"/>
            <w:tcBorders>
              <w:top w:val="nil"/>
              <w:left w:val="nil"/>
              <w:bottom w:val="nil"/>
              <w:right w:val="nil"/>
            </w:tcBorders>
            <w:shd w:val="clear" w:color="auto" w:fill="auto"/>
            <w:noWrap/>
            <w:vAlign w:val="bottom"/>
            <w:hideMark/>
          </w:tcPr>
          <w:p w14:paraId="6707836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1-5</w:t>
            </w:r>
          </w:p>
        </w:tc>
        <w:tc>
          <w:tcPr>
            <w:tcW w:w="1951" w:type="dxa"/>
            <w:tcBorders>
              <w:top w:val="nil"/>
              <w:left w:val="nil"/>
              <w:bottom w:val="nil"/>
              <w:right w:val="nil"/>
            </w:tcBorders>
            <w:shd w:val="clear" w:color="auto" w:fill="auto"/>
            <w:noWrap/>
            <w:vAlign w:val="bottom"/>
            <w:hideMark/>
          </w:tcPr>
          <w:p w14:paraId="264A21B4"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365 (1.1%)</w:t>
            </w:r>
          </w:p>
        </w:tc>
        <w:tc>
          <w:tcPr>
            <w:tcW w:w="1888" w:type="dxa"/>
            <w:tcBorders>
              <w:top w:val="nil"/>
              <w:left w:val="nil"/>
              <w:bottom w:val="nil"/>
              <w:right w:val="nil"/>
            </w:tcBorders>
            <w:shd w:val="clear" w:color="auto" w:fill="auto"/>
            <w:noWrap/>
            <w:vAlign w:val="center"/>
            <w:hideMark/>
          </w:tcPr>
          <w:p w14:paraId="04FBAAD8"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433 (1.0%)</w:t>
            </w:r>
          </w:p>
        </w:tc>
        <w:tc>
          <w:tcPr>
            <w:tcW w:w="1888" w:type="dxa"/>
            <w:tcBorders>
              <w:top w:val="nil"/>
              <w:left w:val="nil"/>
              <w:bottom w:val="nil"/>
              <w:right w:val="nil"/>
            </w:tcBorders>
            <w:shd w:val="clear" w:color="auto" w:fill="auto"/>
            <w:noWrap/>
            <w:vAlign w:val="center"/>
            <w:hideMark/>
          </w:tcPr>
          <w:p w14:paraId="45D5D9A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586 (0.8%)</w:t>
            </w:r>
          </w:p>
        </w:tc>
        <w:tc>
          <w:tcPr>
            <w:tcW w:w="1888" w:type="dxa"/>
            <w:tcBorders>
              <w:top w:val="nil"/>
              <w:left w:val="nil"/>
              <w:bottom w:val="nil"/>
              <w:right w:val="nil"/>
            </w:tcBorders>
            <w:shd w:val="clear" w:color="auto" w:fill="auto"/>
            <w:noWrap/>
            <w:vAlign w:val="center"/>
            <w:hideMark/>
          </w:tcPr>
          <w:p w14:paraId="380B32C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965 (0.9%)</w:t>
            </w:r>
          </w:p>
        </w:tc>
        <w:tc>
          <w:tcPr>
            <w:tcW w:w="1888" w:type="dxa"/>
            <w:tcBorders>
              <w:top w:val="nil"/>
              <w:left w:val="nil"/>
              <w:bottom w:val="nil"/>
              <w:right w:val="nil"/>
            </w:tcBorders>
            <w:shd w:val="clear" w:color="auto" w:fill="auto"/>
            <w:noWrap/>
            <w:vAlign w:val="center"/>
            <w:hideMark/>
          </w:tcPr>
          <w:p w14:paraId="20A70F9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381 (1.4%)</w:t>
            </w:r>
          </w:p>
        </w:tc>
      </w:tr>
      <w:tr w:rsidR="00023CCC" w:rsidRPr="00AD5695" w14:paraId="72745BB5" w14:textId="77777777" w:rsidTr="006F5124">
        <w:trPr>
          <w:trHeight w:val="292"/>
        </w:trPr>
        <w:tc>
          <w:tcPr>
            <w:tcW w:w="3625" w:type="dxa"/>
            <w:tcBorders>
              <w:top w:val="nil"/>
              <w:left w:val="nil"/>
              <w:bottom w:val="nil"/>
              <w:right w:val="nil"/>
            </w:tcBorders>
            <w:shd w:val="clear" w:color="auto" w:fill="auto"/>
            <w:noWrap/>
            <w:vAlign w:val="bottom"/>
            <w:hideMark/>
          </w:tcPr>
          <w:p w14:paraId="4B2CA550"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6-17</w:t>
            </w:r>
          </w:p>
        </w:tc>
        <w:tc>
          <w:tcPr>
            <w:tcW w:w="1951" w:type="dxa"/>
            <w:tcBorders>
              <w:top w:val="nil"/>
              <w:left w:val="nil"/>
              <w:bottom w:val="nil"/>
              <w:right w:val="nil"/>
            </w:tcBorders>
            <w:shd w:val="clear" w:color="auto" w:fill="auto"/>
            <w:noWrap/>
            <w:vAlign w:val="bottom"/>
            <w:hideMark/>
          </w:tcPr>
          <w:p w14:paraId="0ACEC0F0"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467 (1.4%)</w:t>
            </w:r>
          </w:p>
        </w:tc>
        <w:tc>
          <w:tcPr>
            <w:tcW w:w="1888" w:type="dxa"/>
            <w:tcBorders>
              <w:top w:val="nil"/>
              <w:left w:val="nil"/>
              <w:bottom w:val="nil"/>
              <w:right w:val="nil"/>
            </w:tcBorders>
            <w:shd w:val="clear" w:color="auto" w:fill="auto"/>
            <w:noWrap/>
            <w:vAlign w:val="center"/>
            <w:hideMark/>
          </w:tcPr>
          <w:p w14:paraId="38CC669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448 (1.0%)</w:t>
            </w:r>
          </w:p>
        </w:tc>
        <w:tc>
          <w:tcPr>
            <w:tcW w:w="1888" w:type="dxa"/>
            <w:tcBorders>
              <w:top w:val="nil"/>
              <w:left w:val="nil"/>
              <w:bottom w:val="nil"/>
              <w:right w:val="nil"/>
            </w:tcBorders>
            <w:shd w:val="clear" w:color="auto" w:fill="auto"/>
            <w:noWrap/>
            <w:vAlign w:val="center"/>
            <w:hideMark/>
          </w:tcPr>
          <w:p w14:paraId="1489946B"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652 (0.9%)</w:t>
            </w:r>
          </w:p>
        </w:tc>
        <w:tc>
          <w:tcPr>
            <w:tcW w:w="1888" w:type="dxa"/>
            <w:tcBorders>
              <w:top w:val="nil"/>
              <w:left w:val="nil"/>
              <w:bottom w:val="nil"/>
              <w:right w:val="nil"/>
            </w:tcBorders>
            <w:shd w:val="clear" w:color="auto" w:fill="auto"/>
            <w:noWrap/>
            <w:vAlign w:val="center"/>
            <w:hideMark/>
          </w:tcPr>
          <w:p w14:paraId="7D0F7840"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1,029 (1.0%)</w:t>
            </w:r>
          </w:p>
        </w:tc>
        <w:tc>
          <w:tcPr>
            <w:tcW w:w="1888" w:type="dxa"/>
            <w:tcBorders>
              <w:top w:val="nil"/>
              <w:left w:val="nil"/>
              <w:bottom w:val="nil"/>
              <w:right w:val="nil"/>
            </w:tcBorders>
            <w:shd w:val="clear" w:color="auto" w:fill="auto"/>
            <w:noWrap/>
            <w:vAlign w:val="center"/>
            <w:hideMark/>
          </w:tcPr>
          <w:p w14:paraId="558535F8"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418 (1.5%)</w:t>
            </w:r>
          </w:p>
        </w:tc>
      </w:tr>
      <w:tr w:rsidR="00023CCC" w:rsidRPr="00AD5695" w14:paraId="174A4BD2" w14:textId="77777777" w:rsidTr="006F5124">
        <w:trPr>
          <w:trHeight w:val="302"/>
        </w:trPr>
        <w:tc>
          <w:tcPr>
            <w:tcW w:w="3625" w:type="dxa"/>
            <w:tcBorders>
              <w:top w:val="nil"/>
              <w:left w:val="nil"/>
              <w:bottom w:val="nil"/>
              <w:right w:val="nil"/>
            </w:tcBorders>
            <w:shd w:val="clear" w:color="auto" w:fill="auto"/>
            <w:noWrap/>
            <w:vAlign w:val="bottom"/>
            <w:hideMark/>
          </w:tcPr>
          <w:p w14:paraId="74EF2F2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18-64</w:t>
            </w:r>
          </w:p>
        </w:tc>
        <w:tc>
          <w:tcPr>
            <w:tcW w:w="1951" w:type="dxa"/>
            <w:tcBorders>
              <w:top w:val="nil"/>
              <w:left w:val="nil"/>
              <w:bottom w:val="nil"/>
              <w:right w:val="nil"/>
            </w:tcBorders>
            <w:shd w:val="clear" w:color="auto" w:fill="auto"/>
            <w:noWrap/>
            <w:vAlign w:val="bottom"/>
            <w:hideMark/>
          </w:tcPr>
          <w:p w14:paraId="16F1DE7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12,755 (38.7%)</w:t>
            </w:r>
          </w:p>
        </w:tc>
        <w:tc>
          <w:tcPr>
            <w:tcW w:w="1888" w:type="dxa"/>
            <w:tcBorders>
              <w:top w:val="nil"/>
              <w:left w:val="nil"/>
              <w:bottom w:val="nil"/>
              <w:right w:val="nil"/>
            </w:tcBorders>
            <w:shd w:val="clear" w:color="auto" w:fill="auto"/>
            <w:noWrap/>
            <w:vAlign w:val="center"/>
            <w:hideMark/>
          </w:tcPr>
          <w:p w14:paraId="57EF49B9"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12,309 (28.7%)</w:t>
            </w:r>
          </w:p>
        </w:tc>
        <w:tc>
          <w:tcPr>
            <w:tcW w:w="1888" w:type="dxa"/>
            <w:tcBorders>
              <w:top w:val="nil"/>
              <w:left w:val="nil"/>
              <w:bottom w:val="nil"/>
              <w:right w:val="nil"/>
            </w:tcBorders>
            <w:shd w:val="clear" w:color="auto" w:fill="auto"/>
            <w:noWrap/>
            <w:vAlign w:val="center"/>
            <w:hideMark/>
          </w:tcPr>
          <w:p w14:paraId="11EC32A6"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23,574 (32.9%)</w:t>
            </w:r>
          </w:p>
        </w:tc>
        <w:tc>
          <w:tcPr>
            <w:tcW w:w="1888" w:type="dxa"/>
            <w:tcBorders>
              <w:top w:val="nil"/>
              <w:left w:val="nil"/>
              <w:bottom w:val="nil"/>
              <w:right w:val="nil"/>
            </w:tcBorders>
            <w:shd w:val="clear" w:color="auto" w:fill="auto"/>
            <w:noWrap/>
            <w:vAlign w:val="center"/>
            <w:hideMark/>
          </w:tcPr>
          <w:p w14:paraId="2D5FC81F"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33,249 (31.0%)</w:t>
            </w:r>
          </w:p>
        </w:tc>
        <w:tc>
          <w:tcPr>
            <w:tcW w:w="1888" w:type="dxa"/>
            <w:tcBorders>
              <w:top w:val="nil"/>
              <w:left w:val="nil"/>
              <w:bottom w:val="nil"/>
              <w:right w:val="nil"/>
            </w:tcBorders>
            <w:shd w:val="clear" w:color="auto" w:fill="auto"/>
            <w:noWrap/>
            <w:vAlign w:val="center"/>
            <w:hideMark/>
          </w:tcPr>
          <w:p w14:paraId="4E8D217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10,384 (38.3%)</w:t>
            </w:r>
          </w:p>
        </w:tc>
      </w:tr>
      <w:tr w:rsidR="00023CCC" w:rsidRPr="00AD5695" w14:paraId="76E762D4" w14:textId="77777777" w:rsidTr="006F5124">
        <w:trPr>
          <w:trHeight w:val="292"/>
        </w:trPr>
        <w:tc>
          <w:tcPr>
            <w:tcW w:w="3625" w:type="dxa"/>
            <w:tcBorders>
              <w:top w:val="nil"/>
              <w:left w:val="nil"/>
              <w:bottom w:val="nil"/>
              <w:right w:val="nil"/>
            </w:tcBorders>
            <w:shd w:val="clear" w:color="auto" w:fill="auto"/>
            <w:noWrap/>
            <w:vAlign w:val="bottom"/>
            <w:hideMark/>
          </w:tcPr>
          <w:p w14:paraId="184B6C7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&gt;= 65</w:t>
            </w:r>
          </w:p>
        </w:tc>
        <w:tc>
          <w:tcPr>
            <w:tcW w:w="1951" w:type="dxa"/>
            <w:tcBorders>
              <w:top w:val="nil"/>
              <w:left w:val="nil"/>
              <w:bottom w:val="nil"/>
              <w:right w:val="nil"/>
            </w:tcBorders>
            <w:shd w:val="clear" w:color="auto" w:fill="auto"/>
            <w:noWrap/>
            <w:vAlign w:val="bottom"/>
            <w:hideMark/>
          </w:tcPr>
          <w:p w14:paraId="208DCFE7"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18,549 (56.3%)</w:t>
            </w:r>
          </w:p>
        </w:tc>
        <w:tc>
          <w:tcPr>
            <w:tcW w:w="1888" w:type="dxa"/>
            <w:tcBorders>
              <w:top w:val="nil"/>
              <w:left w:val="nil"/>
              <w:bottom w:val="nil"/>
              <w:right w:val="nil"/>
            </w:tcBorders>
            <w:shd w:val="clear" w:color="auto" w:fill="auto"/>
            <w:noWrap/>
            <w:vAlign w:val="center"/>
            <w:hideMark/>
          </w:tcPr>
          <w:p w14:paraId="7B6D983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25,837 (60.2%)</w:t>
            </w:r>
          </w:p>
        </w:tc>
        <w:tc>
          <w:tcPr>
            <w:tcW w:w="1888" w:type="dxa"/>
            <w:tcBorders>
              <w:top w:val="nil"/>
              <w:left w:val="nil"/>
              <w:bottom w:val="nil"/>
              <w:right w:val="nil"/>
            </w:tcBorders>
            <w:shd w:val="clear" w:color="auto" w:fill="auto"/>
            <w:noWrap/>
            <w:vAlign w:val="center"/>
            <w:hideMark/>
          </w:tcPr>
          <w:p w14:paraId="3676A618"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40,422 (56.4%)</w:t>
            </w:r>
          </w:p>
        </w:tc>
        <w:tc>
          <w:tcPr>
            <w:tcW w:w="1888" w:type="dxa"/>
            <w:tcBorders>
              <w:top w:val="nil"/>
              <w:left w:val="nil"/>
              <w:bottom w:val="nil"/>
              <w:right w:val="nil"/>
            </w:tcBorders>
            <w:shd w:val="clear" w:color="auto" w:fill="auto"/>
            <w:noWrap/>
            <w:vAlign w:val="center"/>
            <w:hideMark/>
          </w:tcPr>
          <w:p w14:paraId="00CEAE48"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61,718 (57.6%)</w:t>
            </w:r>
          </w:p>
        </w:tc>
        <w:tc>
          <w:tcPr>
            <w:tcW w:w="1888" w:type="dxa"/>
            <w:tcBorders>
              <w:top w:val="nil"/>
              <w:left w:val="nil"/>
              <w:bottom w:val="nil"/>
              <w:right w:val="nil"/>
            </w:tcBorders>
            <w:shd w:val="clear" w:color="auto" w:fill="auto"/>
            <w:noWrap/>
            <w:vAlign w:val="center"/>
            <w:hideMark/>
          </w:tcPr>
          <w:p w14:paraId="14009F2E"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15,110 (55.7%)</w:t>
            </w:r>
          </w:p>
        </w:tc>
      </w:tr>
      <w:tr w:rsidR="00023CCC" w:rsidRPr="00AD5695" w14:paraId="2171B7AA" w14:textId="77777777" w:rsidTr="006F5124">
        <w:trPr>
          <w:trHeight w:val="292"/>
        </w:trPr>
        <w:tc>
          <w:tcPr>
            <w:tcW w:w="3625" w:type="dxa"/>
            <w:tcBorders>
              <w:top w:val="nil"/>
              <w:left w:val="nil"/>
              <w:bottom w:val="nil"/>
              <w:right w:val="nil"/>
            </w:tcBorders>
            <w:shd w:val="clear" w:color="auto" w:fill="auto"/>
            <w:noWrap/>
            <w:vAlign w:val="bottom"/>
            <w:hideMark/>
          </w:tcPr>
          <w:p w14:paraId="25C7506C"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Aboriginal or Torres Strait Islander, n(%)</w:t>
            </w:r>
          </w:p>
        </w:tc>
        <w:tc>
          <w:tcPr>
            <w:tcW w:w="1951" w:type="dxa"/>
            <w:tcBorders>
              <w:top w:val="nil"/>
              <w:left w:val="nil"/>
              <w:bottom w:val="nil"/>
              <w:right w:val="nil"/>
            </w:tcBorders>
            <w:shd w:val="clear" w:color="auto" w:fill="auto"/>
            <w:noWrap/>
            <w:vAlign w:val="bottom"/>
            <w:hideMark/>
          </w:tcPr>
          <w:p w14:paraId="6A650298"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2,234 (6.8%)</w:t>
            </w:r>
          </w:p>
        </w:tc>
        <w:tc>
          <w:tcPr>
            <w:tcW w:w="1888" w:type="dxa"/>
            <w:tcBorders>
              <w:top w:val="nil"/>
              <w:left w:val="nil"/>
              <w:bottom w:val="nil"/>
              <w:right w:val="nil"/>
            </w:tcBorders>
            <w:shd w:val="clear" w:color="auto" w:fill="auto"/>
            <w:noWrap/>
            <w:vAlign w:val="center"/>
            <w:hideMark/>
          </w:tcPr>
          <w:p w14:paraId="4021665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2,513 (5.9%)</w:t>
            </w:r>
          </w:p>
        </w:tc>
        <w:tc>
          <w:tcPr>
            <w:tcW w:w="1888" w:type="dxa"/>
            <w:tcBorders>
              <w:top w:val="nil"/>
              <w:left w:val="nil"/>
              <w:bottom w:val="nil"/>
              <w:right w:val="nil"/>
            </w:tcBorders>
            <w:shd w:val="clear" w:color="auto" w:fill="auto"/>
            <w:noWrap/>
            <w:vAlign w:val="center"/>
            <w:hideMark/>
          </w:tcPr>
          <w:p w14:paraId="5C612C97"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4,171 (5.8%)</w:t>
            </w:r>
          </w:p>
        </w:tc>
        <w:tc>
          <w:tcPr>
            <w:tcW w:w="1888" w:type="dxa"/>
            <w:tcBorders>
              <w:top w:val="nil"/>
              <w:left w:val="nil"/>
              <w:bottom w:val="nil"/>
              <w:right w:val="nil"/>
            </w:tcBorders>
            <w:shd w:val="clear" w:color="auto" w:fill="auto"/>
            <w:noWrap/>
            <w:vAlign w:val="center"/>
            <w:hideMark/>
          </w:tcPr>
          <w:p w14:paraId="16F89425"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6,211 (5.8%)</w:t>
            </w:r>
          </w:p>
        </w:tc>
        <w:tc>
          <w:tcPr>
            <w:tcW w:w="1888" w:type="dxa"/>
            <w:tcBorders>
              <w:top w:val="nil"/>
              <w:left w:val="nil"/>
              <w:bottom w:val="nil"/>
              <w:right w:val="nil"/>
            </w:tcBorders>
            <w:shd w:val="clear" w:color="auto" w:fill="auto"/>
            <w:noWrap/>
            <w:vAlign w:val="center"/>
            <w:hideMark/>
          </w:tcPr>
          <w:p w14:paraId="5958098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2,063 (7.6%)</w:t>
            </w:r>
          </w:p>
        </w:tc>
      </w:tr>
      <w:tr w:rsidR="00023CCC" w:rsidRPr="00AD5695" w14:paraId="397CE06D" w14:textId="77777777" w:rsidTr="006F5124">
        <w:trPr>
          <w:trHeight w:val="292"/>
        </w:trPr>
        <w:tc>
          <w:tcPr>
            <w:tcW w:w="3625" w:type="dxa"/>
            <w:tcBorders>
              <w:top w:val="nil"/>
              <w:left w:val="nil"/>
              <w:bottom w:val="nil"/>
              <w:right w:val="nil"/>
            </w:tcBorders>
            <w:shd w:val="clear" w:color="auto" w:fill="auto"/>
            <w:noWrap/>
            <w:vAlign w:val="bottom"/>
            <w:hideMark/>
          </w:tcPr>
          <w:p w14:paraId="229FBCC4"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Remoteness of patient residence, n(%)</w:t>
            </w:r>
          </w:p>
        </w:tc>
        <w:tc>
          <w:tcPr>
            <w:tcW w:w="1951" w:type="dxa"/>
            <w:tcBorders>
              <w:top w:val="nil"/>
              <w:left w:val="nil"/>
              <w:bottom w:val="nil"/>
              <w:right w:val="nil"/>
            </w:tcBorders>
            <w:shd w:val="clear" w:color="auto" w:fill="auto"/>
            <w:noWrap/>
            <w:vAlign w:val="bottom"/>
            <w:hideMark/>
          </w:tcPr>
          <w:p w14:paraId="65197408"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1C854607"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3FDC3C55"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7F034EC9"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3CF260EB" w14:textId="77777777" w:rsidR="00023CCC" w:rsidRPr="00AD5695" w:rsidRDefault="00023CCC" w:rsidP="006F5124">
            <w:pPr>
              <w:spacing w:after="0" w:line="240" w:lineRule="auto"/>
              <w:rPr>
                <w:rFonts w:ascii="Times New Roman" w:eastAsia="Times New Roman" w:hAnsi="Times New Roman"/>
                <w:color w:val="auto"/>
                <w:sz w:val="20"/>
                <w:szCs w:val="20"/>
                <w:lang w:eastAsia="en-AU"/>
              </w:rPr>
            </w:pPr>
          </w:p>
        </w:tc>
      </w:tr>
      <w:tr w:rsidR="00023CCC" w:rsidRPr="00AD5695" w14:paraId="32E85210" w14:textId="77777777" w:rsidTr="006F5124">
        <w:trPr>
          <w:trHeight w:val="292"/>
        </w:trPr>
        <w:tc>
          <w:tcPr>
            <w:tcW w:w="3625" w:type="dxa"/>
            <w:tcBorders>
              <w:top w:val="nil"/>
              <w:left w:val="nil"/>
              <w:bottom w:val="nil"/>
              <w:right w:val="nil"/>
            </w:tcBorders>
            <w:shd w:val="clear" w:color="auto" w:fill="auto"/>
            <w:noWrap/>
            <w:vAlign w:val="bottom"/>
            <w:hideMark/>
          </w:tcPr>
          <w:p w14:paraId="06BA9343"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Major cities</w:t>
            </w:r>
          </w:p>
        </w:tc>
        <w:tc>
          <w:tcPr>
            <w:tcW w:w="1951" w:type="dxa"/>
            <w:tcBorders>
              <w:top w:val="nil"/>
              <w:left w:val="nil"/>
              <w:bottom w:val="nil"/>
              <w:right w:val="nil"/>
            </w:tcBorders>
            <w:shd w:val="clear" w:color="auto" w:fill="auto"/>
            <w:noWrap/>
            <w:vAlign w:val="bottom"/>
            <w:hideMark/>
          </w:tcPr>
          <w:p w14:paraId="3EB026C4"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19,916 (60.5%)</w:t>
            </w:r>
          </w:p>
        </w:tc>
        <w:tc>
          <w:tcPr>
            <w:tcW w:w="1888" w:type="dxa"/>
            <w:tcBorders>
              <w:top w:val="nil"/>
              <w:left w:val="nil"/>
              <w:bottom w:val="nil"/>
              <w:right w:val="nil"/>
            </w:tcBorders>
            <w:shd w:val="clear" w:color="auto" w:fill="auto"/>
            <w:noWrap/>
            <w:vAlign w:val="center"/>
            <w:hideMark/>
          </w:tcPr>
          <w:p w14:paraId="06CBF43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27,226 (63.4%)</w:t>
            </w:r>
          </w:p>
        </w:tc>
        <w:tc>
          <w:tcPr>
            <w:tcW w:w="1888" w:type="dxa"/>
            <w:tcBorders>
              <w:top w:val="nil"/>
              <w:left w:val="nil"/>
              <w:bottom w:val="nil"/>
              <w:right w:val="nil"/>
            </w:tcBorders>
            <w:shd w:val="clear" w:color="auto" w:fill="auto"/>
            <w:noWrap/>
            <w:vAlign w:val="center"/>
            <w:hideMark/>
          </w:tcPr>
          <w:p w14:paraId="59658321"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46,718 (65.2%)</w:t>
            </w:r>
          </w:p>
        </w:tc>
        <w:tc>
          <w:tcPr>
            <w:tcW w:w="1888" w:type="dxa"/>
            <w:tcBorders>
              <w:top w:val="nil"/>
              <w:left w:val="nil"/>
              <w:bottom w:val="nil"/>
              <w:right w:val="nil"/>
            </w:tcBorders>
            <w:shd w:val="clear" w:color="auto" w:fill="auto"/>
            <w:noWrap/>
            <w:vAlign w:val="center"/>
            <w:hideMark/>
          </w:tcPr>
          <w:p w14:paraId="266460F5"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69,269 (64.6%)</w:t>
            </w:r>
          </w:p>
        </w:tc>
        <w:tc>
          <w:tcPr>
            <w:tcW w:w="1888" w:type="dxa"/>
            <w:tcBorders>
              <w:top w:val="nil"/>
              <w:left w:val="nil"/>
              <w:bottom w:val="nil"/>
              <w:right w:val="nil"/>
            </w:tcBorders>
            <w:shd w:val="clear" w:color="auto" w:fill="auto"/>
            <w:noWrap/>
            <w:vAlign w:val="center"/>
            <w:hideMark/>
          </w:tcPr>
          <w:p w14:paraId="73E853E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15,768 (58.1%)</w:t>
            </w:r>
          </w:p>
        </w:tc>
      </w:tr>
      <w:tr w:rsidR="00023CCC" w:rsidRPr="00AD5695" w14:paraId="19757E4F" w14:textId="77777777" w:rsidTr="006F5124">
        <w:trPr>
          <w:trHeight w:val="292"/>
        </w:trPr>
        <w:tc>
          <w:tcPr>
            <w:tcW w:w="3625" w:type="dxa"/>
            <w:tcBorders>
              <w:top w:val="nil"/>
              <w:left w:val="nil"/>
              <w:bottom w:val="nil"/>
              <w:right w:val="nil"/>
            </w:tcBorders>
            <w:shd w:val="clear" w:color="auto" w:fill="auto"/>
            <w:noWrap/>
            <w:vAlign w:val="bottom"/>
            <w:hideMark/>
          </w:tcPr>
          <w:p w14:paraId="15A0F4A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Inner regional</w:t>
            </w:r>
          </w:p>
        </w:tc>
        <w:tc>
          <w:tcPr>
            <w:tcW w:w="1951" w:type="dxa"/>
            <w:tcBorders>
              <w:top w:val="nil"/>
              <w:left w:val="nil"/>
              <w:bottom w:val="nil"/>
              <w:right w:val="nil"/>
            </w:tcBorders>
            <w:shd w:val="clear" w:color="auto" w:fill="auto"/>
            <w:noWrap/>
            <w:vAlign w:val="bottom"/>
            <w:hideMark/>
          </w:tcPr>
          <w:p w14:paraId="5AD7418D"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7,581 (23.0%)</w:t>
            </w:r>
          </w:p>
        </w:tc>
        <w:tc>
          <w:tcPr>
            <w:tcW w:w="1888" w:type="dxa"/>
            <w:tcBorders>
              <w:top w:val="nil"/>
              <w:left w:val="nil"/>
              <w:bottom w:val="nil"/>
              <w:right w:val="nil"/>
            </w:tcBorders>
            <w:shd w:val="clear" w:color="auto" w:fill="auto"/>
            <w:noWrap/>
            <w:vAlign w:val="center"/>
            <w:hideMark/>
          </w:tcPr>
          <w:p w14:paraId="0EFA9A9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9,401 (21.9%)</w:t>
            </w:r>
          </w:p>
        </w:tc>
        <w:tc>
          <w:tcPr>
            <w:tcW w:w="1888" w:type="dxa"/>
            <w:tcBorders>
              <w:top w:val="nil"/>
              <w:left w:val="nil"/>
              <w:bottom w:val="nil"/>
              <w:right w:val="nil"/>
            </w:tcBorders>
            <w:shd w:val="clear" w:color="auto" w:fill="auto"/>
            <w:noWrap/>
            <w:vAlign w:val="center"/>
            <w:hideMark/>
          </w:tcPr>
          <w:p w14:paraId="3F0A2B16"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15,226 (21.3%)</w:t>
            </w:r>
          </w:p>
        </w:tc>
        <w:tc>
          <w:tcPr>
            <w:tcW w:w="1888" w:type="dxa"/>
            <w:tcBorders>
              <w:top w:val="nil"/>
              <w:left w:val="nil"/>
              <w:bottom w:val="nil"/>
              <w:right w:val="nil"/>
            </w:tcBorders>
            <w:shd w:val="clear" w:color="auto" w:fill="auto"/>
            <w:noWrap/>
            <w:vAlign w:val="center"/>
            <w:hideMark/>
          </w:tcPr>
          <w:p w14:paraId="0423D1B9"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22,956 (21.4%)</w:t>
            </w:r>
          </w:p>
        </w:tc>
        <w:tc>
          <w:tcPr>
            <w:tcW w:w="1888" w:type="dxa"/>
            <w:tcBorders>
              <w:top w:val="nil"/>
              <w:left w:val="nil"/>
              <w:bottom w:val="nil"/>
              <w:right w:val="nil"/>
            </w:tcBorders>
            <w:shd w:val="clear" w:color="auto" w:fill="auto"/>
            <w:noWrap/>
            <w:vAlign w:val="center"/>
            <w:hideMark/>
          </w:tcPr>
          <w:p w14:paraId="6D315ACE"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6,543 (24.1%)</w:t>
            </w:r>
          </w:p>
        </w:tc>
      </w:tr>
      <w:tr w:rsidR="00023CCC" w:rsidRPr="00AD5695" w14:paraId="051D0A9C" w14:textId="77777777" w:rsidTr="006F5124">
        <w:trPr>
          <w:trHeight w:val="292"/>
        </w:trPr>
        <w:tc>
          <w:tcPr>
            <w:tcW w:w="3625" w:type="dxa"/>
            <w:tcBorders>
              <w:top w:val="nil"/>
              <w:left w:val="nil"/>
              <w:bottom w:val="nil"/>
              <w:right w:val="nil"/>
            </w:tcBorders>
            <w:shd w:val="clear" w:color="auto" w:fill="auto"/>
            <w:noWrap/>
            <w:vAlign w:val="bottom"/>
            <w:hideMark/>
          </w:tcPr>
          <w:p w14:paraId="4B7B5EB6"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Outer regional</w:t>
            </w:r>
          </w:p>
        </w:tc>
        <w:tc>
          <w:tcPr>
            <w:tcW w:w="1951" w:type="dxa"/>
            <w:tcBorders>
              <w:top w:val="nil"/>
              <w:left w:val="nil"/>
              <w:bottom w:val="nil"/>
              <w:right w:val="nil"/>
            </w:tcBorders>
            <w:shd w:val="clear" w:color="auto" w:fill="auto"/>
            <w:noWrap/>
            <w:vAlign w:val="bottom"/>
            <w:hideMark/>
          </w:tcPr>
          <w:p w14:paraId="56ED46EE"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3,935 (12.0%)</w:t>
            </w:r>
          </w:p>
        </w:tc>
        <w:tc>
          <w:tcPr>
            <w:tcW w:w="1888" w:type="dxa"/>
            <w:tcBorders>
              <w:top w:val="nil"/>
              <w:left w:val="nil"/>
              <w:bottom w:val="nil"/>
              <w:right w:val="nil"/>
            </w:tcBorders>
            <w:shd w:val="clear" w:color="auto" w:fill="auto"/>
            <w:noWrap/>
            <w:vAlign w:val="center"/>
            <w:hideMark/>
          </w:tcPr>
          <w:p w14:paraId="67C6F7F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4,497 (10.5%)</w:t>
            </w:r>
          </w:p>
        </w:tc>
        <w:tc>
          <w:tcPr>
            <w:tcW w:w="1888" w:type="dxa"/>
            <w:tcBorders>
              <w:top w:val="nil"/>
              <w:left w:val="nil"/>
              <w:bottom w:val="nil"/>
              <w:right w:val="nil"/>
            </w:tcBorders>
            <w:shd w:val="clear" w:color="auto" w:fill="auto"/>
            <w:noWrap/>
            <w:vAlign w:val="center"/>
            <w:hideMark/>
          </w:tcPr>
          <w:p w14:paraId="5724BBD1"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6,924 (9.7%)</w:t>
            </w:r>
          </w:p>
        </w:tc>
        <w:tc>
          <w:tcPr>
            <w:tcW w:w="1888" w:type="dxa"/>
            <w:tcBorders>
              <w:top w:val="nil"/>
              <w:left w:val="nil"/>
              <w:bottom w:val="nil"/>
              <w:right w:val="nil"/>
            </w:tcBorders>
            <w:shd w:val="clear" w:color="auto" w:fill="auto"/>
            <w:noWrap/>
            <w:vAlign w:val="center"/>
            <w:hideMark/>
          </w:tcPr>
          <w:p w14:paraId="37461406"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10,730 (10.0%)</w:t>
            </w:r>
          </w:p>
        </w:tc>
        <w:tc>
          <w:tcPr>
            <w:tcW w:w="1888" w:type="dxa"/>
            <w:tcBorders>
              <w:top w:val="nil"/>
              <w:left w:val="nil"/>
              <w:bottom w:val="nil"/>
              <w:right w:val="nil"/>
            </w:tcBorders>
            <w:shd w:val="clear" w:color="auto" w:fill="auto"/>
            <w:noWrap/>
            <w:vAlign w:val="center"/>
            <w:hideMark/>
          </w:tcPr>
          <w:p w14:paraId="167AEE84"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3,465 (12.8%)</w:t>
            </w:r>
          </w:p>
        </w:tc>
      </w:tr>
      <w:tr w:rsidR="00023CCC" w:rsidRPr="00AD5695" w14:paraId="0D63E398" w14:textId="77777777" w:rsidTr="006F5124">
        <w:trPr>
          <w:trHeight w:val="292"/>
        </w:trPr>
        <w:tc>
          <w:tcPr>
            <w:tcW w:w="3625" w:type="dxa"/>
            <w:tcBorders>
              <w:top w:val="nil"/>
              <w:left w:val="nil"/>
              <w:bottom w:val="nil"/>
              <w:right w:val="nil"/>
            </w:tcBorders>
            <w:shd w:val="clear" w:color="auto" w:fill="auto"/>
            <w:noWrap/>
            <w:vAlign w:val="bottom"/>
            <w:hideMark/>
          </w:tcPr>
          <w:p w14:paraId="462CAF2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Remote</w:t>
            </w:r>
          </w:p>
        </w:tc>
        <w:tc>
          <w:tcPr>
            <w:tcW w:w="1951" w:type="dxa"/>
            <w:tcBorders>
              <w:top w:val="nil"/>
              <w:left w:val="nil"/>
              <w:bottom w:val="nil"/>
              <w:right w:val="nil"/>
            </w:tcBorders>
            <w:shd w:val="clear" w:color="auto" w:fill="auto"/>
            <w:noWrap/>
            <w:vAlign w:val="bottom"/>
            <w:hideMark/>
          </w:tcPr>
          <w:p w14:paraId="3B494D8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1,403 (4.3%)</w:t>
            </w:r>
          </w:p>
        </w:tc>
        <w:tc>
          <w:tcPr>
            <w:tcW w:w="1888" w:type="dxa"/>
            <w:tcBorders>
              <w:top w:val="nil"/>
              <w:left w:val="nil"/>
              <w:bottom w:val="nil"/>
              <w:right w:val="nil"/>
            </w:tcBorders>
            <w:shd w:val="clear" w:color="auto" w:fill="auto"/>
            <w:noWrap/>
            <w:vAlign w:val="center"/>
            <w:hideMark/>
          </w:tcPr>
          <w:p w14:paraId="062F26E2"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1,534 (3.6%)</w:t>
            </w:r>
          </w:p>
        </w:tc>
        <w:tc>
          <w:tcPr>
            <w:tcW w:w="1888" w:type="dxa"/>
            <w:tcBorders>
              <w:top w:val="nil"/>
              <w:left w:val="nil"/>
              <w:bottom w:val="nil"/>
              <w:right w:val="nil"/>
            </w:tcBorders>
            <w:shd w:val="clear" w:color="auto" w:fill="auto"/>
            <w:noWrap/>
            <w:vAlign w:val="center"/>
            <w:hideMark/>
          </w:tcPr>
          <w:p w14:paraId="59F3577C"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2,211 (3.1%)</w:t>
            </w:r>
          </w:p>
        </w:tc>
        <w:tc>
          <w:tcPr>
            <w:tcW w:w="1888" w:type="dxa"/>
            <w:tcBorders>
              <w:top w:val="nil"/>
              <w:left w:val="nil"/>
              <w:bottom w:val="nil"/>
              <w:right w:val="nil"/>
            </w:tcBorders>
            <w:shd w:val="clear" w:color="auto" w:fill="auto"/>
            <w:noWrap/>
            <w:vAlign w:val="center"/>
            <w:hideMark/>
          </w:tcPr>
          <w:p w14:paraId="67701067"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3,478 (3.2%)</w:t>
            </w:r>
          </w:p>
        </w:tc>
        <w:tc>
          <w:tcPr>
            <w:tcW w:w="1888" w:type="dxa"/>
            <w:tcBorders>
              <w:top w:val="nil"/>
              <w:left w:val="nil"/>
              <w:bottom w:val="nil"/>
              <w:right w:val="nil"/>
            </w:tcBorders>
            <w:shd w:val="clear" w:color="auto" w:fill="auto"/>
            <w:noWrap/>
            <w:vAlign w:val="center"/>
            <w:hideMark/>
          </w:tcPr>
          <w:p w14:paraId="51322FE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1,277 (4.7%)</w:t>
            </w:r>
          </w:p>
        </w:tc>
      </w:tr>
      <w:tr w:rsidR="00023CCC" w:rsidRPr="00AD5695" w14:paraId="47656DE0" w14:textId="77777777" w:rsidTr="006F5124">
        <w:trPr>
          <w:trHeight w:val="292"/>
        </w:trPr>
        <w:tc>
          <w:tcPr>
            <w:tcW w:w="3625" w:type="dxa"/>
            <w:tcBorders>
              <w:top w:val="nil"/>
              <w:left w:val="nil"/>
              <w:bottom w:val="nil"/>
              <w:right w:val="nil"/>
            </w:tcBorders>
            <w:shd w:val="clear" w:color="auto" w:fill="auto"/>
            <w:noWrap/>
            <w:vAlign w:val="bottom"/>
            <w:hideMark/>
          </w:tcPr>
          <w:p w14:paraId="4C1F06AD"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Socio-economic (SES) disadvantage, n(%)</w:t>
            </w:r>
          </w:p>
        </w:tc>
        <w:tc>
          <w:tcPr>
            <w:tcW w:w="1951" w:type="dxa"/>
            <w:tcBorders>
              <w:top w:val="nil"/>
              <w:left w:val="nil"/>
              <w:bottom w:val="nil"/>
              <w:right w:val="nil"/>
            </w:tcBorders>
            <w:shd w:val="clear" w:color="auto" w:fill="auto"/>
            <w:noWrap/>
            <w:vAlign w:val="bottom"/>
            <w:hideMark/>
          </w:tcPr>
          <w:p w14:paraId="5D4FE720"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p>
        </w:tc>
        <w:tc>
          <w:tcPr>
            <w:tcW w:w="1888" w:type="dxa"/>
            <w:tcBorders>
              <w:top w:val="nil"/>
              <w:left w:val="nil"/>
              <w:bottom w:val="nil"/>
              <w:right w:val="nil"/>
            </w:tcBorders>
            <w:shd w:val="clear" w:color="auto" w:fill="auto"/>
            <w:noWrap/>
            <w:vAlign w:val="center"/>
            <w:hideMark/>
          </w:tcPr>
          <w:p w14:paraId="5D628D04"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center"/>
            <w:hideMark/>
          </w:tcPr>
          <w:p w14:paraId="28C8BCDA"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center"/>
            <w:hideMark/>
          </w:tcPr>
          <w:p w14:paraId="3801CE56"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center"/>
            <w:hideMark/>
          </w:tcPr>
          <w:p w14:paraId="38559C99"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r>
      <w:tr w:rsidR="00023CCC" w:rsidRPr="00AD5695" w14:paraId="5358FCF4" w14:textId="77777777" w:rsidTr="006F5124">
        <w:trPr>
          <w:trHeight w:val="292"/>
        </w:trPr>
        <w:tc>
          <w:tcPr>
            <w:tcW w:w="3625" w:type="dxa"/>
            <w:tcBorders>
              <w:top w:val="nil"/>
              <w:left w:val="nil"/>
              <w:bottom w:val="nil"/>
              <w:right w:val="nil"/>
            </w:tcBorders>
            <w:shd w:val="clear" w:color="auto" w:fill="auto"/>
            <w:noWrap/>
            <w:vAlign w:val="bottom"/>
            <w:hideMark/>
          </w:tcPr>
          <w:p w14:paraId="1935117B"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Most disadvantaged (1)</w:t>
            </w:r>
          </w:p>
        </w:tc>
        <w:tc>
          <w:tcPr>
            <w:tcW w:w="1951" w:type="dxa"/>
            <w:tcBorders>
              <w:top w:val="nil"/>
              <w:left w:val="nil"/>
              <w:bottom w:val="nil"/>
              <w:right w:val="nil"/>
            </w:tcBorders>
            <w:shd w:val="clear" w:color="auto" w:fill="auto"/>
            <w:noWrap/>
            <w:vAlign w:val="bottom"/>
            <w:hideMark/>
          </w:tcPr>
          <w:p w14:paraId="23EC4CC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8,753 (26.6%)</w:t>
            </w:r>
          </w:p>
        </w:tc>
        <w:tc>
          <w:tcPr>
            <w:tcW w:w="1888" w:type="dxa"/>
            <w:tcBorders>
              <w:top w:val="nil"/>
              <w:left w:val="nil"/>
              <w:bottom w:val="nil"/>
              <w:right w:val="nil"/>
            </w:tcBorders>
            <w:shd w:val="clear" w:color="auto" w:fill="auto"/>
            <w:noWrap/>
            <w:vAlign w:val="center"/>
            <w:hideMark/>
          </w:tcPr>
          <w:p w14:paraId="3B49ADB5"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10,502 (24.5%)</w:t>
            </w:r>
          </w:p>
        </w:tc>
        <w:tc>
          <w:tcPr>
            <w:tcW w:w="1888" w:type="dxa"/>
            <w:tcBorders>
              <w:top w:val="nil"/>
              <w:left w:val="nil"/>
              <w:bottom w:val="nil"/>
              <w:right w:val="nil"/>
            </w:tcBorders>
            <w:shd w:val="clear" w:color="auto" w:fill="auto"/>
            <w:noWrap/>
            <w:vAlign w:val="center"/>
            <w:hideMark/>
          </w:tcPr>
          <w:p w14:paraId="1499BC91"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17,488 (24.4%)</w:t>
            </w:r>
          </w:p>
        </w:tc>
        <w:tc>
          <w:tcPr>
            <w:tcW w:w="1888" w:type="dxa"/>
            <w:tcBorders>
              <w:top w:val="nil"/>
              <w:left w:val="nil"/>
              <w:bottom w:val="nil"/>
              <w:right w:val="nil"/>
            </w:tcBorders>
            <w:shd w:val="clear" w:color="auto" w:fill="auto"/>
            <w:noWrap/>
            <w:vAlign w:val="center"/>
            <w:hideMark/>
          </w:tcPr>
          <w:p w14:paraId="68E3C8E9"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26,026 (24.3%)</w:t>
            </w:r>
          </w:p>
        </w:tc>
        <w:tc>
          <w:tcPr>
            <w:tcW w:w="1888" w:type="dxa"/>
            <w:tcBorders>
              <w:top w:val="nil"/>
              <w:left w:val="nil"/>
              <w:bottom w:val="nil"/>
              <w:right w:val="nil"/>
            </w:tcBorders>
            <w:shd w:val="clear" w:color="auto" w:fill="auto"/>
            <w:noWrap/>
            <w:vAlign w:val="center"/>
            <w:hideMark/>
          </w:tcPr>
          <w:p w14:paraId="059F825E"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7,369 (27.2%)</w:t>
            </w:r>
          </w:p>
        </w:tc>
      </w:tr>
      <w:tr w:rsidR="00023CCC" w:rsidRPr="00AD5695" w14:paraId="033ACB53" w14:textId="77777777" w:rsidTr="006F5124">
        <w:trPr>
          <w:trHeight w:val="292"/>
        </w:trPr>
        <w:tc>
          <w:tcPr>
            <w:tcW w:w="3625" w:type="dxa"/>
            <w:tcBorders>
              <w:top w:val="nil"/>
              <w:left w:val="nil"/>
              <w:bottom w:val="nil"/>
              <w:right w:val="nil"/>
            </w:tcBorders>
            <w:shd w:val="clear" w:color="auto" w:fill="auto"/>
            <w:noWrap/>
            <w:vAlign w:val="bottom"/>
            <w:hideMark/>
          </w:tcPr>
          <w:p w14:paraId="17ED0E4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lastRenderedPageBreak/>
              <w:t>2</w:t>
            </w:r>
          </w:p>
        </w:tc>
        <w:tc>
          <w:tcPr>
            <w:tcW w:w="1951" w:type="dxa"/>
            <w:tcBorders>
              <w:top w:val="nil"/>
              <w:left w:val="nil"/>
              <w:bottom w:val="nil"/>
              <w:right w:val="nil"/>
            </w:tcBorders>
            <w:shd w:val="clear" w:color="auto" w:fill="auto"/>
            <w:noWrap/>
            <w:vAlign w:val="bottom"/>
            <w:hideMark/>
          </w:tcPr>
          <w:p w14:paraId="7C4AB53A"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6,903 (21.0%)</w:t>
            </w:r>
          </w:p>
        </w:tc>
        <w:tc>
          <w:tcPr>
            <w:tcW w:w="1888" w:type="dxa"/>
            <w:tcBorders>
              <w:top w:val="nil"/>
              <w:left w:val="nil"/>
              <w:bottom w:val="nil"/>
              <w:right w:val="nil"/>
            </w:tcBorders>
            <w:shd w:val="clear" w:color="auto" w:fill="auto"/>
            <w:noWrap/>
            <w:vAlign w:val="center"/>
            <w:hideMark/>
          </w:tcPr>
          <w:p w14:paraId="59176BA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8,948 (20.8%)</w:t>
            </w:r>
          </w:p>
        </w:tc>
        <w:tc>
          <w:tcPr>
            <w:tcW w:w="1888" w:type="dxa"/>
            <w:tcBorders>
              <w:top w:val="nil"/>
              <w:left w:val="nil"/>
              <w:bottom w:val="nil"/>
              <w:right w:val="nil"/>
            </w:tcBorders>
            <w:shd w:val="clear" w:color="auto" w:fill="auto"/>
            <w:noWrap/>
            <w:vAlign w:val="center"/>
            <w:hideMark/>
          </w:tcPr>
          <w:p w14:paraId="728AC48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14,326 (20.0%)</w:t>
            </w:r>
          </w:p>
        </w:tc>
        <w:tc>
          <w:tcPr>
            <w:tcW w:w="1888" w:type="dxa"/>
            <w:tcBorders>
              <w:top w:val="nil"/>
              <w:left w:val="nil"/>
              <w:bottom w:val="nil"/>
              <w:right w:val="nil"/>
            </w:tcBorders>
            <w:shd w:val="clear" w:color="auto" w:fill="auto"/>
            <w:noWrap/>
            <w:vAlign w:val="center"/>
            <w:hideMark/>
          </w:tcPr>
          <w:p w14:paraId="50A36D54"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21,744 (20.3%)</w:t>
            </w:r>
          </w:p>
        </w:tc>
        <w:tc>
          <w:tcPr>
            <w:tcW w:w="1888" w:type="dxa"/>
            <w:tcBorders>
              <w:top w:val="nil"/>
              <w:left w:val="nil"/>
              <w:bottom w:val="nil"/>
              <w:right w:val="nil"/>
            </w:tcBorders>
            <w:shd w:val="clear" w:color="auto" w:fill="auto"/>
            <w:noWrap/>
            <w:vAlign w:val="center"/>
            <w:hideMark/>
          </w:tcPr>
          <w:p w14:paraId="28A5FF2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5,819 (21.4%)</w:t>
            </w:r>
          </w:p>
        </w:tc>
      </w:tr>
      <w:tr w:rsidR="00023CCC" w:rsidRPr="00AD5695" w14:paraId="64EA2517" w14:textId="77777777" w:rsidTr="006F5124">
        <w:trPr>
          <w:trHeight w:val="292"/>
        </w:trPr>
        <w:tc>
          <w:tcPr>
            <w:tcW w:w="3625" w:type="dxa"/>
            <w:tcBorders>
              <w:top w:val="nil"/>
              <w:left w:val="nil"/>
              <w:bottom w:val="nil"/>
              <w:right w:val="nil"/>
            </w:tcBorders>
            <w:shd w:val="clear" w:color="auto" w:fill="auto"/>
            <w:noWrap/>
            <w:vAlign w:val="bottom"/>
            <w:hideMark/>
          </w:tcPr>
          <w:p w14:paraId="0196D332"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3</w:t>
            </w:r>
          </w:p>
        </w:tc>
        <w:tc>
          <w:tcPr>
            <w:tcW w:w="1951" w:type="dxa"/>
            <w:tcBorders>
              <w:top w:val="nil"/>
              <w:left w:val="nil"/>
              <w:bottom w:val="nil"/>
              <w:right w:val="nil"/>
            </w:tcBorders>
            <w:shd w:val="clear" w:color="auto" w:fill="auto"/>
            <w:noWrap/>
            <w:vAlign w:val="bottom"/>
            <w:hideMark/>
          </w:tcPr>
          <w:p w14:paraId="1230E6CF"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7,251 (22.0%)</w:t>
            </w:r>
          </w:p>
        </w:tc>
        <w:tc>
          <w:tcPr>
            <w:tcW w:w="1888" w:type="dxa"/>
            <w:tcBorders>
              <w:top w:val="nil"/>
              <w:left w:val="nil"/>
              <w:bottom w:val="nil"/>
              <w:right w:val="nil"/>
            </w:tcBorders>
            <w:shd w:val="clear" w:color="auto" w:fill="auto"/>
            <w:noWrap/>
            <w:vAlign w:val="center"/>
            <w:hideMark/>
          </w:tcPr>
          <w:p w14:paraId="79133BC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9,646 (22.5%)</w:t>
            </w:r>
          </w:p>
        </w:tc>
        <w:tc>
          <w:tcPr>
            <w:tcW w:w="1888" w:type="dxa"/>
            <w:tcBorders>
              <w:top w:val="nil"/>
              <w:left w:val="nil"/>
              <w:bottom w:val="nil"/>
              <w:right w:val="nil"/>
            </w:tcBorders>
            <w:shd w:val="clear" w:color="auto" w:fill="auto"/>
            <w:noWrap/>
            <w:vAlign w:val="center"/>
            <w:hideMark/>
          </w:tcPr>
          <w:p w14:paraId="71EA25C8"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16,053 (22.4%)</w:t>
            </w:r>
          </w:p>
        </w:tc>
        <w:tc>
          <w:tcPr>
            <w:tcW w:w="1888" w:type="dxa"/>
            <w:tcBorders>
              <w:top w:val="nil"/>
              <w:left w:val="nil"/>
              <w:bottom w:val="nil"/>
              <w:right w:val="nil"/>
            </w:tcBorders>
            <w:shd w:val="clear" w:color="auto" w:fill="auto"/>
            <w:noWrap/>
            <w:vAlign w:val="center"/>
            <w:hideMark/>
          </w:tcPr>
          <w:p w14:paraId="3EB854E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24,041 (22.4%)</w:t>
            </w:r>
          </w:p>
        </w:tc>
        <w:tc>
          <w:tcPr>
            <w:tcW w:w="1888" w:type="dxa"/>
            <w:tcBorders>
              <w:top w:val="nil"/>
              <w:left w:val="nil"/>
              <w:bottom w:val="nil"/>
              <w:right w:val="nil"/>
            </w:tcBorders>
            <w:shd w:val="clear" w:color="auto" w:fill="auto"/>
            <w:noWrap/>
            <w:vAlign w:val="center"/>
            <w:hideMark/>
          </w:tcPr>
          <w:p w14:paraId="409D12E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5,920 (21.8%)</w:t>
            </w:r>
          </w:p>
        </w:tc>
      </w:tr>
      <w:tr w:rsidR="00023CCC" w:rsidRPr="00AD5695" w14:paraId="1DE05E28" w14:textId="77777777" w:rsidTr="006F5124">
        <w:trPr>
          <w:trHeight w:val="292"/>
        </w:trPr>
        <w:tc>
          <w:tcPr>
            <w:tcW w:w="3625" w:type="dxa"/>
            <w:tcBorders>
              <w:top w:val="nil"/>
              <w:left w:val="nil"/>
              <w:bottom w:val="nil"/>
              <w:right w:val="nil"/>
            </w:tcBorders>
            <w:shd w:val="clear" w:color="auto" w:fill="auto"/>
            <w:noWrap/>
            <w:vAlign w:val="bottom"/>
            <w:hideMark/>
          </w:tcPr>
          <w:p w14:paraId="059DDE0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w:t>
            </w:r>
          </w:p>
        </w:tc>
        <w:tc>
          <w:tcPr>
            <w:tcW w:w="1951" w:type="dxa"/>
            <w:tcBorders>
              <w:top w:val="nil"/>
              <w:left w:val="nil"/>
              <w:bottom w:val="nil"/>
              <w:right w:val="nil"/>
            </w:tcBorders>
            <w:shd w:val="clear" w:color="auto" w:fill="auto"/>
            <w:noWrap/>
            <w:vAlign w:val="bottom"/>
            <w:hideMark/>
          </w:tcPr>
          <w:p w14:paraId="145B003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5,540 (16.8%)</w:t>
            </w:r>
          </w:p>
        </w:tc>
        <w:tc>
          <w:tcPr>
            <w:tcW w:w="1888" w:type="dxa"/>
            <w:tcBorders>
              <w:top w:val="nil"/>
              <w:left w:val="nil"/>
              <w:bottom w:val="nil"/>
              <w:right w:val="nil"/>
            </w:tcBorders>
            <w:shd w:val="clear" w:color="auto" w:fill="auto"/>
            <w:noWrap/>
            <w:vAlign w:val="center"/>
            <w:hideMark/>
          </w:tcPr>
          <w:p w14:paraId="02232F3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7,457 (17.4%)</w:t>
            </w:r>
          </w:p>
        </w:tc>
        <w:tc>
          <w:tcPr>
            <w:tcW w:w="1888" w:type="dxa"/>
            <w:tcBorders>
              <w:top w:val="nil"/>
              <w:left w:val="nil"/>
              <w:bottom w:val="nil"/>
              <w:right w:val="nil"/>
            </w:tcBorders>
            <w:shd w:val="clear" w:color="auto" w:fill="auto"/>
            <w:noWrap/>
            <w:vAlign w:val="center"/>
            <w:hideMark/>
          </w:tcPr>
          <w:p w14:paraId="1AD8366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12,636 (17.6%)</w:t>
            </w:r>
          </w:p>
        </w:tc>
        <w:tc>
          <w:tcPr>
            <w:tcW w:w="1888" w:type="dxa"/>
            <w:tcBorders>
              <w:top w:val="nil"/>
              <w:left w:val="nil"/>
              <w:bottom w:val="nil"/>
              <w:right w:val="nil"/>
            </w:tcBorders>
            <w:shd w:val="clear" w:color="auto" w:fill="auto"/>
            <w:noWrap/>
            <w:vAlign w:val="center"/>
            <w:hideMark/>
          </w:tcPr>
          <w:p w14:paraId="73AB5E2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18,899 (17.6%)</w:t>
            </w:r>
          </w:p>
        </w:tc>
        <w:tc>
          <w:tcPr>
            <w:tcW w:w="1888" w:type="dxa"/>
            <w:tcBorders>
              <w:top w:val="nil"/>
              <w:left w:val="nil"/>
              <w:bottom w:val="nil"/>
              <w:right w:val="nil"/>
            </w:tcBorders>
            <w:shd w:val="clear" w:color="auto" w:fill="auto"/>
            <w:noWrap/>
            <w:vAlign w:val="center"/>
            <w:hideMark/>
          </w:tcPr>
          <w:p w14:paraId="1047645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4,453 (16.4%)</w:t>
            </w:r>
          </w:p>
        </w:tc>
      </w:tr>
      <w:tr w:rsidR="00023CCC" w:rsidRPr="00AD5695" w14:paraId="7AF302C1" w14:textId="77777777" w:rsidTr="006F5124">
        <w:trPr>
          <w:trHeight w:val="292"/>
        </w:trPr>
        <w:tc>
          <w:tcPr>
            <w:tcW w:w="3625" w:type="dxa"/>
            <w:tcBorders>
              <w:top w:val="nil"/>
              <w:left w:val="nil"/>
              <w:bottom w:val="nil"/>
              <w:right w:val="nil"/>
            </w:tcBorders>
            <w:shd w:val="clear" w:color="auto" w:fill="auto"/>
            <w:noWrap/>
            <w:vAlign w:val="bottom"/>
            <w:hideMark/>
          </w:tcPr>
          <w:p w14:paraId="4388D922"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Least disadvantaged (5)</w:t>
            </w:r>
          </w:p>
        </w:tc>
        <w:tc>
          <w:tcPr>
            <w:tcW w:w="1951" w:type="dxa"/>
            <w:tcBorders>
              <w:top w:val="nil"/>
              <w:left w:val="nil"/>
              <w:bottom w:val="nil"/>
              <w:right w:val="nil"/>
            </w:tcBorders>
            <w:shd w:val="clear" w:color="auto" w:fill="auto"/>
            <w:noWrap/>
            <w:vAlign w:val="bottom"/>
            <w:hideMark/>
          </w:tcPr>
          <w:p w14:paraId="73FEB475"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4,387 (13.3%)</w:t>
            </w:r>
          </w:p>
        </w:tc>
        <w:tc>
          <w:tcPr>
            <w:tcW w:w="1888" w:type="dxa"/>
            <w:tcBorders>
              <w:top w:val="nil"/>
              <w:left w:val="nil"/>
              <w:bottom w:val="nil"/>
              <w:right w:val="nil"/>
            </w:tcBorders>
            <w:shd w:val="clear" w:color="auto" w:fill="auto"/>
            <w:noWrap/>
            <w:vAlign w:val="center"/>
            <w:hideMark/>
          </w:tcPr>
          <w:p w14:paraId="0D5DD4C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6,103 (14.2%)</w:t>
            </w:r>
          </w:p>
        </w:tc>
        <w:tc>
          <w:tcPr>
            <w:tcW w:w="1888" w:type="dxa"/>
            <w:tcBorders>
              <w:top w:val="nil"/>
              <w:left w:val="nil"/>
              <w:bottom w:val="nil"/>
              <w:right w:val="nil"/>
            </w:tcBorders>
            <w:shd w:val="clear" w:color="auto" w:fill="auto"/>
            <w:noWrap/>
            <w:vAlign w:val="center"/>
            <w:hideMark/>
          </w:tcPr>
          <w:p w14:paraId="63B9B6A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10,574 (14.8%)</w:t>
            </w:r>
          </w:p>
        </w:tc>
        <w:tc>
          <w:tcPr>
            <w:tcW w:w="1888" w:type="dxa"/>
            <w:tcBorders>
              <w:top w:val="nil"/>
              <w:left w:val="nil"/>
              <w:bottom w:val="nil"/>
              <w:right w:val="nil"/>
            </w:tcBorders>
            <w:shd w:val="clear" w:color="auto" w:fill="auto"/>
            <w:noWrap/>
            <w:vAlign w:val="center"/>
            <w:hideMark/>
          </w:tcPr>
          <w:p w14:paraId="66A214DD"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15,719 (14.7%)</w:t>
            </w:r>
          </w:p>
        </w:tc>
        <w:tc>
          <w:tcPr>
            <w:tcW w:w="1888" w:type="dxa"/>
            <w:tcBorders>
              <w:top w:val="nil"/>
              <w:left w:val="nil"/>
              <w:bottom w:val="nil"/>
              <w:right w:val="nil"/>
            </w:tcBorders>
            <w:shd w:val="clear" w:color="auto" w:fill="auto"/>
            <w:noWrap/>
            <w:vAlign w:val="center"/>
            <w:hideMark/>
          </w:tcPr>
          <w:p w14:paraId="73075273"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3,490 (12.9%)</w:t>
            </w:r>
          </w:p>
        </w:tc>
      </w:tr>
      <w:tr w:rsidR="00023CCC" w:rsidRPr="00AD5695" w14:paraId="4BFC5735" w14:textId="77777777" w:rsidTr="006F5124">
        <w:trPr>
          <w:trHeight w:val="292"/>
        </w:trPr>
        <w:tc>
          <w:tcPr>
            <w:tcW w:w="3625" w:type="dxa"/>
            <w:tcBorders>
              <w:top w:val="nil"/>
              <w:left w:val="nil"/>
              <w:bottom w:val="nil"/>
              <w:right w:val="nil"/>
            </w:tcBorders>
            <w:shd w:val="clear" w:color="auto" w:fill="auto"/>
            <w:noWrap/>
            <w:vAlign w:val="bottom"/>
            <w:hideMark/>
          </w:tcPr>
          <w:p w14:paraId="57BDA56A" w14:textId="77777777" w:rsidR="00023CCC" w:rsidRPr="00AD5695" w:rsidRDefault="00023CCC" w:rsidP="006F5124">
            <w:pPr>
              <w:keepNext/>
              <w:spacing w:after="0" w:line="240" w:lineRule="auto"/>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Comorbidities, n(%)</w:t>
            </w:r>
          </w:p>
        </w:tc>
        <w:tc>
          <w:tcPr>
            <w:tcW w:w="1951" w:type="dxa"/>
            <w:tcBorders>
              <w:top w:val="nil"/>
              <w:left w:val="nil"/>
              <w:bottom w:val="nil"/>
              <w:right w:val="nil"/>
            </w:tcBorders>
            <w:shd w:val="clear" w:color="auto" w:fill="auto"/>
            <w:noWrap/>
            <w:vAlign w:val="bottom"/>
            <w:hideMark/>
          </w:tcPr>
          <w:p w14:paraId="217FC4BA" w14:textId="77777777" w:rsidR="00023CCC" w:rsidRPr="00AD5695" w:rsidRDefault="00023CCC" w:rsidP="006F5124">
            <w:pPr>
              <w:spacing w:after="0" w:line="240" w:lineRule="auto"/>
              <w:rPr>
                <w:rFonts w:ascii="Calibri" w:eastAsia="Times New Roman" w:hAnsi="Calibri" w:cs="Calibri"/>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3DAAD8A8"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5E466AA3"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4E75E59A" w14:textId="77777777" w:rsidR="00023CCC" w:rsidRPr="00AD5695" w:rsidRDefault="00023CCC" w:rsidP="006F5124">
            <w:pPr>
              <w:spacing w:after="0" w:line="240" w:lineRule="auto"/>
              <w:jc w:val="right"/>
              <w:rPr>
                <w:rFonts w:ascii="Times New Roman" w:eastAsia="Times New Roman" w:hAnsi="Times New Roman"/>
                <w:color w:val="auto"/>
                <w:sz w:val="20"/>
                <w:szCs w:val="20"/>
                <w:lang w:eastAsia="en-AU"/>
              </w:rPr>
            </w:pPr>
          </w:p>
        </w:tc>
        <w:tc>
          <w:tcPr>
            <w:tcW w:w="1888" w:type="dxa"/>
            <w:tcBorders>
              <w:top w:val="nil"/>
              <w:left w:val="nil"/>
              <w:bottom w:val="nil"/>
              <w:right w:val="nil"/>
            </w:tcBorders>
            <w:shd w:val="clear" w:color="auto" w:fill="auto"/>
            <w:noWrap/>
            <w:vAlign w:val="bottom"/>
            <w:hideMark/>
          </w:tcPr>
          <w:p w14:paraId="1BF61E7D" w14:textId="77777777" w:rsidR="00023CCC" w:rsidRPr="00AD5695" w:rsidRDefault="00023CCC" w:rsidP="006F5124">
            <w:pPr>
              <w:spacing w:after="0" w:line="240" w:lineRule="auto"/>
              <w:rPr>
                <w:rFonts w:ascii="Times New Roman" w:eastAsia="Times New Roman" w:hAnsi="Times New Roman"/>
                <w:color w:val="auto"/>
                <w:sz w:val="20"/>
                <w:szCs w:val="20"/>
                <w:lang w:eastAsia="en-AU"/>
              </w:rPr>
            </w:pPr>
          </w:p>
        </w:tc>
      </w:tr>
      <w:tr w:rsidR="00023CCC" w:rsidRPr="00AD5695" w14:paraId="33C7F56D" w14:textId="77777777" w:rsidTr="006F5124">
        <w:trPr>
          <w:trHeight w:val="292"/>
        </w:trPr>
        <w:tc>
          <w:tcPr>
            <w:tcW w:w="3625" w:type="dxa"/>
            <w:tcBorders>
              <w:top w:val="nil"/>
              <w:left w:val="nil"/>
              <w:bottom w:val="nil"/>
              <w:right w:val="nil"/>
            </w:tcBorders>
            <w:shd w:val="clear" w:color="auto" w:fill="auto"/>
            <w:noWrap/>
            <w:vAlign w:val="bottom"/>
            <w:hideMark/>
          </w:tcPr>
          <w:p w14:paraId="2AAA7621"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Cancer</w:t>
            </w:r>
          </w:p>
        </w:tc>
        <w:tc>
          <w:tcPr>
            <w:tcW w:w="1951" w:type="dxa"/>
            <w:tcBorders>
              <w:top w:val="nil"/>
              <w:left w:val="nil"/>
              <w:bottom w:val="nil"/>
              <w:right w:val="nil"/>
            </w:tcBorders>
            <w:shd w:val="clear" w:color="auto" w:fill="auto"/>
            <w:noWrap/>
            <w:vAlign w:val="bottom"/>
            <w:hideMark/>
          </w:tcPr>
          <w:p w14:paraId="68829CB6"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5,322 (16.2%)</w:t>
            </w:r>
          </w:p>
        </w:tc>
        <w:tc>
          <w:tcPr>
            <w:tcW w:w="1888" w:type="dxa"/>
            <w:tcBorders>
              <w:top w:val="nil"/>
              <w:left w:val="nil"/>
              <w:bottom w:val="nil"/>
              <w:right w:val="nil"/>
            </w:tcBorders>
            <w:shd w:val="clear" w:color="auto" w:fill="auto"/>
            <w:noWrap/>
            <w:vAlign w:val="center"/>
            <w:hideMark/>
          </w:tcPr>
          <w:p w14:paraId="75C2F251"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4,744 (11.1%)</w:t>
            </w:r>
          </w:p>
        </w:tc>
        <w:tc>
          <w:tcPr>
            <w:tcW w:w="1888" w:type="dxa"/>
            <w:tcBorders>
              <w:top w:val="nil"/>
              <w:left w:val="nil"/>
              <w:bottom w:val="nil"/>
              <w:right w:val="nil"/>
            </w:tcBorders>
            <w:shd w:val="clear" w:color="auto" w:fill="auto"/>
            <w:noWrap/>
            <w:vAlign w:val="center"/>
            <w:hideMark/>
          </w:tcPr>
          <w:p w14:paraId="52D70576"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9,779 (13.7%)</w:t>
            </w:r>
          </w:p>
        </w:tc>
        <w:tc>
          <w:tcPr>
            <w:tcW w:w="1888" w:type="dxa"/>
            <w:tcBorders>
              <w:top w:val="nil"/>
              <w:left w:val="nil"/>
              <w:bottom w:val="nil"/>
              <w:right w:val="nil"/>
            </w:tcBorders>
            <w:shd w:val="clear" w:color="auto" w:fill="auto"/>
            <w:noWrap/>
            <w:vAlign w:val="center"/>
            <w:hideMark/>
          </w:tcPr>
          <w:p w14:paraId="1DF95969"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13,486 (12.6%)</w:t>
            </w:r>
          </w:p>
        </w:tc>
        <w:tc>
          <w:tcPr>
            <w:tcW w:w="1888" w:type="dxa"/>
            <w:tcBorders>
              <w:top w:val="nil"/>
              <w:left w:val="nil"/>
              <w:bottom w:val="nil"/>
              <w:right w:val="nil"/>
            </w:tcBorders>
            <w:shd w:val="clear" w:color="auto" w:fill="auto"/>
            <w:noWrap/>
            <w:vAlign w:val="center"/>
            <w:hideMark/>
          </w:tcPr>
          <w:p w14:paraId="01E7C6F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4,008 (14.8%)</w:t>
            </w:r>
          </w:p>
        </w:tc>
      </w:tr>
      <w:tr w:rsidR="00023CCC" w:rsidRPr="00AD5695" w14:paraId="10DCA46F" w14:textId="77777777" w:rsidTr="006F5124">
        <w:trPr>
          <w:trHeight w:val="292"/>
        </w:trPr>
        <w:tc>
          <w:tcPr>
            <w:tcW w:w="3625" w:type="dxa"/>
            <w:tcBorders>
              <w:top w:val="nil"/>
              <w:left w:val="nil"/>
              <w:bottom w:val="nil"/>
              <w:right w:val="nil"/>
            </w:tcBorders>
            <w:shd w:val="clear" w:color="auto" w:fill="auto"/>
            <w:noWrap/>
            <w:vAlign w:val="bottom"/>
            <w:hideMark/>
          </w:tcPr>
          <w:p w14:paraId="191F235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Chronic obstructive pulmonary disease</w:t>
            </w:r>
          </w:p>
        </w:tc>
        <w:tc>
          <w:tcPr>
            <w:tcW w:w="1951" w:type="dxa"/>
            <w:tcBorders>
              <w:top w:val="nil"/>
              <w:left w:val="nil"/>
              <w:bottom w:val="nil"/>
              <w:right w:val="nil"/>
            </w:tcBorders>
            <w:shd w:val="clear" w:color="auto" w:fill="auto"/>
            <w:noWrap/>
            <w:vAlign w:val="bottom"/>
            <w:hideMark/>
          </w:tcPr>
          <w:p w14:paraId="5A9B17FE"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1,875 (5.7%)</w:t>
            </w:r>
          </w:p>
        </w:tc>
        <w:tc>
          <w:tcPr>
            <w:tcW w:w="1888" w:type="dxa"/>
            <w:tcBorders>
              <w:top w:val="nil"/>
              <w:left w:val="nil"/>
              <w:bottom w:val="nil"/>
              <w:right w:val="nil"/>
            </w:tcBorders>
            <w:shd w:val="clear" w:color="auto" w:fill="auto"/>
            <w:noWrap/>
            <w:vAlign w:val="center"/>
            <w:hideMark/>
          </w:tcPr>
          <w:p w14:paraId="0AF45A3F"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2,646 (6.2%)</w:t>
            </w:r>
          </w:p>
        </w:tc>
        <w:tc>
          <w:tcPr>
            <w:tcW w:w="1888" w:type="dxa"/>
            <w:tcBorders>
              <w:top w:val="nil"/>
              <w:left w:val="nil"/>
              <w:bottom w:val="nil"/>
              <w:right w:val="nil"/>
            </w:tcBorders>
            <w:shd w:val="clear" w:color="auto" w:fill="auto"/>
            <w:noWrap/>
            <w:vAlign w:val="center"/>
            <w:hideMark/>
          </w:tcPr>
          <w:p w14:paraId="5B36D6BC"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7,294 (10.2%)</w:t>
            </w:r>
          </w:p>
        </w:tc>
        <w:tc>
          <w:tcPr>
            <w:tcW w:w="1888" w:type="dxa"/>
            <w:tcBorders>
              <w:top w:val="nil"/>
              <w:left w:val="nil"/>
              <w:bottom w:val="nil"/>
              <w:right w:val="nil"/>
            </w:tcBorders>
            <w:shd w:val="clear" w:color="auto" w:fill="auto"/>
            <w:noWrap/>
            <w:vAlign w:val="center"/>
            <w:hideMark/>
          </w:tcPr>
          <w:p w14:paraId="61D8DECF"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9,228 (8.6%)</w:t>
            </w:r>
          </w:p>
        </w:tc>
        <w:tc>
          <w:tcPr>
            <w:tcW w:w="1888" w:type="dxa"/>
            <w:tcBorders>
              <w:top w:val="nil"/>
              <w:left w:val="nil"/>
              <w:bottom w:val="nil"/>
              <w:right w:val="nil"/>
            </w:tcBorders>
            <w:shd w:val="clear" w:color="auto" w:fill="auto"/>
            <w:noWrap/>
            <w:vAlign w:val="center"/>
            <w:hideMark/>
          </w:tcPr>
          <w:p w14:paraId="57E89658"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1,662 (6.1%)</w:t>
            </w:r>
          </w:p>
        </w:tc>
      </w:tr>
      <w:tr w:rsidR="00023CCC" w:rsidRPr="00AD5695" w14:paraId="60751261" w14:textId="77777777" w:rsidTr="006F5124">
        <w:trPr>
          <w:trHeight w:val="292"/>
        </w:trPr>
        <w:tc>
          <w:tcPr>
            <w:tcW w:w="3625" w:type="dxa"/>
            <w:tcBorders>
              <w:top w:val="nil"/>
              <w:left w:val="nil"/>
              <w:bottom w:val="nil"/>
              <w:right w:val="nil"/>
            </w:tcBorders>
            <w:shd w:val="clear" w:color="auto" w:fill="auto"/>
            <w:noWrap/>
            <w:vAlign w:val="bottom"/>
            <w:hideMark/>
          </w:tcPr>
          <w:p w14:paraId="7B9CF077"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Diabetes</w:t>
            </w:r>
          </w:p>
        </w:tc>
        <w:tc>
          <w:tcPr>
            <w:tcW w:w="1951" w:type="dxa"/>
            <w:tcBorders>
              <w:top w:val="nil"/>
              <w:left w:val="nil"/>
              <w:bottom w:val="nil"/>
              <w:right w:val="nil"/>
            </w:tcBorders>
            <w:shd w:val="clear" w:color="auto" w:fill="auto"/>
            <w:noWrap/>
            <w:vAlign w:val="bottom"/>
            <w:hideMark/>
          </w:tcPr>
          <w:p w14:paraId="4EC203A2"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9,260 (28.1%)</w:t>
            </w:r>
          </w:p>
        </w:tc>
        <w:tc>
          <w:tcPr>
            <w:tcW w:w="1888" w:type="dxa"/>
            <w:tcBorders>
              <w:top w:val="nil"/>
              <w:left w:val="nil"/>
              <w:bottom w:val="nil"/>
              <w:right w:val="nil"/>
            </w:tcBorders>
            <w:shd w:val="clear" w:color="auto" w:fill="auto"/>
            <w:noWrap/>
            <w:vAlign w:val="center"/>
            <w:hideMark/>
          </w:tcPr>
          <w:p w14:paraId="0412482E"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12,154 (28.3%)</w:t>
            </w:r>
          </w:p>
        </w:tc>
        <w:tc>
          <w:tcPr>
            <w:tcW w:w="1888" w:type="dxa"/>
            <w:tcBorders>
              <w:top w:val="nil"/>
              <w:left w:val="nil"/>
              <w:bottom w:val="nil"/>
              <w:right w:val="nil"/>
            </w:tcBorders>
            <w:shd w:val="clear" w:color="auto" w:fill="auto"/>
            <w:noWrap/>
            <w:vAlign w:val="center"/>
            <w:hideMark/>
          </w:tcPr>
          <w:p w14:paraId="4C67B685"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20,270 (28.3%)</w:t>
            </w:r>
          </w:p>
        </w:tc>
        <w:tc>
          <w:tcPr>
            <w:tcW w:w="1888" w:type="dxa"/>
            <w:tcBorders>
              <w:top w:val="nil"/>
              <w:left w:val="nil"/>
              <w:bottom w:val="nil"/>
              <w:right w:val="nil"/>
            </w:tcBorders>
            <w:shd w:val="clear" w:color="auto" w:fill="auto"/>
            <w:noWrap/>
            <w:vAlign w:val="center"/>
            <w:hideMark/>
          </w:tcPr>
          <w:p w14:paraId="41D1F3C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30,048 (28.0%)</w:t>
            </w:r>
          </w:p>
        </w:tc>
        <w:tc>
          <w:tcPr>
            <w:tcW w:w="1888" w:type="dxa"/>
            <w:tcBorders>
              <w:top w:val="nil"/>
              <w:left w:val="nil"/>
              <w:bottom w:val="nil"/>
              <w:right w:val="nil"/>
            </w:tcBorders>
            <w:shd w:val="clear" w:color="auto" w:fill="auto"/>
            <w:noWrap/>
            <w:vAlign w:val="center"/>
            <w:hideMark/>
          </w:tcPr>
          <w:p w14:paraId="2E8286A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8,144 (30.0%)</w:t>
            </w:r>
          </w:p>
        </w:tc>
      </w:tr>
      <w:tr w:rsidR="00023CCC" w:rsidRPr="00AD5695" w14:paraId="5BF810EB" w14:textId="77777777" w:rsidTr="006F5124">
        <w:trPr>
          <w:trHeight w:val="292"/>
        </w:trPr>
        <w:tc>
          <w:tcPr>
            <w:tcW w:w="3625" w:type="dxa"/>
            <w:tcBorders>
              <w:top w:val="nil"/>
              <w:left w:val="nil"/>
              <w:bottom w:val="nil"/>
              <w:right w:val="nil"/>
            </w:tcBorders>
            <w:shd w:val="clear" w:color="auto" w:fill="auto"/>
            <w:noWrap/>
            <w:vAlign w:val="bottom"/>
            <w:hideMark/>
          </w:tcPr>
          <w:p w14:paraId="064EFF4A"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HIV/AIDS</w:t>
            </w:r>
          </w:p>
        </w:tc>
        <w:tc>
          <w:tcPr>
            <w:tcW w:w="1951" w:type="dxa"/>
            <w:tcBorders>
              <w:top w:val="nil"/>
              <w:left w:val="nil"/>
              <w:bottom w:val="nil"/>
              <w:right w:val="nil"/>
            </w:tcBorders>
            <w:shd w:val="clear" w:color="auto" w:fill="auto"/>
            <w:noWrap/>
            <w:vAlign w:val="bottom"/>
            <w:hideMark/>
          </w:tcPr>
          <w:p w14:paraId="1FA46A83" w14:textId="28F2F440"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31 (0.1%)</w:t>
            </w:r>
          </w:p>
        </w:tc>
        <w:tc>
          <w:tcPr>
            <w:tcW w:w="1888" w:type="dxa"/>
            <w:tcBorders>
              <w:top w:val="nil"/>
              <w:left w:val="nil"/>
              <w:bottom w:val="nil"/>
              <w:right w:val="nil"/>
            </w:tcBorders>
            <w:shd w:val="clear" w:color="auto" w:fill="auto"/>
            <w:noWrap/>
            <w:vAlign w:val="center"/>
            <w:hideMark/>
          </w:tcPr>
          <w:p w14:paraId="0196F903"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35 (0.1%)</w:t>
            </w:r>
          </w:p>
        </w:tc>
        <w:tc>
          <w:tcPr>
            <w:tcW w:w="1888" w:type="dxa"/>
            <w:tcBorders>
              <w:top w:val="nil"/>
              <w:left w:val="nil"/>
              <w:bottom w:val="nil"/>
              <w:right w:val="nil"/>
            </w:tcBorders>
            <w:shd w:val="clear" w:color="auto" w:fill="auto"/>
            <w:noWrap/>
            <w:vAlign w:val="center"/>
            <w:hideMark/>
          </w:tcPr>
          <w:p w14:paraId="17DB9E4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95 (0.1%)</w:t>
            </w:r>
          </w:p>
        </w:tc>
        <w:tc>
          <w:tcPr>
            <w:tcW w:w="1888" w:type="dxa"/>
            <w:tcBorders>
              <w:top w:val="nil"/>
              <w:left w:val="nil"/>
              <w:bottom w:val="nil"/>
              <w:right w:val="nil"/>
            </w:tcBorders>
            <w:shd w:val="clear" w:color="auto" w:fill="auto"/>
            <w:noWrap/>
            <w:vAlign w:val="center"/>
            <w:hideMark/>
          </w:tcPr>
          <w:p w14:paraId="5F5356B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117 (0.1%)</w:t>
            </w:r>
          </w:p>
        </w:tc>
        <w:tc>
          <w:tcPr>
            <w:tcW w:w="1888" w:type="dxa"/>
            <w:tcBorders>
              <w:top w:val="nil"/>
              <w:left w:val="nil"/>
              <w:bottom w:val="nil"/>
              <w:right w:val="nil"/>
            </w:tcBorders>
            <w:shd w:val="clear" w:color="auto" w:fill="auto"/>
            <w:noWrap/>
            <w:vAlign w:val="center"/>
            <w:hideMark/>
          </w:tcPr>
          <w:p w14:paraId="1B31AE4A" w14:textId="0D8F78BD"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40 (0.1%)</w:t>
            </w:r>
          </w:p>
        </w:tc>
      </w:tr>
      <w:tr w:rsidR="00023CCC" w:rsidRPr="00AD5695" w14:paraId="23ECE0F6" w14:textId="77777777" w:rsidTr="006F5124">
        <w:trPr>
          <w:trHeight w:val="292"/>
        </w:trPr>
        <w:tc>
          <w:tcPr>
            <w:tcW w:w="3625" w:type="dxa"/>
            <w:tcBorders>
              <w:top w:val="nil"/>
              <w:left w:val="nil"/>
              <w:bottom w:val="nil"/>
              <w:right w:val="nil"/>
            </w:tcBorders>
            <w:shd w:val="clear" w:color="auto" w:fill="auto"/>
            <w:noWrap/>
            <w:vAlign w:val="bottom"/>
            <w:hideMark/>
          </w:tcPr>
          <w:p w14:paraId="56ADDE83"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Liver disease</w:t>
            </w:r>
          </w:p>
        </w:tc>
        <w:tc>
          <w:tcPr>
            <w:tcW w:w="1951" w:type="dxa"/>
            <w:tcBorders>
              <w:top w:val="nil"/>
              <w:left w:val="nil"/>
              <w:bottom w:val="nil"/>
              <w:right w:val="nil"/>
            </w:tcBorders>
            <w:shd w:val="clear" w:color="auto" w:fill="auto"/>
            <w:noWrap/>
            <w:vAlign w:val="bottom"/>
            <w:hideMark/>
          </w:tcPr>
          <w:p w14:paraId="673E2AF1"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434 (1.3%)</w:t>
            </w:r>
          </w:p>
        </w:tc>
        <w:tc>
          <w:tcPr>
            <w:tcW w:w="1888" w:type="dxa"/>
            <w:tcBorders>
              <w:top w:val="nil"/>
              <w:left w:val="nil"/>
              <w:bottom w:val="nil"/>
              <w:right w:val="nil"/>
            </w:tcBorders>
            <w:shd w:val="clear" w:color="auto" w:fill="auto"/>
            <w:noWrap/>
            <w:vAlign w:val="center"/>
            <w:hideMark/>
          </w:tcPr>
          <w:p w14:paraId="57025A35"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748 (1.7%)</w:t>
            </w:r>
          </w:p>
        </w:tc>
        <w:tc>
          <w:tcPr>
            <w:tcW w:w="1888" w:type="dxa"/>
            <w:tcBorders>
              <w:top w:val="nil"/>
              <w:left w:val="nil"/>
              <w:bottom w:val="nil"/>
              <w:right w:val="nil"/>
            </w:tcBorders>
            <w:shd w:val="clear" w:color="auto" w:fill="auto"/>
            <w:noWrap/>
            <w:vAlign w:val="center"/>
            <w:hideMark/>
          </w:tcPr>
          <w:p w14:paraId="104B8A5C"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1,968 (2.7%)</w:t>
            </w:r>
          </w:p>
        </w:tc>
        <w:tc>
          <w:tcPr>
            <w:tcW w:w="1888" w:type="dxa"/>
            <w:tcBorders>
              <w:top w:val="nil"/>
              <w:left w:val="nil"/>
              <w:bottom w:val="nil"/>
              <w:right w:val="nil"/>
            </w:tcBorders>
            <w:shd w:val="clear" w:color="auto" w:fill="auto"/>
            <w:noWrap/>
            <w:vAlign w:val="center"/>
            <w:hideMark/>
          </w:tcPr>
          <w:p w14:paraId="3D079C80"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2,353 (2.2%)</w:t>
            </w:r>
          </w:p>
        </w:tc>
        <w:tc>
          <w:tcPr>
            <w:tcW w:w="1888" w:type="dxa"/>
            <w:tcBorders>
              <w:top w:val="nil"/>
              <w:left w:val="nil"/>
              <w:bottom w:val="nil"/>
              <w:right w:val="nil"/>
            </w:tcBorders>
            <w:shd w:val="clear" w:color="auto" w:fill="auto"/>
            <w:noWrap/>
            <w:vAlign w:val="center"/>
            <w:hideMark/>
          </w:tcPr>
          <w:p w14:paraId="680BB35D"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413 (1.5%)</w:t>
            </w:r>
          </w:p>
        </w:tc>
      </w:tr>
      <w:tr w:rsidR="00023CCC" w:rsidRPr="00AD5695" w14:paraId="3C17EBC5" w14:textId="77777777" w:rsidTr="006F5124">
        <w:trPr>
          <w:trHeight w:val="292"/>
        </w:trPr>
        <w:tc>
          <w:tcPr>
            <w:tcW w:w="3625" w:type="dxa"/>
            <w:tcBorders>
              <w:top w:val="nil"/>
              <w:left w:val="nil"/>
              <w:bottom w:val="nil"/>
              <w:right w:val="nil"/>
            </w:tcBorders>
            <w:shd w:val="clear" w:color="auto" w:fill="auto"/>
            <w:noWrap/>
            <w:vAlign w:val="bottom"/>
            <w:hideMark/>
          </w:tcPr>
          <w:p w14:paraId="517EFF9A"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Renal disease</w:t>
            </w:r>
          </w:p>
        </w:tc>
        <w:tc>
          <w:tcPr>
            <w:tcW w:w="1951" w:type="dxa"/>
            <w:tcBorders>
              <w:top w:val="nil"/>
              <w:left w:val="nil"/>
              <w:bottom w:val="nil"/>
              <w:right w:val="nil"/>
            </w:tcBorders>
            <w:shd w:val="clear" w:color="auto" w:fill="auto"/>
            <w:noWrap/>
            <w:vAlign w:val="bottom"/>
            <w:hideMark/>
          </w:tcPr>
          <w:p w14:paraId="1020A6A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3,608 (11.0%)</w:t>
            </w:r>
          </w:p>
        </w:tc>
        <w:tc>
          <w:tcPr>
            <w:tcW w:w="1888" w:type="dxa"/>
            <w:tcBorders>
              <w:top w:val="nil"/>
              <w:left w:val="nil"/>
              <w:bottom w:val="nil"/>
              <w:right w:val="nil"/>
            </w:tcBorders>
            <w:shd w:val="clear" w:color="auto" w:fill="auto"/>
            <w:noWrap/>
            <w:vAlign w:val="center"/>
            <w:hideMark/>
          </w:tcPr>
          <w:p w14:paraId="4FA69AED"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6,226 (14.5%)</w:t>
            </w:r>
          </w:p>
        </w:tc>
        <w:tc>
          <w:tcPr>
            <w:tcW w:w="1888" w:type="dxa"/>
            <w:tcBorders>
              <w:top w:val="nil"/>
              <w:left w:val="nil"/>
              <w:bottom w:val="nil"/>
              <w:right w:val="nil"/>
            </w:tcBorders>
            <w:shd w:val="clear" w:color="auto" w:fill="auto"/>
            <w:noWrap/>
            <w:vAlign w:val="center"/>
            <w:hideMark/>
          </w:tcPr>
          <w:p w14:paraId="459267C4" w14:textId="77777777" w:rsidR="00023CCC" w:rsidRPr="00AD5695" w:rsidRDefault="00023CCC" w:rsidP="006F5124">
            <w:pPr>
              <w:spacing w:after="0" w:line="240" w:lineRule="auto"/>
              <w:jc w:val="right"/>
              <w:rPr>
                <w:rFonts w:ascii="Calibri" w:eastAsia="Times New Roman" w:hAnsi="Calibri" w:cs="Calibri"/>
                <w:color w:val="auto"/>
                <w:sz w:val="20"/>
                <w:szCs w:val="20"/>
                <w:lang w:eastAsia="en-AU"/>
              </w:rPr>
            </w:pPr>
            <w:r w:rsidRPr="00AD5695">
              <w:rPr>
                <w:rFonts w:ascii="Calibri" w:eastAsia="Times New Roman" w:hAnsi="Calibri" w:cs="Calibri"/>
                <w:color w:val="auto"/>
                <w:sz w:val="20"/>
                <w:szCs w:val="20"/>
                <w:lang w:eastAsia="en-AU"/>
              </w:rPr>
              <w:t>10,963 (15.3%)</w:t>
            </w:r>
          </w:p>
        </w:tc>
        <w:tc>
          <w:tcPr>
            <w:tcW w:w="1888" w:type="dxa"/>
            <w:tcBorders>
              <w:top w:val="nil"/>
              <w:left w:val="nil"/>
              <w:bottom w:val="nil"/>
              <w:right w:val="nil"/>
            </w:tcBorders>
            <w:shd w:val="clear" w:color="auto" w:fill="auto"/>
            <w:noWrap/>
            <w:vAlign w:val="center"/>
            <w:hideMark/>
          </w:tcPr>
          <w:p w14:paraId="1CA392BC"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15,616 (14.6%)</w:t>
            </w:r>
          </w:p>
        </w:tc>
        <w:tc>
          <w:tcPr>
            <w:tcW w:w="1888" w:type="dxa"/>
            <w:tcBorders>
              <w:top w:val="nil"/>
              <w:left w:val="nil"/>
              <w:bottom w:val="nil"/>
              <w:right w:val="nil"/>
            </w:tcBorders>
            <w:shd w:val="clear" w:color="auto" w:fill="auto"/>
            <w:noWrap/>
            <w:vAlign w:val="center"/>
            <w:hideMark/>
          </w:tcPr>
          <w:p w14:paraId="4A41098B" w14:textId="77777777" w:rsidR="00023CCC" w:rsidRPr="00AD5695" w:rsidRDefault="00023CCC" w:rsidP="006F5124">
            <w:pPr>
              <w:spacing w:after="0" w:line="240" w:lineRule="auto"/>
              <w:jc w:val="right"/>
              <w:rPr>
                <w:rFonts w:ascii="Calibri" w:eastAsia="Times New Roman" w:hAnsi="Calibri" w:cs="Calibri"/>
                <w:color w:val="000000"/>
                <w:sz w:val="20"/>
                <w:szCs w:val="20"/>
                <w:lang w:eastAsia="en-AU"/>
              </w:rPr>
            </w:pPr>
            <w:r w:rsidRPr="00AD5695">
              <w:rPr>
                <w:rFonts w:ascii="Calibri" w:eastAsia="Times New Roman" w:hAnsi="Calibri" w:cs="Calibri"/>
                <w:color w:val="000000"/>
                <w:sz w:val="20"/>
                <w:szCs w:val="20"/>
                <w:lang w:eastAsia="en-AU"/>
              </w:rPr>
              <w:t>3,434 (12.7%)</w:t>
            </w:r>
          </w:p>
        </w:tc>
      </w:tr>
      <w:tr w:rsidR="00023CCC" w:rsidRPr="00AD5695" w14:paraId="031BC46F" w14:textId="77777777" w:rsidTr="006F5124">
        <w:trPr>
          <w:trHeight w:val="292"/>
        </w:trPr>
        <w:tc>
          <w:tcPr>
            <w:tcW w:w="3625" w:type="dxa"/>
            <w:tcBorders>
              <w:top w:val="nil"/>
              <w:left w:val="nil"/>
              <w:bottom w:val="single" w:sz="4" w:space="0" w:color="auto"/>
              <w:right w:val="nil"/>
            </w:tcBorders>
            <w:shd w:val="clear" w:color="auto" w:fill="auto"/>
            <w:noWrap/>
            <w:vAlign w:val="bottom"/>
            <w:hideMark/>
          </w:tcPr>
          <w:p w14:paraId="7CBCA8F9" w14:textId="77777777" w:rsidR="00023CCC" w:rsidRPr="00AD5695" w:rsidRDefault="00023CCC" w:rsidP="006F5124">
            <w:pPr>
              <w:spacing w:after="0" w:line="240" w:lineRule="auto"/>
              <w:rPr>
                <w:rFonts w:ascii="Calibri" w:eastAsia="Times New Roman" w:hAnsi="Calibri" w:cs="Calibri"/>
                <w:color w:val="auto"/>
                <w:lang w:eastAsia="en-AU"/>
              </w:rPr>
            </w:pPr>
            <w:r w:rsidRPr="00AD5695">
              <w:rPr>
                <w:rFonts w:ascii="Calibri" w:eastAsia="Times New Roman" w:hAnsi="Calibri" w:cs="Calibri"/>
                <w:color w:val="auto"/>
                <w:lang w:eastAsia="en-AU"/>
              </w:rPr>
              <w:t> </w:t>
            </w:r>
          </w:p>
        </w:tc>
        <w:tc>
          <w:tcPr>
            <w:tcW w:w="1951" w:type="dxa"/>
            <w:tcBorders>
              <w:top w:val="nil"/>
              <w:left w:val="nil"/>
              <w:bottom w:val="single" w:sz="4" w:space="0" w:color="auto"/>
              <w:right w:val="nil"/>
            </w:tcBorders>
            <w:shd w:val="clear" w:color="auto" w:fill="auto"/>
            <w:noWrap/>
            <w:vAlign w:val="bottom"/>
            <w:hideMark/>
          </w:tcPr>
          <w:p w14:paraId="6CAB5270" w14:textId="77777777" w:rsidR="00023CCC" w:rsidRPr="00AD5695" w:rsidRDefault="00023CCC" w:rsidP="006F5124">
            <w:pPr>
              <w:spacing w:after="0" w:line="240" w:lineRule="auto"/>
              <w:jc w:val="right"/>
              <w:rPr>
                <w:rFonts w:ascii="Calibri" w:eastAsia="Times New Roman" w:hAnsi="Calibri" w:cs="Calibri"/>
                <w:color w:val="auto"/>
                <w:lang w:eastAsia="en-AU"/>
              </w:rPr>
            </w:pPr>
            <w:r w:rsidRPr="00AD5695">
              <w:rPr>
                <w:rFonts w:ascii="Calibri" w:eastAsia="Times New Roman" w:hAnsi="Calibri" w:cs="Calibri"/>
                <w:color w:val="auto"/>
                <w:lang w:eastAsia="en-AU"/>
              </w:rPr>
              <w:t> </w:t>
            </w:r>
          </w:p>
        </w:tc>
        <w:tc>
          <w:tcPr>
            <w:tcW w:w="1888" w:type="dxa"/>
            <w:tcBorders>
              <w:top w:val="nil"/>
              <w:left w:val="nil"/>
              <w:bottom w:val="single" w:sz="4" w:space="0" w:color="auto"/>
              <w:right w:val="nil"/>
            </w:tcBorders>
            <w:shd w:val="clear" w:color="auto" w:fill="auto"/>
            <w:noWrap/>
            <w:vAlign w:val="bottom"/>
            <w:hideMark/>
          </w:tcPr>
          <w:p w14:paraId="038687CE" w14:textId="77777777" w:rsidR="00023CCC" w:rsidRPr="00AD5695" w:rsidRDefault="00023CCC" w:rsidP="006F5124">
            <w:pPr>
              <w:spacing w:after="0" w:line="240" w:lineRule="auto"/>
              <w:jc w:val="right"/>
              <w:rPr>
                <w:rFonts w:ascii="Calibri" w:eastAsia="Times New Roman" w:hAnsi="Calibri" w:cs="Calibri"/>
                <w:color w:val="auto"/>
                <w:lang w:eastAsia="en-AU"/>
              </w:rPr>
            </w:pPr>
            <w:r w:rsidRPr="00AD5695">
              <w:rPr>
                <w:rFonts w:ascii="Calibri" w:eastAsia="Times New Roman" w:hAnsi="Calibri" w:cs="Calibri"/>
                <w:color w:val="auto"/>
                <w:lang w:eastAsia="en-AU"/>
              </w:rPr>
              <w:t> </w:t>
            </w:r>
          </w:p>
        </w:tc>
        <w:tc>
          <w:tcPr>
            <w:tcW w:w="1888" w:type="dxa"/>
            <w:tcBorders>
              <w:top w:val="nil"/>
              <w:left w:val="nil"/>
              <w:bottom w:val="single" w:sz="4" w:space="0" w:color="auto"/>
              <w:right w:val="nil"/>
            </w:tcBorders>
            <w:shd w:val="clear" w:color="auto" w:fill="auto"/>
            <w:noWrap/>
            <w:vAlign w:val="bottom"/>
            <w:hideMark/>
          </w:tcPr>
          <w:p w14:paraId="5B1499B7" w14:textId="77777777" w:rsidR="00023CCC" w:rsidRPr="00AD5695" w:rsidRDefault="00023CCC" w:rsidP="006F5124">
            <w:pPr>
              <w:spacing w:after="0" w:line="240" w:lineRule="auto"/>
              <w:jc w:val="right"/>
              <w:rPr>
                <w:rFonts w:ascii="Calibri" w:eastAsia="Times New Roman" w:hAnsi="Calibri" w:cs="Calibri"/>
                <w:color w:val="auto"/>
                <w:lang w:eastAsia="en-AU"/>
              </w:rPr>
            </w:pPr>
            <w:r w:rsidRPr="00AD5695">
              <w:rPr>
                <w:rFonts w:ascii="Calibri" w:eastAsia="Times New Roman" w:hAnsi="Calibri" w:cs="Calibri"/>
                <w:color w:val="auto"/>
                <w:lang w:eastAsia="en-AU"/>
              </w:rPr>
              <w:t> </w:t>
            </w:r>
          </w:p>
        </w:tc>
        <w:tc>
          <w:tcPr>
            <w:tcW w:w="1888" w:type="dxa"/>
            <w:tcBorders>
              <w:top w:val="nil"/>
              <w:left w:val="nil"/>
              <w:bottom w:val="single" w:sz="4" w:space="0" w:color="auto"/>
              <w:right w:val="nil"/>
            </w:tcBorders>
            <w:shd w:val="clear" w:color="auto" w:fill="auto"/>
            <w:noWrap/>
            <w:vAlign w:val="bottom"/>
            <w:hideMark/>
          </w:tcPr>
          <w:p w14:paraId="4059DDF1" w14:textId="77777777" w:rsidR="00023CCC" w:rsidRPr="00AD5695" w:rsidRDefault="00023CCC" w:rsidP="006F5124">
            <w:pPr>
              <w:spacing w:after="0" w:line="240" w:lineRule="auto"/>
              <w:rPr>
                <w:rFonts w:ascii="Calibri" w:eastAsia="Times New Roman" w:hAnsi="Calibri" w:cs="Calibri"/>
                <w:color w:val="000000"/>
                <w:lang w:eastAsia="en-AU"/>
              </w:rPr>
            </w:pPr>
            <w:r w:rsidRPr="00AD5695">
              <w:rPr>
                <w:rFonts w:ascii="Calibri" w:eastAsia="Times New Roman" w:hAnsi="Calibri" w:cs="Calibri"/>
                <w:color w:val="000000"/>
                <w:lang w:eastAsia="en-AU"/>
              </w:rPr>
              <w:t> </w:t>
            </w:r>
          </w:p>
        </w:tc>
        <w:tc>
          <w:tcPr>
            <w:tcW w:w="1888" w:type="dxa"/>
            <w:tcBorders>
              <w:top w:val="nil"/>
              <w:left w:val="nil"/>
              <w:bottom w:val="single" w:sz="4" w:space="0" w:color="auto"/>
              <w:right w:val="nil"/>
            </w:tcBorders>
            <w:shd w:val="clear" w:color="auto" w:fill="auto"/>
            <w:noWrap/>
            <w:vAlign w:val="bottom"/>
            <w:hideMark/>
          </w:tcPr>
          <w:p w14:paraId="52A445EF" w14:textId="77777777" w:rsidR="00023CCC" w:rsidRPr="00AD5695" w:rsidRDefault="00023CCC" w:rsidP="006F5124">
            <w:pPr>
              <w:spacing w:after="0" w:line="240" w:lineRule="auto"/>
              <w:rPr>
                <w:rFonts w:ascii="Calibri" w:eastAsia="Times New Roman" w:hAnsi="Calibri" w:cs="Calibri"/>
                <w:color w:val="000000"/>
                <w:lang w:eastAsia="en-AU"/>
              </w:rPr>
            </w:pPr>
            <w:r w:rsidRPr="00AD5695">
              <w:rPr>
                <w:rFonts w:ascii="Calibri" w:eastAsia="Times New Roman" w:hAnsi="Calibri" w:cs="Calibri"/>
                <w:color w:val="000000"/>
                <w:lang w:eastAsia="en-AU"/>
              </w:rPr>
              <w:t> </w:t>
            </w:r>
          </w:p>
        </w:tc>
      </w:tr>
    </w:tbl>
    <w:p w14:paraId="5B4B8B4C" w14:textId="77777777" w:rsidR="00023CCC" w:rsidRPr="00AD5695" w:rsidRDefault="00023CCC" w:rsidP="00023CCC">
      <w:pPr>
        <w:spacing w:line="240" w:lineRule="auto"/>
        <w:rPr>
          <w:rFonts w:ascii="Arial" w:eastAsia="Times New Roman" w:hAnsi="Arial"/>
          <w:color w:val="auto"/>
          <w:lang w:eastAsia="en-AU"/>
        </w:rPr>
      </w:pPr>
    </w:p>
    <w:p w14:paraId="7C2BCC8F" w14:textId="77777777" w:rsidR="00023CCC" w:rsidRPr="00AD5695" w:rsidRDefault="00023CCC" w:rsidP="00023CCC">
      <w:pPr>
        <w:spacing w:before="0" w:after="80" w:line="240" w:lineRule="auto"/>
        <w:rPr>
          <w:rFonts w:ascii="Arial" w:eastAsia="Times New Roman" w:hAnsi="Arial" w:cs="Arial"/>
          <w:b/>
          <w:bCs/>
          <w:iCs/>
          <w:color w:val="005370"/>
          <w:kern w:val="28"/>
          <w:sz w:val="28"/>
          <w:szCs w:val="26"/>
          <w:lang w:eastAsia="en-AU"/>
        </w:rPr>
      </w:pPr>
      <w:r w:rsidRPr="00AD5695">
        <w:rPr>
          <w:rFonts w:ascii="Arial" w:eastAsia="Times New Roman" w:hAnsi="Arial" w:cs="Arial"/>
          <w:b/>
          <w:bCs/>
          <w:iCs/>
          <w:color w:val="005370"/>
          <w:kern w:val="28"/>
          <w:sz w:val="28"/>
          <w:szCs w:val="26"/>
          <w:lang w:eastAsia="en-AU"/>
        </w:rPr>
        <w:br w:type="page"/>
      </w:r>
    </w:p>
    <w:p w14:paraId="16DB0EC6" w14:textId="77777777" w:rsidR="004C49CA" w:rsidRPr="005628EF" w:rsidRDefault="004C49CA" w:rsidP="004C49CA">
      <w:pPr>
        <w:pStyle w:val="Heading3"/>
        <w:ind w:hanging="284"/>
        <w:rPr>
          <w:lang w:eastAsia="en-AU"/>
        </w:rPr>
      </w:pPr>
      <w:bookmarkStart w:id="117" w:name="_Table_5._Demographic"/>
      <w:bookmarkStart w:id="118" w:name="_Toc187313303"/>
      <w:bookmarkEnd w:id="117"/>
      <w:r w:rsidRPr="005628EF">
        <w:rPr>
          <w:lang w:eastAsia="en-AU"/>
        </w:rPr>
        <w:lastRenderedPageBreak/>
        <w:t>Table 5. Demographic characteristics for separations with explicit sepsis codes, public hospitals, 2022-23</w:t>
      </w:r>
      <w:bookmarkEnd w:id="118"/>
    </w:p>
    <w:tbl>
      <w:tblPr>
        <w:tblW w:w="12860" w:type="dxa"/>
        <w:tblInd w:w="-284" w:type="dxa"/>
        <w:tblLook w:val="04A0" w:firstRow="1" w:lastRow="0" w:firstColumn="1" w:lastColumn="0" w:noHBand="0" w:noVBand="1"/>
      </w:tblPr>
      <w:tblGrid>
        <w:gridCol w:w="4000"/>
        <w:gridCol w:w="1820"/>
        <w:gridCol w:w="1760"/>
        <w:gridCol w:w="1760"/>
        <w:gridCol w:w="1760"/>
        <w:gridCol w:w="1760"/>
      </w:tblGrid>
      <w:tr w:rsidR="004C49CA" w:rsidRPr="005628EF" w14:paraId="444D70E3" w14:textId="77777777" w:rsidTr="006F5124">
        <w:trPr>
          <w:trHeight w:val="790"/>
          <w:tblHeader/>
        </w:trPr>
        <w:tc>
          <w:tcPr>
            <w:tcW w:w="4000" w:type="dxa"/>
            <w:tcBorders>
              <w:top w:val="single" w:sz="4" w:space="0" w:color="auto"/>
              <w:left w:val="nil"/>
              <w:bottom w:val="single" w:sz="4" w:space="0" w:color="auto"/>
              <w:right w:val="nil"/>
            </w:tcBorders>
            <w:shd w:val="clear" w:color="auto" w:fill="auto"/>
            <w:vAlign w:val="bottom"/>
            <w:hideMark/>
          </w:tcPr>
          <w:p w14:paraId="6CD2787A"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w:t>
            </w:r>
          </w:p>
        </w:tc>
        <w:tc>
          <w:tcPr>
            <w:tcW w:w="1820" w:type="dxa"/>
            <w:tcBorders>
              <w:top w:val="single" w:sz="4" w:space="0" w:color="auto"/>
              <w:left w:val="nil"/>
              <w:bottom w:val="single" w:sz="4" w:space="0" w:color="auto"/>
              <w:right w:val="nil"/>
            </w:tcBorders>
            <w:shd w:val="clear" w:color="auto" w:fill="auto"/>
            <w:vAlign w:val="bottom"/>
            <w:hideMark/>
          </w:tcPr>
          <w:p w14:paraId="6164C326" w14:textId="77777777" w:rsidR="004C49CA" w:rsidRPr="005628EF" w:rsidRDefault="004C49CA" w:rsidP="006F5124">
            <w:pPr>
              <w:spacing w:after="0" w:line="240" w:lineRule="auto"/>
              <w:jc w:val="right"/>
              <w:rPr>
                <w:rFonts w:ascii="Calibri" w:eastAsia="Times New Roman" w:hAnsi="Calibri" w:cs="Calibri"/>
                <w:b/>
                <w:bCs/>
                <w:color w:val="auto"/>
                <w:sz w:val="20"/>
                <w:szCs w:val="20"/>
                <w:lang w:eastAsia="en-AU"/>
              </w:rPr>
            </w:pPr>
            <w:r w:rsidRPr="005628EF">
              <w:rPr>
                <w:rFonts w:ascii="Calibri" w:eastAsia="Times New Roman" w:hAnsi="Calibri" w:cs="Calibri"/>
                <w:b/>
                <w:bCs/>
                <w:color w:val="auto"/>
                <w:sz w:val="20"/>
                <w:szCs w:val="20"/>
                <w:lang w:eastAsia="en-AU"/>
              </w:rPr>
              <w:t>Pre-sepsis separations</w:t>
            </w:r>
            <w:r w:rsidRPr="005628EF">
              <w:rPr>
                <w:rFonts w:ascii="Calibri" w:eastAsia="Times New Roman" w:hAnsi="Calibri" w:cs="Calibri"/>
                <w:b/>
                <w:bCs/>
                <w:color w:val="auto"/>
                <w:sz w:val="20"/>
                <w:szCs w:val="20"/>
                <w:lang w:eastAsia="en-AU"/>
              </w:rPr>
              <w:br/>
              <w:t>(30 days)</w:t>
            </w:r>
          </w:p>
        </w:tc>
        <w:tc>
          <w:tcPr>
            <w:tcW w:w="1760" w:type="dxa"/>
            <w:tcBorders>
              <w:top w:val="single" w:sz="4" w:space="0" w:color="auto"/>
              <w:left w:val="nil"/>
              <w:bottom w:val="single" w:sz="4" w:space="0" w:color="auto"/>
              <w:right w:val="nil"/>
            </w:tcBorders>
            <w:shd w:val="clear" w:color="auto" w:fill="auto"/>
            <w:vAlign w:val="bottom"/>
            <w:hideMark/>
          </w:tcPr>
          <w:p w14:paraId="719F791F" w14:textId="77777777" w:rsidR="004C49CA" w:rsidRPr="005628EF" w:rsidRDefault="004C49CA" w:rsidP="006F5124">
            <w:pPr>
              <w:spacing w:after="0" w:line="240" w:lineRule="auto"/>
              <w:jc w:val="right"/>
              <w:rPr>
                <w:rFonts w:ascii="Calibri" w:eastAsia="Times New Roman" w:hAnsi="Calibri" w:cs="Calibri"/>
                <w:b/>
                <w:bCs/>
                <w:color w:val="auto"/>
                <w:sz w:val="20"/>
                <w:szCs w:val="20"/>
                <w:lang w:eastAsia="en-AU"/>
              </w:rPr>
            </w:pPr>
            <w:r w:rsidRPr="005628EF">
              <w:rPr>
                <w:rFonts w:ascii="Calibri" w:eastAsia="Times New Roman" w:hAnsi="Calibri" w:cs="Calibri"/>
                <w:b/>
                <w:bCs/>
                <w:color w:val="auto"/>
                <w:sz w:val="20"/>
                <w:szCs w:val="20"/>
                <w:lang w:eastAsia="en-AU"/>
              </w:rPr>
              <w:t>Sepsis separations (principal diagnosis)</w:t>
            </w:r>
          </w:p>
        </w:tc>
        <w:tc>
          <w:tcPr>
            <w:tcW w:w="1760" w:type="dxa"/>
            <w:tcBorders>
              <w:top w:val="single" w:sz="4" w:space="0" w:color="auto"/>
              <w:left w:val="nil"/>
              <w:bottom w:val="single" w:sz="4" w:space="0" w:color="auto"/>
              <w:right w:val="nil"/>
            </w:tcBorders>
            <w:shd w:val="clear" w:color="auto" w:fill="auto"/>
            <w:vAlign w:val="bottom"/>
            <w:hideMark/>
          </w:tcPr>
          <w:p w14:paraId="0DF67ED2" w14:textId="77777777" w:rsidR="004C49CA" w:rsidRPr="005628EF" w:rsidRDefault="004C49CA" w:rsidP="006F5124">
            <w:pPr>
              <w:spacing w:after="0" w:line="240" w:lineRule="auto"/>
              <w:jc w:val="right"/>
              <w:rPr>
                <w:rFonts w:ascii="Calibri" w:eastAsia="Times New Roman" w:hAnsi="Calibri" w:cs="Calibri"/>
                <w:b/>
                <w:bCs/>
                <w:color w:val="auto"/>
                <w:sz w:val="20"/>
                <w:szCs w:val="20"/>
                <w:lang w:eastAsia="en-AU"/>
              </w:rPr>
            </w:pPr>
            <w:r w:rsidRPr="005628EF">
              <w:rPr>
                <w:rFonts w:ascii="Calibri" w:eastAsia="Times New Roman" w:hAnsi="Calibri" w:cs="Calibri"/>
                <w:b/>
                <w:bCs/>
                <w:color w:val="auto"/>
                <w:sz w:val="20"/>
                <w:szCs w:val="20"/>
                <w:lang w:eastAsia="en-AU"/>
              </w:rPr>
              <w:t>Sepsis separations (secondary diagnosis)</w:t>
            </w:r>
          </w:p>
        </w:tc>
        <w:tc>
          <w:tcPr>
            <w:tcW w:w="1760" w:type="dxa"/>
            <w:tcBorders>
              <w:top w:val="single" w:sz="4" w:space="0" w:color="auto"/>
              <w:left w:val="nil"/>
              <w:bottom w:val="single" w:sz="4" w:space="0" w:color="auto"/>
              <w:right w:val="nil"/>
            </w:tcBorders>
            <w:shd w:val="clear" w:color="auto" w:fill="auto"/>
            <w:vAlign w:val="bottom"/>
            <w:hideMark/>
          </w:tcPr>
          <w:p w14:paraId="446BE8C6" w14:textId="77777777" w:rsidR="004C49CA" w:rsidRPr="005628EF" w:rsidRDefault="004C49CA" w:rsidP="006F5124">
            <w:pPr>
              <w:spacing w:after="0" w:line="240" w:lineRule="auto"/>
              <w:jc w:val="right"/>
              <w:rPr>
                <w:rFonts w:ascii="Calibri" w:eastAsia="Times New Roman" w:hAnsi="Calibri" w:cs="Calibri"/>
                <w:b/>
                <w:bCs/>
                <w:color w:val="auto"/>
                <w:sz w:val="20"/>
                <w:szCs w:val="20"/>
                <w:lang w:eastAsia="en-AU"/>
              </w:rPr>
            </w:pPr>
            <w:r w:rsidRPr="005628EF">
              <w:rPr>
                <w:rFonts w:ascii="Calibri" w:eastAsia="Times New Roman" w:hAnsi="Calibri" w:cs="Calibri"/>
                <w:b/>
                <w:bCs/>
                <w:color w:val="auto"/>
                <w:sz w:val="20"/>
                <w:szCs w:val="20"/>
                <w:lang w:eastAsia="en-AU"/>
              </w:rPr>
              <w:t>Sepsis separations</w:t>
            </w:r>
          </w:p>
        </w:tc>
        <w:tc>
          <w:tcPr>
            <w:tcW w:w="1760" w:type="dxa"/>
            <w:tcBorders>
              <w:top w:val="single" w:sz="4" w:space="0" w:color="auto"/>
              <w:left w:val="nil"/>
              <w:bottom w:val="single" w:sz="4" w:space="0" w:color="auto"/>
              <w:right w:val="nil"/>
            </w:tcBorders>
            <w:shd w:val="clear" w:color="auto" w:fill="auto"/>
            <w:vAlign w:val="bottom"/>
            <w:hideMark/>
          </w:tcPr>
          <w:p w14:paraId="7ACDCD64" w14:textId="77777777" w:rsidR="004C49CA" w:rsidRPr="005628EF" w:rsidRDefault="004C49CA" w:rsidP="006F5124">
            <w:pPr>
              <w:spacing w:after="0" w:line="240" w:lineRule="auto"/>
              <w:jc w:val="right"/>
              <w:rPr>
                <w:rFonts w:ascii="Calibri" w:eastAsia="Times New Roman" w:hAnsi="Calibri" w:cs="Calibri"/>
                <w:b/>
                <w:bCs/>
                <w:color w:val="auto"/>
                <w:sz w:val="20"/>
                <w:szCs w:val="20"/>
                <w:lang w:eastAsia="en-AU"/>
              </w:rPr>
            </w:pPr>
            <w:r w:rsidRPr="005628EF">
              <w:rPr>
                <w:rFonts w:ascii="Calibri" w:eastAsia="Times New Roman" w:hAnsi="Calibri" w:cs="Calibri"/>
                <w:b/>
                <w:bCs/>
                <w:color w:val="auto"/>
                <w:sz w:val="20"/>
                <w:szCs w:val="20"/>
                <w:lang w:eastAsia="en-AU"/>
              </w:rPr>
              <w:t xml:space="preserve">Post-sepsis readmissions </w:t>
            </w:r>
            <w:r w:rsidRPr="005628EF">
              <w:rPr>
                <w:rFonts w:ascii="Calibri" w:eastAsia="Times New Roman" w:hAnsi="Calibri" w:cs="Calibri"/>
                <w:b/>
                <w:bCs/>
                <w:color w:val="auto"/>
                <w:sz w:val="20"/>
                <w:szCs w:val="20"/>
                <w:lang w:eastAsia="en-AU"/>
              </w:rPr>
              <w:br/>
              <w:t>(30 days)</w:t>
            </w:r>
          </w:p>
        </w:tc>
      </w:tr>
      <w:tr w:rsidR="004C49CA" w:rsidRPr="005628EF" w14:paraId="34D8A87C" w14:textId="77777777" w:rsidTr="006F5124">
        <w:trPr>
          <w:trHeight w:val="290"/>
        </w:trPr>
        <w:tc>
          <w:tcPr>
            <w:tcW w:w="4000" w:type="dxa"/>
            <w:tcBorders>
              <w:top w:val="nil"/>
              <w:left w:val="nil"/>
              <w:bottom w:val="nil"/>
              <w:right w:val="nil"/>
            </w:tcBorders>
            <w:shd w:val="clear" w:color="auto" w:fill="auto"/>
            <w:noWrap/>
            <w:vAlign w:val="bottom"/>
            <w:hideMark/>
          </w:tcPr>
          <w:p w14:paraId="69F07C2B" w14:textId="77777777" w:rsidR="004C49CA" w:rsidRPr="005628EF" w:rsidRDefault="004C49CA" w:rsidP="006F5124">
            <w:pPr>
              <w:spacing w:after="0" w:line="240" w:lineRule="auto"/>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N</w:t>
            </w:r>
          </w:p>
        </w:tc>
        <w:tc>
          <w:tcPr>
            <w:tcW w:w="1820" w:type="dxa"/>
            <w:tcBorders>
              <w:top w:val="nil"/>
              <w:left w:val="nil"/>
              <w:bottom w:val="nil"/>
              <w:right w:val="nil"/>
            </w:tcBorders>
            <w:shd w:val="clear" w:color="auto" w:fill="auto"/>
            <w:noWrap/>
            <w:vAlign w:val="bottom"/>
            <w:hideMark/>
          </w:tcPr>
          <w:p w14:paraId="49D8774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24,498</w:t>
            </w:r>
          </w:p>
        </w:tc>
        <w:tc>
          <w:tcPr>
            <w:tcW w:w="1760" w:type="dxa"/>
            <w:tcBorders>
              <w:top w:val="nil"/>
              <w:left w:val="nil"/>
              <w:bottom w:val="nil"/>
              <w:right w:val="nil"/>
            </w:tcBorders>
            <w:shd w:val="clear" w:color="auto" w:fill="auto"/>
            <w:noWrap/>
            <w:vAlign w:val="center"/>
            <w:hideMark/>
          </w:tcPr>
          <w:p w14:paraId="1065C494"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32,608</w:t>
            </w:r>
          </w:p>
        </w:tc>
        <w:tc>
          <w:tcPr>
            <w:tcW w:w="1760" w:type="dxa"/>
            <w:tcBorders>
              <w:top w:val="nil"/>
              <w:left w:val="nil"/>
              <w:bottom w:val="nil"/>
              <w:right w:val="nil"/>
            </w:tcBorders>
            <w:shd w:val="clear" w:color="auto" w:fill="auto"/>
            <w:noWrap/>
            <w:vAlign w:val="center"/>
            <w:hideMark/>
          </w:tcPr>
          <w:p w14:paraId="2B33220E"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60,258</w:t>
            </w:r>
          </w:p>
        </w:tc>
        <w:tc>
          <w:tcPr>
            <w:tcW w:w="1760" w:type="dxa"/>
            <w:tcBorders>
              <w:top w:val="nil"/>
              <w:left w:val="nil"/>
              <w:bottom w:val="nil"/>
              <w:right w:val="nil"/>
            </w:tcBorders>
            <w:shd w:val="clear" w:color="auto" w:fill="auto"/>
            <w:noWrap/>
            <w:vAlign w:val="center"/>
            <w:hideMark/>
          </w:tcPr>
          <w:p w14:paraId="63AE4714"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84,382</w:t>
            </w:r>
          </w:p>
        </w:tc>
        <w:tc>
          <w:tcPr>
            <w:tcW w:w="1760" w:type="dxa"/>
            <w:tcBorders>
              <w:top w:val="nil"/>
              <w:left w:val="nil"/>
              <w:bottom w:val="nil"/>
              <w:right w:val="nil"/>
            </w:tcBorders>
            <w:shd w:val="clear" w:color="auto" w:fill="auto"/>
            <w:noWrap/>
            <w:vAlign w:val="center"/>
            <w:hideMark/>
          </w:tcPr>
          <w:p w14:paraId="2FE9BBD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21,434</w:t>
            </w:r>
          </w:p>
        </w:tc>
      </w:tr>
      <w:tr w:rsidR="004C49CA" w:rsidRPr="005628EF" w14:paraId="367E26B0" w14:textId="77777777" w:rsidTr="006F5124">
        <w:trPr>
          <w:trHeight w:val="290"/>
        </w:trPr>
        <w:tc>
          <w:tcPr>
            <w:tcW w:w="4000" w:type="dxa"/>
            <w:tcBorders>
              <w:top w:val="nil"/>
              <w:left w:val="nil"/>
              <w:bottom w:val="nil"/>
              <w:right w:val="nil"/>
            </w:tcBorders>
            <w:shd w:val="clear" w:color="auto" w:fill="auto"/>
            <w:noWrap/>
            <w:vAlign w:val="bottom"/>
            <w:hideMark/>
          </w:tcPr>
          <w:p w14:paraId="76C47469"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Sex, n(%)</w:t>
            </w:r>
          </w:p>
        </w:tc>
        <w:tc>
          <w:tcPr>
            <w:tcW w:w="1820" w:type="dxa"/>
            <w:tcBorders>
              <w:top w:val="nil"/>
              <w:left w:val="nil"/>
              <w:bottom w:val="nil"/>
              <w:right w:val="nil"/>
            </w:tcBorders>
            <w:shd w:val="clear" w:color="auto" w:fill="auto"/>
            <w:noWrap/>
            <w:vAlign w:val="bottom"/>
            <w:hideMark/>
          </w:tcPr>
          <w:p w14:paraId="69B2D867"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0D24D5CA"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592A6F36"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4BF959BC"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37F46973" w14:textId="77777777" w:rsidR="004C49CA" w:rsidRPr="005628EF" w:rsidRDefault="004C49CA" w:rsidP="006F5124">
            <w:pPr>
              <w:spacing w:after="0" w:line="240" w:lineRule="auto"/>
              <w:rPr>
                <w:rFonts w:ascii="Times New Roman" w:eastAsia="Times New Roman" w:hAnsi="Times New Roman"/>
                <w:color w:val="auto"/>
                <w:sz w:val="20"/>
                <w:szCs w:val="20"/>
                <w:lang w:eastAsia="en-AU"/>
              </w:rPr>
            </w:pPr>
          </w:p>
        </w:tc>
      </w:tr>
      <w:tr w:rsidR="004C49CA" w:rsidRPr="005628EF" w14:paraId="651810D2" w14:textId="77777777" w:rsidTr="006F5124">
        <w:trPr>
          <w:trHeight w:val="290"/>
        </w:trPr>
        <w:tc>
          <w:tcPr>
            <w:tcW w:w="4000" w:type="dxa"/>
            <w:tcBorders>
              <w:top w:val="nil"/>
              <w:left w:val="nil"/>
              <w:bottom w:val="nil"/>
              <w:right w:val="nil"/>
            </w:tcBorders>
            <w:shd w:val="clear" w:color="auto" w:fill="auto"/>
            <w:noWrap/>
            <w:vAlign w:val="bottom"/>
            <w:hideMark/>
          </w:tcPr>
          <w:p w14:paraId="209EF379"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Male</w:t>
            </w:r>
          </w:p>
        </w:tc>
        <w:tc>
          <w:tcPr>
            <w:tcW w:w="1820" w:type="dxa"/>
            <w:tcBorders>
              <w:top w:val="nil"/>
              <w:left w:val="nil"/>
              <w:bottom w:val="nil"/>
              <w:right w:val="nil"/>
            </w:tcBorders>
            <w:shd w:val="clear" w:color="auto" w:fill="auto"/>
            <w:noWrap/>
            <w:vAlign w:val="bottom"/>
            <w:hideMark/>
          </w:tcPr>
          <w:p w14:paraId="0CEF3204"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13,396 (54.7%)</w:t>
            </w:r>
          </w:p>
        </w:tc>
        <w:tc>
          <w:tcPr>
            <w:tcW w:w="1760" w:type="dxa"/>
            <w:tcBorders>
              <w:top w:val="nil"/>
              <w:left w:val="nil"/>
              <w:bottom w:val="nil"/>
              <w:right w:val="nil"/>
            </w:tcBorders>
            <w:shd w:val="clear" w:color="auto" w:fill="auto"/>
            <w:noWrap/>
            <w:vAlign w:val="center"/>
            <w:hideMark/>
          </w:tcPr>
          <w:p w14:paraId="4F5E7AC0"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17,413 (53.4%)</w:t>
            </w:r>
          </w:p>
        </w:tc>
        <w:tc>
          <w:tcPr>
            <w:tcW w:w="1760" w:type="dxa"/>
            <w:tcBorders>
              <w:top w:val="nil"/>
              <w:left w:val="nil"/>
              <w:bottom w:val="nil"/>
              <w:right w:val="nil"/>
            </w:tcBorders>
            <w:shd w:val="clear" w:color="auto" w:fill="auto"/>
            <w:noWrap/>
            <w:vAlign w:val="center"/>
            <w:hideMark/>
          </w:tcPr>
          <w:p w14:paraId="7697F389"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33,436 (55.5%)</w:t>
            </w:r>
          </w:p>
        </w:tc>
        <w:tc>
          <w:tcPr>
            <w:tcW w:w="1760" w:type="dxa"/>
            <w:tcBorders>
              <w:top w:val="nil"/>
              <w:left w:val="nil"/>
              <w:bottom w:val="nil"/>
              <w:right w:val="nil"/>
            </w:tcBorders>
            <w:shd w:val="clear" w:color="auto" w:fill="auto"/>
            <w:noWrap/>
            <w:vAlign w:val="center"/>
            <w:hideMark/>
          </w:tcPr>
          <w:p w14:paraId="3E66BC2A"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46,194 (54.7%)</w:t>
            </w:r>
          </w:p>
        </w:tc>
        <w:tc>
          <w:tcPr>
            <w:tcW w:w="1760" w:type="dxa"/>
            <w:tcBorders>
              <w:top w:val="nil"/>
              <w:left w:val="nil"/>
              <w:bottom w:val="nil"/>
              <w:right w:val="nil"/>
            </w:tcBorders>
            <w:shd w:val="clear" w:color="auto" w:fill="auto"/>
            <w:noWrap/>
            <w:vAlign w:val="center"/>
            <w:hideMark/>
          </w:tcPr>
          <w:p w14:paraId="064D789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12,343 (57.6%)</w:t>
            </w:r>
          </w:p>
        </w:tc>
      </w:tr>
      <w:tr w:rsidR="004C49CA" w:rsidRPr="005628EF" w14:paraId="1926C0EF" w14:textId="77777777" w:rsidTr="006F5124">
        <w:trPr>
          <w:trHeight w:val="290"/>
        </w:trPr>
        <w:tc>
          <w:tcPr>
            <w:tcW w:w="4000" w:type="dxa"/>
            <w:tcBorders>
              <w:top w:val="nil"/>
              <w:left w:val="nil"/>
              <w:bottom w:val="nil"/>
              <w:right w:val="nil"/>
            </w:tcBorders>
            <w:shd w:val="clear" w:color="auto" w:fill="auto"/>
            <w:noWrap/>
            <w:vAlign w:val="bottom"/>
            <w:hideMark/>
          </w:tcPr>
          <w:p w14:paraId="674A2B91"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Female</w:t>
            </w:r>
          </w:p>
        </w:tc>
        <w:tc>
          <w:tcPr>
            <w:tcW w:w="1820" w:type="dxa"/>
            <w:tcBorders>
              <w:top w:val="nil"/>
              <w:left w:val="nil"/>
              <w:bottom w:val="nil"/>
              <w:right w:val="nil"/>
            </w:tcBorders>
            <w:shd w:val="clear" w:color="auto" w:fill="auto"/>
            <w:noWrap/>
            <w:vAlign w:val="bottom"/>
            <w:hideMark/>
          </w:tcPr>
          <w:p w14:paraId="23764D5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11,100 (45.3%)</w:t>
            </w:r>
          </w:p>
        </w:tc>
        <w:tc>
          <w:tcPr>
            <w:tcW w:w="1760" w:type="dxa"/>
            <w:tcBorders>
              <w:top w:val="nil"/>
              <w:left w:val="nil"/>
              <w:bottom w:val="nil"/>
              <w:right w:val="nil"/>
            </w:tcBorders>
            <w:shd w:val="clear" w:color="auto" w:fill="auto"/>
            <w:noWrap/>
            <w:vAlign w:val="center"/>
            <w:hideMark/>
          </w:tcPr>
          <w:p w14:paraId="0C82D403"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15,195 (46.6%)</w:t>
            </w:r>
          </w:p>
        </w:tc>
        <w:tc>
          <w:tcPr>
            <w:tcW w:w="1760" w:type="dxa"/>
            <w:tcBorders>
              <w:top w:val="nil"/>
              <w:left w:val="nil"/>
              <w:bottom w:val="nil"/>
              <w:right w:val="nil"/>
            </w:tcBorders>
            <w:shd w:val="clear" w:color="auto" w:fill="auto"/>
            <w:noWrap/>
            <w:vAlign w:val="center"/>
            <w:hideMark/>
          </w:tcPr>
          <w:p w14:paraId="120C27CC"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26,816 (44.5%)</w:t>
            </w:r>
          </w:p>
        </w:tc>
        <w:tc>
          <w:tcPr>
            <w:tcW w:w="1760" w:type="dxa"/>
            <w:tcBorders>
              <w:top w:val="nil"/>
              <w:left w:val="nil"/>
              <w:bottom w:val="nil"/>
              <w:right w:val="nil"/>
            </w:tcBorders>
            <w:shd w:val="clear" w:color="auto" w:fill="auto"/>
            <w:noWrap/>
            <w:vAlign w:val="center"/>
            <w:hideMark/>
          </w:tcPr>
          <w:p w14:paraId="775F7321"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38,182 (45.2%)</w:t>
            </w:r>
          </w:p>
        </w:tc>
        <w:tc>
          <w:tcPr>
            <w:tcW w:w="1760" w:type="dxa"/>
            <w:tcBorders>
              <w:top w:val="nil"/>
              <w:left w:val="nil"/>
              <w:bottom w:val="nil"/>
              <w:right w:val="nil"/>
            </w:tcBorders>
            <w:shd w:val="clear" w:color="auto" w:fill="auto"/>
            <w:noWrap/>
            <w:vAlign w:val="center"/>
            <w:hideMark/>
          </w:tcPr>
          <w:p w14:paraId="23D0B7C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9,091 (42.4%)</w:t>
            </w:r>
          </w:p>
        </w:tc>
      </w:tr>
      <w:tr w:rsidR="004C49CA" w:rsidRPr="005628EF" w14:paraId="19555D74" w14:textId="77777777" w:rsidTr="006F5124">
        <w:trPr>
          <w:trHeight w:val="290"/>
        </w:trPr>
        <w:tc>
          <w:tcPr>
            <w:tcW w:w="4000" w:type="dxa"/>
            <w:tcBorders>
              <w:top w:val="nil"/>
              <w:left w:val="nil"/>
              <w:bottom w:val="nil"/>
              <w:right w:val="nil"/>
            </w:tcBorders>
            <w:shd w:val="clear" w:color="auto" w:fill="auto"/>
            <w:noWrap/>
            <w:vAlign w:val="bottom"/>
            <w:hideMark/>
          </w:tcPr>
          <w:p w14:paraId="7EC4456C"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Age (years)</w:t>
            </w:r>
          </w:p>
        </w:tc>
        <w:tc>
          <w:tcPr>
            <w:tcW w:w="1820" w:type="dxa"/>
            <w:tcBorders>
              <w:top w:val="nil"/>
              <w:left w:val="nil"/>
              <w:bottom w:val="nil"/>
              <w:right w:val="nil"/>
            </w:tcBorders>
            <w:shd w:val="clear" w:color="auto" w:fill="auto"/>
            <w:noWrap/>
            <w:vAlign w:val="bottom"/>
            <w:hideMark/>
          </w:tcPr>
          <w:p w14:paraId="4AA82DB4"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30EE3AC4"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3E514C04"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4FDE14FC"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15D7F818" w14:textId="77777777" w:rsidR="004C49CA" w:rsidRPr="005628EF" w:rsidRDefault="004C49CA" w:rsidP="006F5124">
            <w:pPr>
              <w:spacing w:after="0" w:line="240" w:lineRule="auto"/>
              <w:rPr>
                <w:rFonts w:ascii="Times New Roman" w:eastAsia="Times New Roman" w:hAnsi="Times New Roman"/>
                <w:color w:val="auto"/>
                <w:sz w:val="20"/>
                <w:szCs w:val="20"/>
                <w:lang w:eastAsia="en-AU"/>
              </w:rPr>
            </w:pPr>
          </w:p>
        </w:tc>
      </w:tr>
      <w:tr w:rsidR="004C49CA" w:rsidRPr="005628EF" w14:paraId="05FADFCD" w14:textId="77777777" w:rsidTr="006F5124">
        <w:trPr>
          <w:trHeight w:val="290"/>
        </w:trPr>
        <w:tc>
          <w:tcPr>
            <w:tcW w:w="4000" w:type="dxa"/>
            <w:tcBorders>
              <w:top w:val="nil"/>
              <w:left w:val="nil"/>
              <w:bottom w:val="nil"/>
              <w:right w:val="nil"/>
            </w:tcBorders>
            <w:shd w:val="clear" w:color="auto" w:fill="auto"/>
            <w:noWrap/>
            <w:vAlign w:val="bottom"/>
            <w:hideMark/>
          </w:tcPr>
          <w:p w14:paraId="7AEEEF79"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mean (SD)</w:t>
            </w:r>
          </w:p>
        </w:tc>
        <w:tc>
          <w:tcPr>
            <w:tcW w:w="1820" w:type="dxa"/>
            <w:tcBorders>
              <w:top w:val="nil"/>
              <w:left w:val="nil"/>
              <w:bottom w:val="nil"/>
              <w:right w:val="nil"/>
            </w:tcBorders>
            <w:shd w:val="clear" w:color="auto" w:fill="auto"/>
            <w:noWrap/>
            <w:vAlign w:val="bottom"/>
            <w:hideMark/>
          </w:tcPr>
          <w:p w14:paraId="3B65E7F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          63 (21.8)</w:t>
            </w:r>
          </w:p>
        </w:tc>
        <w:tc>
          <w:tcPr>
            <w:tcW w:w="1760" w:type="dxa"/>
            <w:tcBorders>
              <w:top w:val="nil"/>
              <w:left w:val="nil"/>
              <w:bottom w:val="nil"/>
              <w:right w:val="nil"/>
            </w:tcBorders>
            <w:shd w:val="clear" w:color="auto" w:fill="auto"/>
            <w:noWrap/>
            <w:vAlign w:val="center"/>
            <w:hideMark/>
          </w:tcPr>
          <w:p w14:paraId="4F810E67"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          65 (24.7)</w:t>
            </w:r>
          </w:p>
        </w:tc>
        <w:tc>
          <w:tcPr>
            <w:tcW w:w="1760" w:type="dxa"/>
            <w:tcBorders>
              <w:top w:val="nil"/>
              <w:left w:val="nil"/>
              <w:bottom w:val="nil"/>
              <w:right w:val="nil"/>
            </w:tcBorders>
            <w:shd w:val="clear" w:color="auto" w:fill="auto"/>
            <w:noWrap/>
            <w:vAlign w:val="center"/>
            <w:hideMark/>
          </w:tcPr>
          <w:p w14:paraId="2512622E"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          63 (23.7)</w:t>
            </w:r>
          </w:p>
        </w:tc>
        <w:tc>
          <w:tcPr>
            <w:tcW w:w="1760" w:type="dxa"/>
            <w:tcBorders>
              <w:top w:val="nil"/>
              <w:left w:val="nil"/>
              <w:bottom w:val="nil"/>
              <w:right w:val="nil"/>
            </w:tcBorders>
            <w:shd w:val="clear" w:color="auto" w:fill="auto"/>
            <w:noWrap/>
            <w:vAlign w:val="center"/>
            <w:hideMark/>
          </w:tcPr>
          <w:p w14:paraId="4D4D539B"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          64 (24.4)</w:t>
            </w:r>
          </w:p>
        </w:tc>
        <w:tc>
          <w:tcPr>
            <w:tcW w:w="1760" w:type="dxa"/>
            <w:tcBorders>
              <w:top w:val="nil"/>
              <w:left w:val="nil"/>
              <w:bottom w:val="nil"/>
              <w:right w:val="nil"/>
            </w:tcBorders>
            <w:shd w:val="clear" w:color="auto" w:fill="auto"/>
            <w:noWrap/>
            <w:vAlign w:val="center"/>
            <w:hideMark/>
          </w:tcPr>
          <w:p w14:paraId="2A8D336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          63 (21.5)</w:t>
            </w:r>
          </w:p>
        </w:tc>
      </w:tr>
      <w:tr w:rsidR="004C49CA" w:rsidRPr="005628EF" w14:paraId="379A9226" w14:textId="77777777" w:rsidTr="006F5124">
        <w:trPr>
          <w:trHeight w:val="290"/>
        </w:trPr>
        <w:tc>
          <w:tcPr>
            <w:tcW w:w="4000" w:type="dxa"/>
            <w:tcBorders>
              <w:top w:val="nil"/>
              <w:left w:val="nil"/>
              <w:bottom w:val="nil"/>
              <w:right w:val="nil"/>
            </w:tcBorders>
            <w:shd w:val="clear" w:color="auto" w:fill="auto"/>
            <w:noWrap/>
            <w:vAlign w:val="bottom"/>
            <w:hideMark/>
          </w:tcPr>
          <w:p w14:paraId="046870F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median (IQR)</w:t>
            </w:r>
          </w:p>
        </w:tc>
        <w:tc>
          <w:tcPr>
            <w:tcW w:w="1820" w:type="dxa"/>
            <w:tcBorders>
              <w:top w:val="nil"/>
              <w:left w:val="nil"/>
              <w:bottom w:val="nil"/>
              <w:right w:val="nil"/>
            </w:tcBorders>
            <w:shd w:val="clear" w:color="auto" w:fill="auto"/>
            <w:noWrap/>
            <w:vAlign w:val="bottom"/>
            <w:hideMark/>
          </w:tcPr>
          <w:p w14:paraId="35C2CE7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          68 (52-79)</w:t>
            </w:r>
          </w:p>
        </w:tc>
        <w:tc>
          <w:tcPr>
            <w:tcW w:w="1760" w:type="dxa"/>
            <w:tcBorders>
              <w:top w:val="nil"/>
              <w:left w:val="nil"/>
              <w:bottom w:val="nil"/>
              <w:right w:val="nil"/>
            </w:tcBorders>
            <w:shd w:val="clear" w:color="auto" w:fill="auto"/>
            <w:noWrap/>
            <w:vAlign w:val="center"/>
            <w:hideMark/>
          </w:tcPr>
          <w:p w14:paraId="0D773BB8"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          72 (55-82)</w:t>
            </w:r>
          </w:p>
        </w:tc>
        <w:tc>
          <w:tcPr>
            <w:tcW w:w="1760" w:type="dxa"/>
            <w:tcBorders>
              <w:top w:val="nil"/>
              <w:left w:val="nil"/>
              <w:bottom w:val="nil"/>
              <w:right w:val="nil"/>
            </w:tcBorders>
            <w:shd w:val="clear" w:color="auto" w:fill="auto"/>
            <w:noWrap/>
            <w:vAlign w:val="center"/>
            <w:hideMark/>
          </w:tcPr>
          <w:p w14:paraId="323AB3D2"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          70 (53-80)</w:t>
            </w:r>
          </w:p>
        </w:tc>
        <w:tc>
          <w:tcPr>
            <w:tcW w:w="1760" w:type="dxa"/>
            <w:tcBorders>
              <w:top w:val="nil"/>
              <w:left w:val="nil"/>
              <w:bottom w:val="nil"/>
              <w:right w:val="nil"/>
            </w:tcBorders>
            <w:shd w:val="clear" w:color="auto" w:fill="auto"/>
            <w:noWrap/>
            <w:vAlign w:val="center"/>
            <w:hideMark/>
          </w:tcPr>
          <w:p w14:paraId="11115F0D"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          70 (53-81)</w:t>
            </w:r>
          </w:p>
        </w:tc>
        <w:tc>
          <w:tcPr>
            <w:tcW w:w="1760" w:type="dxa"/>
            <w:tcBorders>
              <w:top w:val="nil"/>
              <w:left w:val="nil"/>
              <w:bottom w:val="nil"/>
              <w:right w:val="nil"/>
            </w:tcBorders>
            <w:shd w:val="clear" w:color="auto" w:fill="auto"/>
            <w:noWrap/>
            <w:vAlign w:val="center"/>
            <w:hideMark/>
          </w:tcPr>
          <w:p w14:paraId="62782E71"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          68 (53-78)</w:t>
            </w:r>
          </w:p>
        </w:tc>
      </w:tr>
      <w:tr w:rsidR="004C49CA" w:rsidRPr="005628EF" w14:paraId="67818B58" w14:textId="77777777" w:rsidTr="006F5124">
        <w:trPr>
          <w:trHeight w:val="290"/>
        </w:trPr>
        <w:tc>
          <w:tcPr>
            <w:tcW w:w="4000" w:type="dxa"/>
            <w:tcBorders>
              <w:top w:val="nil"/>
              <w:left w:val="nil"/>
              <w:bottom w:val="nil"/>
              <w:right w:val="nil"/>
            </w:tcBorders>
            <w:shd w:val="clear" w:color="auto" w:fill="auto"/>
            <w:noWrap/>
            <w:vAlign w:val="bottom"/>
            <w:hideMark/>
          </w:tcPr>
          <w:p w14:paraId="3FE58143"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Broad age group (years), n(%) </w:t>
            </w:r>
          </w:p>
        </w:tc>
        <w:tc>
          <w:tcPr>
            <w:tcW w:w="1820" w:type="dxa"/>
            <w:tcBorders>
              <w:top w:val="nil"/>
              <w:left w:val="nil"/>
              <w:bottom w:val="nil"/>
              <w:right w:val="nil"/>
            </w:tcBorders>
            <w:shd w:val="clear" w:color="auto" w:fill="auto"/>
            <w:noWrap/>
            <w:vAlign w:val="bottom"/>
            <w:hideMark/>
          </w:tcPr>
          <w:p w14:paraId="629CCFCA"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34DC5A2A"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047BD8AD"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1E34090A"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4D4B9435" w14:textId="77777777" w:rsidR="004C49CA" w:rsidRPr="005628EF" w:rsidRDefault="004C49CA" w:rsidP="006F5124">
            <w:pPr>
              <w:spacing w:after="0" w:line="240" w:lineRule="auto"/>
              <w:rPr>
                <w:rFonts w:ascii="Times New Roman" w:eastAsia="Times New Roman" w:hAnsi="Times New Roman"/>
                <w:color w:val="auto"/>
                <w:sz w:val="20"/>
                <w:szCs w:val="20"/>
                <w:lang w:eastAsia="en-AU"/>
              </w:rPr>
            </w:pPr>
          </w:p>
        </w:tc>
      </w:tr>
      <w:tr w:rsidR="004C49CA" w:rsidRPr="005628EF" w14:paraId="05DD1DD6" w14:textId="77777777" w:rsidTr="006F5124">
        <w:trPr>
          <w:trHeight w:val="290"/>
        </w:trPr>
        <w:tc>
          <w:tcPr>
            <w:tcW w:w="4000" w:type="dxa"/>
            <w:tcBorders>
              <w:top w:val="nil"/>
              <w:left w:val="nil"/>
              <w:bottom w:val="nil"/>
              <w:right w:val="nil"/>
            </w:tcBorders>
            <w:shd w:val="clear" w:color="auto" w:fill="auto"/>
            <w:noWrap/>
            <w:vAlign w:val="bottom"/>
            <w:hideMark/>
          </w:tcPr>
          <w:p w14:paraId="6FCBA3DB"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&lt; 1</w:t>
            </w:r>
          </w:p>
        </w:tc>
        <w:tc>
          <w:tcPr>
            <w:tcW w:w="1820" w:type="dxa"/>
            <w:tcBorders>
              <w:top w:val="nil"/>
              <w:left w:val="nil"/>
              <w:bottom w:val="nil"/>
              <w:right w:val="nil"/>
            </w:tcBorders>
            <w:shd w:val="clear" w:color="auto" w:fill="auto"/>
            <w:noWrap/>
            <w:vAlign w:val="bottom"/>
            <w:hideMark/>
          </w:tcPr>
          <w:p w14:paraId="7259F02F"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562 (2.3%)</w:t>
            </w:r>
          </w:p>
        </w:tc>
        <w:tc>
          <w:tcPr>
            <w:tcW w:w="1760" w:type="dxa"/>
            <w:tcBorders>
              <w:top w:val="nil"/>
              <w:left w:val="nil"/>
              <w:bottom w:val="nil"/>
              <w:right w:val="nil"/>
            </w:tcBorders>
            <w:shd w:val="clear" w:color="auto" w:fill="auto"/>
            <w:noWrap/>
            <w:vAlign w:val="center"/>
            <w:hideMark/>
          </w:tcPr>
          <w:p w14:paraId="7F601D01"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1,740 (5.3%)</w:t>
            </w:r>
          </w:p>
        </w:tc>
        <w:tc>
          <w:tcPr>
            <w:tcW w:w="1760" w:type="dxa"/>
            <w:tcBorders>
              <w:top w:val="nil"/>
              <w:left w:val="nil"/>
              <w:bottom w:val="nil"/>
              <w:right w:val="nil"/>
            </w:tcBorders>
            <w:shd w:val="clear" w:color="auto" w:fill="auto"/>
            <w:noWrap/>
            <w:vAlign w:val="center"/>
            <w:hideMark/>
          </w:tcPr>
          <w:p w14:paraId="254598C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2,949 (4.9%)</w:t>
            </w:r>
          </w:p>
        </w:tc>
        <w:tc>
          <w:tcPr>
            <w:tcW w:w="1760" w:type="dxa"/>
            <w:tcBorders>
              <w:top w:val="nil"/>
              <w:left w:val="nil"/>
              <w:bottom w:val="nil"/>
              <w:right w:val="nil"/>
            </w:tcBorders>
            <w:shd w:val="clear" w:color="auto" w:fill="auto"/>
            <w:noWrap/>
            <w:vAlign w:val="center"/>
            <w:hideMark/>
          </w:tcPr>
          <w:p w14:paraId="7A0346B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4,429 (5.2%)</w:t>
            </w:r>
          </w:p>
        </w:tc>
        <w:tc>
          <w:tcPr>
            <w:tcW w:w="1760" w:type="dxa"/>
            <w:tcBorders>
              <w:top w:val="nil"/>
              <w:left w:val="nil"/>
              <w:bottom w:val="nil"/>
              <w:right w:val="nil"/>
            </w:tcBorders>
            <w:shd w:val="clear" w:color="auto" w:fill="auto"/>
            <w:noWrap/>
            <w:vAlign w:val="center"/>
            <w:hideMark/>
          </w:tcPr>
          <w:p w14:paraId="6ABD93D4"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557 (2.6%)</w:t>
            </w:r>
          </w:p>
        </w:tc>
      </w:tr>
      <w:tr w:rsidR="004C49CA" w:rsidRPr="005628EF" w14:paraId="5DF864C3" w14:textId="77777777" w:rsidTr="006F5124">
        <w:trPr>
          <w:trHeight w:val="290"/>
        </w:trPr>
        <w:tc>
          <w:tcPr>
            <w:tcW w:w="4000" w:type="dxa"/>
            <w:tcBorders>
              <w:top w:val="nil"/>
              <w:left w:val="nil"/>
              <w:bottom w:val="nil"/>
              <w:right w:val="nil"/>
            </w:tcBorders>
            <w:shd w:val="clear" w:color="auto" w:fill="auto"/>
            <w:noWrap/>
            <w:vAlign w:val="bottom"/>
            <w:hideMark/>
          </w:tcPr>
          <w:p w14:paraId="0ECE4AD9"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1-5</w:t>
            </w:r>
          </w:p>
        </w:tc>
        <w:tc>
          <w:tcPr>
            <w:tcW w:w="1820" w:type="dxa"/>
            <w:tcBorders>
              <w:top w:val="nil"/>
              <w:left w:val="nil"/>
              <w:bottom w:val="nil"/>
              <w:right w:val="nil"/>
            </w:tcBorders>
            <w:shd w:val="clear" w:color="auto" w:fill="auto"/>
            <w:noWrap/>
            <w:vAlign w:val="bottom"/>
            <w:hideMark/>
          </w:tcPr>
          <w:p w14:paraId="1B1A31D6"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199 (0.8%)</w:t>
            </w:r>
          </w:p>
        </w:tc>
        <w:tc>
          <w:tcPr>
            <w:tcW w:w="1760" w:type="dxa"/>
            <w:tcBorders>
              <w:top w:val="nil"/>
              <w:left w:val="nil"/>
              <w:bottom w:val="nil"/>
              <w:right w:val="nil"/>
            </w:tcBorders>
            <w:shd w:val="clear" w:color="auto" w:fill="auto"/>
            <w:noWrap/>
            <w:vAlign w:val="center"/>
            <w:hideMark/>
          </w:tcPr>
          <w:p w14:paraId="56F6B1C3"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340 (1.0%)</w:t>
            </w:r>
          </w:p>
        </w:tc>
        <w:tc>
          <w:tcPr>
            <w:tcW w:w="1760" w:type="dxa"/>
            <w:tcBorders>
              <w:top w:val="nil"/>
              <w:left w:val="nil"/>
              <w:bottom w:val="nil"/>
              <w:right w:val="nil"/>
            </w:tcBorders>
            <w:shd w:val="clear" w:color="auto" w:fill="auto"/>
            <w:noWrap/>
            <w:vAlign w:val="center"/>
            <w:hideMark/>
          </w:tcPr>
          <w:p w14:paraId="510E6992"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494 (0.8%)</w:t>
            </w:r>
          </w:p>
        </w:tc>
        <w:tc>
          <w:tcPr>
            <w:tcW w:w="1760" w:type="dxa"/>
            <w:tcBorders>
              <w:top w:val="nil"/>
              <w:left w:val="nil"/>
              <w:bottom w:val="nil"/>
              <w:right w:val="nil"/>
            </w:tcBorders>
            <w:shd w:val="clear" w:color="auto" w:fill="auto"/>
            <w:noWrap/>
            <w:vAlign w:val="center"/>
            <w:hideMark/>
          </w:tcPr>
          <w:p w14:paraId="30F4D6D0"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775 (0.9%)</w:t>
            </w:r>
          </w:p>
        </w:tc>
        <w:tc>
          <w:tcPr>
            <w:tcW w:w="1760" w:type="dxa"/>
            <w:tcBorders>
              <w:top w:val="nil"/>
              <w:left w:val="nil"/>
              <w:bottom w:val="nil"/>
              <w:right w:val="nil"/>
            </w:tcBorders>
            <w:shd w:val="clear" w:color="auto" w:fill="auto"/>
            <w:noWrap/>
            <w:vAlign w:val="center"/>
            <w:hideMark/>
          </w:tcPr>
          <w:p w14:paraId="3BE1BC0F"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263 (1.2%)</w:t>
            </w:r>
          </w:p>
        </w:tc>
      </w:tr>
      <w:tr w:rsidR="004C49CA" w:rsidRPr="005628EF" w14:paraId="475E8651" w14:textId="77777777" w:rsidTr="006F5124">
        <w:trPr>
          <w:trHeight w:val="290"/>
        </w:trPr>
        <w:tc>
          <w:tcPr>
            <w:tcW w:w="4000" w:type="dxa"/>
            <w:tcBorders>
              <w:top w:val="nil"/>
              <w:left w:val="nil"/>
              <w:bottom w:val="nil"/>
              <w:right w:val="nil"/>
            </w:tcBorders>
            <w:shd w:val="clear" w:color="auto" w:fill="auto"/>
            <w:noWrap/>
            <w:vAlign w:val="bottom"/>
            <w:hideMark/>
          </w:tcPr>
          <w:p w14:paraId="1D3E7A76"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6-17</w:t>
            </w:r>
          </w:p>
        </w:tc>
        <w:tc>
          <w:tcPr>
            <w:tcW w:w="1820" w:type="dxa"/>
            <w:tcBorders>
              <w:top w:val="nil"/>
              <w:left w:val="nil"/>
              <w:bottom w:val="nil"/>
              <w:right w:val="nil"/>
            </w:tcBorders>
            <w:shd w:val="clear" w:color="auto" w:fill="auto"/>
            <w:noWrap/>
            <w:vAlign w:val="bottom"/>
            <w:hideMark/>
          </w:tcPr>
          <w:p w14:paraId="00ECD0BF"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274 (1.1%)</w:t>
            </w:r>
          </w:p>
        </w:tc>
        <w:tc>
          <w:tcPr>
            <w:tcW w:w="1760" w:type="dxa"/>
            <w:tcBorders>
              <w:top w:val="nil"/>
              <w:left w:val="nil"/>
              <w:bottom w:val="nil"/>
              <w:right w:val="nil"/>
            </w:tcBorders>
            <w:shd w:val="clear" w:color="auto" w:fill="auto"/>
            <w:noWrap/>
            <w:vAlign w:val="center"/>
            <w:hideMark/>
          </w:tcPr>
          <w:p w14:paraId="1810D4A1"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344 (1.1%)</w:t>
            </w:r>
          </w:p>
        </w:tc>
        <w:tc>
          <w:tcPr>
            <w:tcW w:w="1760" w:type="dxa"/>
            <w:tcBorders>
              <w:top w:val="nil"/>
              <w:left w:val="nil"/>
              <w:bottom w:val="nil"/>
              <w:right w:val="nil"/>
            </w:tcBorders>
            <w:shd w:val="clear" w:color="auto" w:fill="auto"/>
            <w:noWrap/>
            <w:vAlign w:val="center"/>
            <w:hideMark/>
          </w:tcPr>
          <w:p w14:paraId="58B9E287"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580 (1.0%)</w:t>
            </w:r>
          </w:p>
        </w:tc>
        <w:tc>
          <w:tcPr>
            <w:tcW w:w="1760" w:type="dxa"/>
            <w:tcBorders>
              <w:top w:val="nil"/>
              <w:left w:val="nil"/>
              <w:bottom w:val="nil"/>
              <w:right w:val="nil"/>
            </w:tcBorders>
            <w:shd w:val="clear" w:color="auto" w:fill="auto"/>
            <w:noWrap/>
            <w:vAlign w:val="center"/>
            <w:hideMark/>
          </w:tcPr>
          <w:p w14:paraId="6E3449AB"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854 (1.0%)</w:t>
            </w:r>
          </w:p>
        </w:tc>
        <w:tc>
          <w:tcPr>
            <w:tcW w:w="1760" w:type="dxa"/>
            <w:tcBorders>
              <w:top w:val="nil"/>
              <w:left w:val="nil"/>
              <w:bottom w:val="nil"/>
              <w:right w:val="nil"/>
            </w:tcBorders>
            <w:shd w:val="clear" w:color="auto" w:fill="auto"/>
            <w:noWrap/>
            <w:vAlign w:val="center"/>
            <w:hideMark/>
          </w:tcPr>
          <w:p w14:paraId="66FB0793"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293 (1.4%)</w:t>
            </w:r>
          </w:p>
        </w:tc>
      </w:tr>
      <w:tr w:rsidR="004C49CA" w:rsidRPr="005628EF" w14:paraId="6E6541BB" w14:textId="77777777" w:rsidTr="006F5124">
        <w:trPr>
          <w:trHeight w:val="300"/>
        </w:trPr>
        <w:tc>
          <w:tcPr>
            <w:tcW w:w="4000" w:type="dxa"/>
            <w:tcBorders>
              <w:top w:val="nil"/>
              <w:left w:val="nil"/>
              <w:bottom w:val="nil"/>
              <w:right w:val="nil"/>
            </w:tcBorders>
            <w:shd w:val="clear" w:color="auto" w:fill="auto"/>
            <w:noWrap/>
            <w:vAlign w:val="bottom"/>
            <w:hideMark/>
          </w:tcPr>
          <w:p w14:paraId="1053AB31"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18-64</w:t>
            </w:r>
          </w:p>
        </w:tc>
        <w:tc>
          <w:tcPr>
            <w:tcW w:w="1820" w:type="dxa"/>
            <w:tcBorders>
              <w:top w:val="nil"/>
              <w:left w:val="nil"/>
              <w:bottom w:val="nil"/>
              <w:right w:val="nil"/>
            </w:tcBorders>
            <w:shd w:val="clear" w:color="auto" w:fill="auto"/>
            <w:noWrap/>
            <w:vAlign w:val="bottom"/>
            <w:hideMark/>
          </w:tcPr>
          <w:p w14:paraId="74DB4180"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9,395 (38.4%)</w:t>
            </w:r>
          </w:p>
        </w:tc>
        <w:tc>
          <w:tcPr>
            <w:tcW w:w="1760" w:type="dxa"/>
            <w:tcBorders>
              <w:top w:val="nil"/>
              <w:left w:val="nil"/>
              <w:bottom w:val="nil"/>
              <w:right w:val="nil"/>
            </w:tcBorders>
            <w:shd w:val="clear" w:color="auto" w:fill="auto"/>
            <w:noWrap/>
            <w:vAlign w:val="center"/>
            <w:hideMark/>
          </w:tcPr>
          <w:p w14:paraId="1A6CCF60"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9,208 (28.2%)</w:t>
            </w:r>
          </w:p>
        </w:tc>
        <w:tc>
          <w:tcPr>
            <w:tcW w:w="1760" w:type="dxa"/>
            <w:tcBorders>
              <w:top w:val="nil"/>
              <w:left w:val="nil"/>
              <w:bottom w:val="nil"/>
              <w:right w:val="nil"/>
            </w:tcBorders>
            <w:shd w:val="clear" w:color="auto" w:fill="auto"/>
            <w:noWrap/>
            <w:vAlign w:val="center"/>
            <w:hideMark/>
          </w:tcPr>
          <w:p w14:paraId="5B5C63B9"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20,053 (33.3%)</w:t>
            </w:r>
          </w:p>
        </w:tc>
        <w:tc>
          <w:tcPr>
            <w:tcW w:w="1760" w:type="dxa"/>
            <w:tcBorders>
              <w:top w:val="nil"/>
              <w:left w:val="nil"/>
              <w:bottom w:val="nil"/>
              <w:right w:val="nil"/>
            </w:tcBorders>
            <w:shd w:val="clear" w:color="auto" w:fill="auto"/>
            <w:noWrap/>
            <w:vAlign w:val="center"/>
            <w:hideMark/>
          </w:tcPr>
          <w:p w14:paraId="026AA5D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26,566 (31.5%)</w:t>
            </w:r>
          </w:p>
        </w:tc>
        <w:tc>
          <w:tcPr>
            <w:tcW w:w="1760" w:type="dxa"/>
            <w:tcBorders>
              <w:top w:val="nil"/>
              <w:left w:val="nil"/>
              <w:bottom w:val="nil"/>
              <w:right w:val="nil"/>
            </w:tcBorders>
            <w:shd w:val="clear" w:color="auto" w:fill="auto"/>
            <w:noWrap/>
            <w:vAlign w:val="center"/>
            <w:hideMark/>
          </w:tcPr>
          <w:p w14:paraId="5069300D"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8,173 (38.1%)</w:t>
            </w:r>
          </w:p>
        </w:tc>
      </w:tr>
      <w:tr w:rsidR="004C49CA" w:rsidRPr="005628EF" w14:paraId="6A75864A" w14:textId="77777777" w:rsidTr="006F5124">
        <w:trPr>
          <w:trHeight w:val="290"/>
        </w:trPr>
        <w:tc>
          <w:tcPr>
            <w:tcW w:w="4000" w:type="dxa"/>
            <w:tcBorders>
              <w:top w:val="nil"/>
              <w:left w:val="nil"/>
              <w:bottom w:val="nil"/>
              <w:right w:val="nil"/>
            </w:tcBorders>
            <w:shd w:val="clear" w:color="auto" w:fill="auto"/>
            <w:noWrap/>
            <w:vAlign w:val="bottom"/>
            <w:hideMark/>
          </w:tcPr>
          <w:p w14:paraId="3D97A010"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&gt;= 65</w:t>
            </w:r>
          </w:p>
        </w:tc>
        <w:tc>
          <w:tcPr>
            <w:tcW w:w="1820" w:type="dxa"/>
            <w:tcBorders>
              <w:top w:val="nil"/>
              <w:left w:val="nil"/>
              <w:bottom w:val="nil"/>
              <w:right w:val="nil"/>
            </w:tcBorders>
            <w:shd w:val="clear" w:color="auto" w:fill="auto"/>
            <w:noWrap/>
            <w:vAlign w:val="bottom"/>
            <w:hideMark/>
          </w:tcPr>
          <w:p w14:paraId="7CE46CD6"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14,068 (57.4%)</w:t>
            </w:r>
          </w:p>
        </w:tc>
        <w:tc>
          <w:tcPr>
            <w:tcW w:w="1760" w:type="dxa"/>
            <w:tcBorders>
              <w:top w:val="nil"/>
              <w:left w:val="nil"/>
              <w:bottom w:val="nil"/>
              <w:right w:val="nil"/>
            </w:tcBorders>
            <w:shd w:val="clear" w:color="auto" w:fill="auto"/>
            <w:noWrap/>
            <w:vAlign w:val="center"/>
            <w:hideMark/>
          </w:tcPr>
          <w:p w14:paraId="62304494"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20,976 (64.3%)</w:t>
            </w:r>
          </w:p>
        </w:tc>
        <w:tc>
          <w:tcPr>
            <w:tcW w:w="1760" w:type="dxa"/>
            <w:tcBorders>
              <w:top w:val="nil"/>
              <w:left w:val="nil"/>
              <w:bottom w:val="nil"/>
              <w:right w:val="nil"/>
            </w:tcBorders>
            <w:shd w:val="clear" w:color="auto" w:fill="auto"/>
            <w:noWrap/>
            <w:vAlign w:val="center"/>
            <w:hideMark/>
          </w:tcPr>
          <w:p w14:paraId="70C3BEE6"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36,182 (60.0%)</w:t>
            </w:r>
          </w:p>
        </w:tc>
        <w:tc>
          <w:tcPr>
            <w:tcW w:w="1760" w:type="dxa"/>
            <w:tcBorders>
              <w:top w:val="nil"/>
              <w:left w:val="nil"/>
              <w:bottom w:val="nil"/>
              <w:right w:val="nil"/>
            </w:tcBorders>
            <w:shd w:val="clear" w:color="auto" w:fill="auto"/>
            <w:noWrap/>
            <w:vAlign w:val="center"/>
            <w:hideMark/>
          </w:tcPr>
          <w:p w14:paraId="207F754B"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51,758 (61.3%)</w:t>
            </w:r>
          </w:p>
        </w:tc>
        <w:tc>
          <w:tcPr>
            <w:tcW w:w="1760" w:type="dxa"/>
            <w:tcBorders>
              <w:top w:val="nil"/>
              <w:left w:val="nil"/>
              <w:bottom w:val="nil"/>
              <w:right w:val="nil"/>
            </w:tcBorders>
            <w:shd w:val="clear" w:color="auto" w:fill="auto"/>
            <w:noWrap/>
            <w:vAlign w:val="center"/>
            <w:hideMark/>
          </w:tcPr>
          <w:p w14:paraId="54C37BE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12,148 (56.7%)</w:t>
            </w:r>
          </w:p>
        </w:tc>
      </w:tr>
      <w:tr w:rsidR="004C49CA" w:rsidRPr="005628EF" w14:paraId="06947648" w14:textId="77777777" w:rsidTr="006F5124">
        <w:trPr>
          <w:trHeight w:val="290"/>
        </w:trPr>
        <w:tc>
          <w:tcPr>
            <w:tcW w:w="4000" w:type="dxa"/>
            <w:tcBorders>
              <w:top w:val="nil"/>
              <w:left w:val="nil"/>
              <w:bottom w:val="nil"/>
              <w:right w:val="nil"/>
            </w:tcBorders>
            <w:shd w:val="clear" w:color="auto" w:fill="auto"/>
            <w:noWrap/>
            <w:vAlign w:val="bottom"/>
            <w:hideMark/>
          </w:tcPr>
          <w:p w14:paraId="39ADAD42"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Aboriginal or Torres Strait Islander, n(%)</w:t>
            </w:r>
          </w:p>
        </w:tc>
        <w:tc>
          <w:tcPr>
            <w:tcW w:w="1820" w:type="dxa"/>
            <w:tcBorders>
              <w:top w:val="nil"/>
              <w:left w:val="nil"/>
              <w:bottom w:val="nil"/>
              <w:right w:val="nil"/>
            </w:tcBorders>
            <w:shd w:val="clear" w:color="auto" w:fill="auto"/>
            <w:noWrap/>
            <w:vAlign w:val="bottom"/>
            <w:hideMark/>
          </w:tcPr>
          <w:p w14:paraId="56DC97CA"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1,937 (7.9%)</w:t>
            </w:r>
          </w:p>
        </w:tc>
        <w:tc>
          <w:tcPr>
            <w:tcW w:w="1760" w:type="dxa"/>
            <w:tcBorders>
              <w:top w:val="nil"/>
              <w:left w:val="nil"/>
              <w:bottom w:val="nil"/>
              <w:right w:val="nil"/>
            </w:tcBorders>
            <w:shd w:val="clear" w:color="auto" w:fill="auto"/>
            <w:noWrap/>
            <w:vAlign w:val="center"/>
            <w:hideMark/>
          </w:tcPr>
          <w:p w14:paraId="67B7FFE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2,269 (7.0%)</w:t>
            </w:r>
          </w:p>
        </w:tc>
        <w:tc>
          <w:tcPr>
            <w:tcW w:w="1760" w:type="dxa"/>
            <w:tcBorders>
              <w:top w:val="nil"/>
              <w:left w:val="nil"/>
              <w:bottom w:val="nil"/>
              <w:right w:val="nil"/>
            </w:tcBorders>
            <w:shd w:val="clear" w:color="auto" w:fill="auto"/>
            <w:noWrap/>
            <w:vAlign w:val="center"/>
            <w:hideMark/>
          </w:tcPr>
          <w:p w14:paraId="18E1A48E"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4,082 (6.8%)</w:t>
            </w:r>
          </w:p>
        </w:tc>
        <w:tc>
          <w:tcPr>
            <w:tcW w:w="1760" w:type="dxa"/>
            <w:tcBorders>
              <w:top w:val="nil"/>
              <w:left w:val="nil"/>
              <w:bottom w:val="nil"/>
              <w:right w:val="nil"/>
            </w:tcBorders>
            <w:shd w:val="clear" w:color="auto" w:fill="auto"/>
            <w:noWrap/>
            <w:vAlign w:val="center"/>
            <w:hideMark/>
          </w:tcPr>
          <w:p w14:paraId="23728852"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5,753 (6.8%)</w:t>
            </w:r>
          </w:p>
        </w:tc>
        <w:tc>
          <w:tcPr>
            <w:tcW w:w="1760" w:type="dxa"/>
            <w:tcBorders>
              <w:top w:val="nil"/>
              <w:left w:val="nil"/>
              <w:bottom w:val="nil"/>
              <w:right w:val="nil"/>
            </w:tcBorders>
            <w:shd w:val="clear" w:color="auto" w:fill="auto"/>
            <w:noWrap/>
            <w:vAlign w:val="center"/>
            <w:hideMark/>
          </w:tcPr>
          <w:p w14:paraId="7BE4761F"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1,911 (8.9%)</w:t>
            </w:r>
          </w:p>
        </w:tc>
      </w:tr>
      <w:tr w:rsidR="004C49CA" w:rsidRPr="005628EF" w14:paraId="637E8CDB" w14:textId="77777777" w:rsidTr="006F5124">
        <w:trPr>
          <w:trHeight w:val="290"/>
        </w:trPr>
        <w:tc>
          <w:tcPr>
            <w:tcW w:w="4000" w:type="dxa"/>
            <w:tcBorders>
              <w:top w:val="nil"/>
              <w:left w:val="nil"/>
              <w:bottom w:val="nil"/>
              <w:right w:val="nil"/>
            </w:tcBorders>
            <w:shd w:val="clear" w:color="auto" w:fill="auto"/>
            <w:noWrap/>
            <w:vAlign w:val="bottom"/>
            <w:hideMark/>
          </w:tcPr>
          <w:p w14:paraId="088A54BE"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Remoteness of patient residence, n(%)</w:t>
            </w:r>
          </w:p>
        </w:tc>
        <w:tc>
          <w:tcPr>
            <w:tcW w:w="1820" w:type="dxa"/>
            <w:tcBorders>
              <w:top w:val="nil"/>
              <w:left w:val="nil"/>
              <w:bottom w:val="nil"/>
              <w:right w:val="nil"/>
            </w:tcBorders>
            <w:shd w:val="clear" w:color="auto" w:fill="auto"/>
            <w:noWrap/>
            <w:vAlign w:val="bottom"/>
            <w:hideMark/>
          </w:tcPr>
          <w:p w14:paraId="3DE1B36C"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16AD0B22"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0790C31D"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5799E602"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4619B697" w14:textId="77777777" w:rsidR="004C49CA" w:rsidRPr="005628EF" w:rsidRDefault="004C49CA" w:rsidP="006F5124">
            <w:pPr>
              <w:spacing w:after="0" w:line="240" w:lineRule="auto"/>
              <w:rPr>
                <w:rFonts w:ascii="Times New Roman" w:eastAsia="Times New Roman" w:hAnsi="Times New Roman"/>
                <w:color w:val="auto"/>
                <w:sz w:val="20"/>
                <w:szCs w:val="20"/>
                <w:lang w:eastAsia="en-AU"/>
              </w:rPr>
            </w:pPr>
          </w:p>
        </w:tc>
      </w:tr>
      <w:tr w:rsidR="004C49CA" w:rsidRPr="005628EF" w14:paraId="1BC4E829" w14:textId="77777777" w:rsidTr="006F5124">
        <w:trPr>
          <w:trHeight w:val="290"/>
        </w:trPr>
        <w:tc>
          <w:tcPr>
            <w:tcW w:w="4000" w:type="dxa"/>
            <w:tcBorders>
              <w:top w:val="nil"/>
              <w:left w:val="nil"/>
              <w:bottom w:val="nil"/>
              <w:right w:val="nil"/>
            </w:tcBorders>
            <w:shd w:val="clear" w:color="auto" w:fill="auto"/>
            <w:noWrap/>
            <w:vAlign w:val="bottom"/>
            <w:hideMark/>
          </w:tcPr>
          <w:p w14:paraId="08EE8AC6"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Major cities</w:t>
            </w:r>
          </w:p>
        </w:tc>
        <w:tc>
          <w:tcPr>
            <w:tcW w:w="1820" w:type="dxa"/>
            <w:tcBorders>
              <w:top w:val="nil"/>
              <w:left w:val="nil"/>
              <w:bottom w:val="nil"/>
              <w:right w:val="nil"/>
            </w:tcBorders>
            <w:shd w:val="clear" w:color="auto" w:fill="auto"/>
            <w:noWrap/>
            <w:vAlign w:val="bottom"/>
            <w:hideMark/>
          </w:tcPr>
          <w:p w14:paraId="424E7FE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13,870 (56.6%)</w:t>
            </w:r>
          </w:p>
        </w:tc>
        <w:tc>
          <w:tcPr>
            <w:tcW w:w="1760" w:type="dxa"/>
            <w:tcBorders>
              <w:top w:val="nil"/>
              <w:left w:val="nil"/>
              <w:bottom w:val="nil"/>
              <w:right w:val="nil"/>
            </w:tcBorders>
            <w:shd w:val="clear" w:color="auto" w:fill="auto"/>
            <w:noWrap/>
            <w:vAlign w:val="center"/>
            <w:hideMark/>
          </w:tcPr>
          <w:p w14:paraId="588DC70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18,686 (57.3%)</w:t>
            </w:r>
          </w:p>
        </w:tc>
        <w:tc>
          <w:tcPr>
            <w:tcW w:w="1760" w:type="dxa"/>
            <w:tcBorders>
              <w:top w:val="nil"/>
              <w:left w:val="nil"/>
              <w:bottom w:val="nil"/>
              <w:right w:val="nil"/>
            </w:tcBorders>
            <w:shd w:val="clear" w:color="auto" w:fill="auto"/>
            <w:noWrap/>
            <w:vAlign w:val="center"/>
            <w:hideMark/>
          </w:tcPr>
          <w:p w14:paraId="5219A9B7"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37,968 (63.0%)</w:t>
            </w:r>
          </w:p>
        </w:tc>
        <w:tc>
          <w:tcPr>
            <w:tcW w:w="1760" w:type="dxa"/>
            <w:tcBorders>
              <w:top w:val="nil"/>
              <w:left w:val="nil"/>
              <w:bottom w:val="nil"/>
              <w:right w:val="nil"/>
            </w:tcBorders>
            <w:shd w:val="clear" w:color="auto" w:fill="auto"/>
            <w:noWrap/>
            <w:vAlign w:val="center"/>
            <w:hideMark/>
          </w:tcPr>
          <w:p w14:paraId="3D90BE94"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51,479 (61.0%)</w:t>
            </w:r>
          </w:p>
        </w:tc>
        <w:tc>
          <w:tcPr>
            <w:tcW w:w="1760" w:type="dxa"/>
            <w:tcBorders>
              <w:top w:val="nil"/>
              <w:left w:val="nil"/>
              <w:bottom w:val="nil"/>
              <w:right w:val="nil"/>
            </w:tcBorders>
            <w:shd w:val="clear" w:color="auto" w:fill="auto"/>
            <w:noWrap/>
            <w:vAlign w:val="center"/>
            <w:hideMark/>
          </w:tcPr>
          <w:p w14:paraId="74EBF93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11,483 (53.6%)</w:t>
            </w:r>
          </w:p>
        </w:tc>
      </w:tr>
      <w:tr w:rsidR="004C49CA" w:rsidRPr="005628EF" w14:paraId="01051D61" w14:textId="77777777" w:rsidTr="006F5124">
        <w:trPr>
          <w:trHeight w:val="290"/>
        </w:trPr>
        <w:tc>
          <w:tcPr>
            <w:tcW w:w="4000" w:type="dxa"/>
            <w:tcBorders>
              <w:top w:val="nil"/>
              <w:left w:val="nil"/>
              <w:bottom w:val="nil"/>
              <w:right w:val="nil"/>
            </w:tcBorders>
            <w:shd w:val="clear" w:color="auto" w:fill="auto"/>
            <w:noWrap/>
            <w:vAlign w:val="bottom"/>
            <w:hideMark/>
          </w:tcPr>
          <w:p w14:paraId="6C0B2876"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Inner regional</w:t>
            </w:r>
          </w:p>
        </w:tc>
        <w:tc>
          <w:tcPr>
            <w:tcW w:w="1820" w:type="dxa"/>
            <w:tcBorders>
              <w:top w:val="nil"/>
              <w:left w:val="nil"/>
              <w:bottom w:val="nil"/>
              <w:right w:val="nil"/>
            </w:tcBorders>
            <w:shd w:val="clear" w:color="auto" w:fill="auto"/>
            <w:noWrap/>
            <w:vAlign w:val="bottom"/>
            <w:hideMark/>
          </w:tcPr>
          <w:p w14:paraId="031C203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5,951 (24.3%)</w:t>
            </w:r>
          </w:p>
        </w:tc>
        <w:tc>
          <w:tcPr>
            <w:tcW w:w="1760" w:type="dxa"/>
            <w:tcBorders>
              <w:top w:val="nil"/>
              <w:left w:val="nil"/>
              <w:bottom w:val="nil"/>
              <w:right w:val="nil"/>
            </w:tcBorders>
            <w:shd w:val="clear" w:color="auto" w:fill="auto"/>
            <w:noWrap/>
            <w:vAlign w:val="center"/>
            <w:hideMark/>
          </w:tcPr>
          <w:p w14:paraId="690CC6CE"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8,281 (25.4%)</w:t>
            </w:r>
          </w:p>
        </w:tc>
        <w:tc>
          <w:tcPr>
            <w:tcW w:w="1760" w:type="dxa"/>
            <w:tcBorders>
              <w:top w:val="nil"/>
              <w:left w:val="nil"/>
              <w:bottom w:val="nil"/>
              <w:right w:val="nil"/>
            </w:tcBorders>
            <w:shd w:val="clear" w:color="auto" w:fill="auto"/>
            <w:noWrap/>
            <w:vAlign w:val="center"/>
            <w:hideMark/>
          </w:tcPr>
          <w:p w14:paraId="2A33AB1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13,249 (22.0%)</w:t>
            </w:r>
          </w:p>
        </w:tc>
        <w:tc>
          <w:tcPr>
            <w:tcW w:w="1760" w:type="dxa"/>
            <w:tcBorders>
              <w:top w:val="nil"/>
              <w:left w:val="nil"/>
              <w:bottom w:val="nil"/>
              <w:right w:val="nil"/>
            </w:tcBorders>
            <w:shd w:val="clear" w:color="auto" w:fill="auto"/>
            <w:noWrap/>
            <w:vAlign w:val="center"/>
            <w:hideMark/>
          </w:tcPr>
          <w:p w14:paraId="1B37BBE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19,554 (23.2%)</w:t>
            </w:r>
          </w:p>
        </w:tc>
        <w:tc>
          <w:tcPr>
            <w:tcW w:w="1760" w:type="dxa"/>
            <w:tcBorders>
              <w:top w:val="nil"/>
              <w:left w:val="nil"/>
              <w:bottom w:val="nil"/>
              <w:right w:val="nil"/>
            </w:tcBorders>
            <w:shd w:val="clear" w:color="auto" w:fill="auto"/>
            <w:noWrap/>
            <w:vAlign w:val="center"/>
            <w:hideMark/>
          </w:tcPr>
          <w:p w14:paraId="4430038D"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5,439 (25.4%)</w:t>
            </w:r>
          </w:p>
        </w:tc>
      </w:tr>
      <w:tr w:rsidR="004C49CA" w:rsidRPr="005628EF" w14:paraId="544D4FA3" w14:textId="77777777" w:rsidTr="006F5124">
        <w:trPr>
          <w:trHeight w:val="290"/>
        </w:trPr>
        <w:tc>
          <w:tcPr>
            <w:tcW w:w="4000" w:type="dxa"/>
            <w:tcBorders>
              <w:top w:val="nil"/>
              <w:left w:val="nil"/>
              <w:bottom w:val="nil"/>
              <w:right w:val="nil"/>
            </w:tcBorders>
            <w:shd w:val="clear" w:color="auto" w:fill="auto"/>
            <w:noWrap/>
            <w:vAlign w:val="bottom"/>
            <w:hideMark/>
          </w:tcPr>
          <w:p w14:paraId="3C44CDF5"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Outer regional</w:t>
            </w:r>
          </w:p>
        </w:tc>
        <w:tc>
          <w:tcPr>
            <w:tcW w:w="1820" w:type="dxa"/>
            <w:tcBorders>
              <w:top w:val="nil"/>
              <w:left w:val="nil"/>
              <w:bottom w:val="nil"/>
              <w:right w:val="nil"/>
            </w:tcBorders>
            <w:shd w:val="clear" w:color="auto" w:fill="auto"/>
            <w:noWrap/>
            <w:vAlign w:val="bottom"/>
            <w:hideMark/>
          </w:tcPr>
          <w:p w14:paraId="369E00E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3,483 (14.2%)</w:t>
            </w:r>
          </w:p>
        </w:tc>
        <w:tc>
          <w:tcPr>
            <w:tcW w:w="1760" w:type="dxa"/>
            <w:tcBorders>
              <w:top w:val="nil"/>
              <w:left w:val="nil"/>
              <w:bottom w:val="nil"/>
              <w:right w:val="nil"/>
            </w:tcBorders>
            <w:shd w:val="clear" w:color="auto" w:fill="auto"/>
            <w:noWrap/>
            <w:vAlign w:val="center"/>
            <w:hideMark/>
          </w:tcPr>
          <w:p w14:paraId="66966FFE"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4,031 (12.4%)</w:t>
            </w:r>
          </w:p>
        </w:tc>
        <w:tc>
          <w:tcPr>
            <w:tcW w:w="1760" w:type="dxa"/>
            <w:tcBorders>
              <w:top w:val="nil"/>
              <w:left w:val="nil"/>
              <w:bottom w:val="nil"/>
              <w:right w:val="nil"/>
            </w:tcBorders>
            <w:shd w:val="clear" w:color="auto" w:fill="auto"/>
            <w:noWrap/>
            <w:vAlign w:val="center"/>
            <w:hideMark/>
          </w:tcPr>
          <w:p w14:paraId="345352B1"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6,538 (10.9%)</w:t>
            </w:r>
          </w:p>
        </w:tc>
        <w:tc>
          <w:tcPr>
            <w:tcW w:w="1760" w:type="dxa"/>
            <w:tcBorders>
              <w:top w:val="nil"/>
              <w:left w:val="nil"/>
              <w:bottom w:val="nil"/>
              <w:right w:val="nil"/>
            </w:tcBorders>
            <w:shd w:val="clear" w:color="auto" w:fill="auto"/>
            <w:noWrap/>
            <w:vAlign w:val="center"/>
            <w:hideMark/>
          </w:tcPr>
          <w:p w14:paraId="7B982DF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9,656 (11.4%)</w:t>
            </w:r>
          </w:p>
        </w:tc>
        <w:tc>
          <w:tcPr>
            <w:tcW w:w="1760" w:type="dxa"/>
            <w:tcBorders>
              <w:top w:val="nil"/>
              <w:left w:val="nil"/>
              <w:bottom w:val="nil"/>
              <w:right w:val="nil"/>
            </w:tcBorders>
            <w:shd w:val="clear" w:color="auto" w:fill="auto"/>
            <w:noWrap/>
            <w:vAlign w:val="center"/>
            <w:hideMark/>
          </w:tcPr>
          <w:p w14:paraId="1828122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3,325 (15.5%)</w:t>
            </w:r>
          </w:p>
        </w:tc>
      </w:tr>
      <w:tr w:rsidR="004C49CA" w:rsidRPr="005628EF" w14:paraId="3ED5BFCC" w14:textId="77777777" w:rsidTr="006F5124">
        <w:trPr>
          <w:trHeight w:val="290"/>
        </w:trPr>
        <w:tc>
          <w:tcPr>
            <w:tcW w:w="4000" w:type="dxa"/>
            <w:tcBorders>
              <w:top w:val="nil"/>
              <w:left w:val="nil"/>
              <w:bottom w:val="nil"/>
              <w:right w:val="nil"/>
            </w:tcBorders>
            <w:shd w:val="clear" w:color="auto" w:fill="auto"/>
            <w:noWrap/>
            <w:vAlign w:val="bottom"/>
            <w:hideMark/>
          </w:tcPr>
          <w:p w14:paraId="34F50884"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Remote</w:t>
            </w:r>
          </w:p>
        </w:tc>
        <w:tc>
          <w:tcPr>
            <w:tcW w:w="1820" w:type="dxa"/>
            <w:tcBorders>
              <w:top w:val="nil"/>
              <w:left w:val="nil"/>
              <w:bottom w:val="nil"/>
              <w:right w:val="nil"/>
            </w:tcBorders>
            <w:shd w:val="clear" w:color="auto" w:fill="auto"/>
            <w:noWrap/>
            <w:vAlign w:val="bottom"/>
            <w:hideMark/>
          </w:tcPr>
          <w:p w14:paraId="375483C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1,111 (4.5%)</w:t>
            </w:r>
          </w:p>
        </w:tc>
        <w:tc>
          <w:tcPr>
            <w:tcW w:w="1760" w:type="dxa"/>
            <w:tcBorders>
              <w:top w:val="nil"/>
              <w:left w:val="nil"/>
              <w:bottom w:val="nil"/>
              <w:right w:val="nil"/>
            </w:tcBorders>
            <w:shd w:val="clear" w:color="auto" w:fill="auto"/>
            <w:noWrap/>
            <w:vAlign w:val="center"/>
            <w:hideMark/>
          </w:tcPr>
          <w:p w14:paraId="40510CC4"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1,367 (4.2%)</w:t>
            </w:r>
          </w:p>
        </w:tc>
        <w:tc>
          <w:tcPr>
            <w:tcW w:w="1760" w:type="dxa"/>
            <w:tcBorders>
              <w:top w:val="nil"/>
              <w:left w:val="nil"/>
              <w:bottom w:val="nil"/>
              <w:right w:val="nil"/>
            </w:tcBorders>
            <w:shd w:val="clear" w:color="auto" w:fill="auto"/>
            <w:noWrap/>
            <w:vAlign w:val="center"/>
            <w:hideMark/>
          </w:tcPr>
          <w:p w14:paraId="00638503"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1,961 (3.3%)</w:t>
            </w:r>
          </w:p>
        </w:tc>
        <w:tc>
          <w:tcPr>
            <w:tcW w:w="1760" w:type="dxa"/>
            <w:tcBorders>
              <w:top w:val="nil"/>
              <w:left w:val="nil"/>
              <w:bottom w:val="nil"/>
              <w:right w:val="nil"/>
            </w:tcBorders>
            <w:shd w:val="clear" w:color="auto" w:fill="auto"/>
            <w:noWrap/>
            <w:vAlign w:val="center"/>
            <w:hideMark/>
          </w:tcPr>
          <w:p w14:paraId="04F2745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2,977 (3.5%)</w:t>
            </w:r>
          </w:p>
        </w:tc>
        <w:tc>
          <w:tcPr>
            <w:tcW w:w="1760" w:type="dxa"/>
            <w:tcBorders>
              <w:top w:val="nil"/>
              <w:left w:val="nil"/>
              <w:bottom w:val="nil"/>
              <w:right w:val="nil"/>
            </w:tcBorders>
            <w:shd w:val="clear" w:color="auto" w:fill="auto"/>
            <w:noWrap/>
            <w:vAlign w:val="center"/>
            <w:hideMark/>
          </w:tcPr>
          <w:p w14:paraId="64662CE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1,107 (5.2%)</w:t>
            </w:r>
          </w:p>
        </w:tc>
      </w:tr>
      <w:tr w:rsidR="004C49CA" w:rsidRPr="005628EF" w14:paraId="4E184AEA" w14:textId="77777777" w:rsidTr="006F5124">
        <w:trPr>
          <w:trHeight w:val="290"/>
        </w:trPr>
        <w:tc>
          <w:tcPr>
            <w:tcW w:w="4000" w:type="dxa"/>
            <w:tcBorders>
              <w:top w:val="nil"/>
              <w:left w:val="nil"/>
              <w:bottom w:val="nil"/>
              <w:right w:val="nil"/>
            </w:tcBorders>
            <w:shd w:val="clear" w:color="auto" w:fill="auto"/>
            <w:noWrap/>
            <w:vAlign w:val="bottom"/>
            <w:hideMark/>
          </w:tcPr>
          <w:p w14:paraId="292BBDF1"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Socio-economic (SES) disadvantage, n(%)</w:t>
            </w:r>
          </w:p>
        </w:tc>
        <w:tc>
          <w:tcPr>
            <w:tcW w:w="1820" w:type="dxa"/>
            <w:tcBorders>
              <w:top w:val="nil"/>
              <w:left w:val="nil"/>
              <w:bottom w:val="nil"/>
              <w:right w:val="nil"/>
            </w:tcBorders>
            <w:shd w:val="clear" w:color="auto" w:fill="auto"/>
            <w:noWrap/>
            <w:vAlign w:val="bottom"/>
            <w:hideMark/>
          </w:tcPr>
          <w:p w14:paraId="0E228F4F"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p>
        </w:tc>
        <w:tc>
          <w:tcPr>
            <w:tcW w:w="1760" w:type="dxa"/>
            <w:tcBorders>
              <w:top w:val="nil"/>
              <w:left w:val="nil"/>
              <w:bottom w:val="nil"/>
              <w:right w:val="nil"/>
            </w:tcBorders>
            <w:shd w:val="clear" w:color="auto" w:fill="auto"/>
            <w:noWrap/>
            <w:vAlign w:val="center"/>
            <w:hideMark/>
          </w:tcPr>
          <w:p w14:paraId="5EE08B7C"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center"/>
            <w:hideMark/>
          </w:tcPr>
          <w:p w14:paraId="67540051"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center"/>
            <w:hideMark/>
          </w:tcPr>
          <w:p w14:paraId="1C9D0F53"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center"/>
            <w:hideMark/>
          </w:tcPr>
          <w:p w14:paraId="5061AC35"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r>
      <w:tr w:rsidR="004C49CA" w:rsidRPr="005628EF" w14:paraId="17FDDD75" w14:textId="77777777" w:rsidTr="006F5124">
        <w:trPr>
          <w:trHeight w:val="290"/>
        </w:trPr>
        <w:tc>
          <w:tcPr>
            <w:tcW w:w="4000" w:type="dxa"/>
            <w:tcBorders>
              <w:top w:val="nil"/>
              <w:left w:val="nil"/>
              <w:bottom w:val="nil"/>
              <w:right w:val="nil"/>
            </w:tcBorders>
            <w:shd w:val="clear" w:color="auto" w:fill="auto"/>
            <w:noWrap/>
            <w:vAlign w:val="bottom"/>
            <w:hideMark/>
          </w:tcPr>
          <w:p w14:paraId="14FECECC"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Most disadvantaged (1)</w:t>
            </w:r>
          </w:p>
        </w:tc>
        <w:tc>
          <w:tcPr>
            <w:tcW w:w="1820" w:type="dxa"/>
            <w:tcBorders>
              <w:top w:val="nil"/>
              <w:left w:val="nil"/>
              <w:bottom w:val="nil"/>
              <w:right w:val="nil"/>
            </w:tcBorders>
            <w:shd w:val="clear" w:color="auto" w:fill="auto"/>
            <w:noWrap/>
            <w:vAlign w:val="bottom"/>
            <w:hideMark/>
          </w:tcPr>
          <w:p w14:paraId="0E502F2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6,784 (27.7%)</w:t>
            </w:r>
          </w:p>
        </w:tc>
        <w:tc>
          <w:tcPr>
            <w:tcW w:w="1760" w:type="dxa"/>
            <w:tcBorders>
              <w:top w:val="nil"/>
              <w:left w:val="nil"/>
              <w:bottom w:val="nil"/>
              <w:right w:val="nil"/>
            </w:tcBorders>
            <w:shd w:val="clear" w:color="auto" w:fill="auto"/>
            <w:noWrap/>
            <w:vAlign w:val="center"/>
            <w:hideMark/>
          </w:tcPr>
          <w:p w14:paraId="352D5969"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8,576 (26.3%)</w:t>
            </w:r>
          </w:p>
        </w:tc>
        <w:tc>
          <w:tcPr>
            <w:tcW w:w="1760" w:type="dxa"/>
            <w:tcBorders>
              <w:top w:val="nil"/>
              <w:left w:val="nil"/>
              <w:bottom w:val="nil"/>
              <w:right w:val="nil"/>
            </w:tcBorders>
            <w:shd w:val="clear" w:color="auto" w:fill="auto"/>
            <w:noWrap/>
            <w:vAlign w:val="center"/>
            <w:hideMark/>
          </w:tcPr>
          <w:p w14:paraId="27CBE91D"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15,131 (25.1%)</w:t>
            </w:r>
          </w:p>
        </w:tc>
        <w:tc>
          <w:tcPr>
            <w:tcW w:w="1760" w:type="dxa"/>
            <w:tcBorders>
              <w:top w:val="nil"/>
              <w:left w:val="nil"/>
              <w:bottom w:val="nil"/>
              <w:right w:val="nil"/>
            </w:tcBorders>
            <w:shd w:val="clear" w:color="auto" w:fill="auto"/>
            <w:noWrap/>
            <w:vAlign w:val="center"/>
            <w:hideMark/>
          </w:tcPr>
          <w:p w14:paraId="54BABA73"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21,420 (25.4%)</w:t>
            </w:r>
          </w:p>
        </w:tc>
        <w:tc>
          <w:tcPr>
            <w:tcW w:w="1760" w:type="dxa"/>
            <w:tcBorders>
              <w:top w:val="nil"/>
              <w:left w:val="nil"/>
              <w:bottom w:val="nil"/>
              <w:right w:val="nil"/>
            </w:tcBorders>
            <w:shd w:val="clear" w:color="auto" w:fill="auto"/>
            <w:noWrap/>
            <w:vAlign w:val="center"/>
            <w:hideMark/>
          </w:tcPr>
          <w:p w14:paraId="1A8FC17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6,087 (28.4%)</w:t>
            </w:r>
          </w:p>
        </w:tc>
      </w:tr>
      <w:tr w:rsidR="004C49CA" w:rsidRPr="005628EF" w14:paraId="4F324634" w14:textId="77777777" w:rsidTr="006F5124">
        <w:trPr>
          <w:trHeight w:val="290"/>
        </w:trPr>
        <w:tc>
          <w:tcPr>
            <w:tcW w:w="4000" w:type="dxa"/>
            <w:tcBorders>
              <w:top w:val="nil"/>
              <w:left w:val="nil"/>
              <w:bottom w:val="nil"/>
              <w:right w:val="nil"/>
            </w:tcBorders>
            <w:shd w:val="clear" w:color="auto" w:fill="auto"/>
            <w:noWrap/>
            <w:vAlign w:val="bottom"/>
            <w:hideMark/>
          </w:tcPr>
          <w:p w14:paraId="01258236"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lastRenderedPageBreak/>
              <w:t>2</w:t>
            </w:r>
          </w:p>
        </w:tc>
        <w:tc>
          <w:tcPr>
            <w:tcW w:w="1820" w:type="dxa"/>
            <w:tcBorders>
              <w:top w:val="nil"/>
              <w:left w:val="nil"/>
              <w:bottom w:val="nil"/>
              <w:right w:val="nil"/>
            </w:tcBorders>
            <w:shd w:val="clear" w:color="auto" w:fill="auto"/>
            <w:noWrap/>
            <w:vAlign w:val="bottom"/>
            <w:hideMark/>
          </w:tcPr>
          <w:p w14:paraId="170107A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5,434 (22.2%)</w:t>
            </w:r>
          </w:p>
        </w:tc>
        <w:tc>
          <w:tcPr>
            <w:tcW w:w="1760" w:type="dxa"/>
            <w:tcBorders>
              <w:top w:val="nil"/>
              <w:left w:val="nil"/>
              <w:bottom w:val="nil"/>
              <w:right w:val="nil"/>
            </w:tcBorders>
            <w:shd w:val="clear" w:color="auto" w:fill="auto"/>
            <w:noWrap/>
            <w:vAlign w:val="center"/>
            <w:hideMark/>
          </w:tcPr>
          <w:p w14:paraId="1D8EF6FF"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7,067 (21.7%)</w:t>
            </w:r>
          </w:p>
        </w:tc>
        <w:tc>
          <w:tcPr>
            <w:tcW w:w="1760" w:type="dxa"/>
            <w:tcBorders>
              <w:top w:val="nil"/>
              <w:left w:val="nil"/>
              <w:bottom w:val="nil"/>
              <w:right w:val="nil"/>
            </w:tcBorders>
            <w:shd w:val="clear" w:color="auto" w:fill="auto"/>
            <w:noWrap/>
            <w:vAlign w:val="center"/>
            <w:hideMark/>
          </w:tcPr>
          <w:p w14:paraId="10A66081"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12,783 (21.2%)</w:t>
            </w:r>
          </w:p>
        </w:tc>
        <w:tc>
          <w:tcPr>
            <w:tcW w:w="1760" w:type="dxa"/>
            <w:tcBorders>
              <w:top w:val="nil"/>
              <w:left w:val="nil"/>
              <w:bottom w:val="nil"/>
              <w:right w:val="nil"/>
            </w:tcBorders>
            <w:shd w:val="clear" w:color="auto" w:fill="auto"/>
            <w:noWrap/>
            <w:vAlign w:val="center"/>
            <w:hideMark/>
          </w:tcPr>
          <w:p w14:paraId="59D0F81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18,015 (21.3%)</w:t>
            </w:r>
          </w:p>
        </w:tc>
        <w:tc>
          <w:tcPr>
            <w:tcW w:w="1760" w:type="dxa"/>
            <w:tcBorders>
              <w:top w:val="nil"/>
              <w:left w:val="nil"/>
              <w:bottom w:val="nil"/>
              <w:right w:val="nil"/>
            </w:tcBorders>
            <w:shd w:val="clear" w:color="auto" w:fill="auto"/>
            <w:noWrap/>
            <w:vAlign w:val="center"/>
            <w:hideMark/>
          </w:tcPr>
          <w:p w14:paraId="40CB380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4,891 (22.8%)</w:t>
            </w:r>
          </w:p>
        </w:tc>
      </w:tr>
      <w:tr w:rsidR="004C49CA" w:rsidRPr="005628EF" w14:paraId="50D6C790" w14:textId="77777777" w:rsidTr="006F5124">
        <w:trPr>
          <w:trHeight w:val="290"/>
        </w:trPr>
        <w:tc>
          <w:tcPr>
            <w:tcW w:w="4000" w:type="dxa"/>
            <w:tcBorders>
              <w:top w:val="nil"/>
              <w:left w:val="nil"/>
              <w:bottom w:val="nil"/>
              <w:right w:val="nil"/>
            </w:tcBorders>
            <w:shd w:val="clear" w:color="auto" w:fill="auto"/>
            <w:noWrap/>
            <w:vAlign w:val="bottom"/>
            <w:hideMark/>
          </w:tcPr>
          <w:p w14:paraId="56BC1FE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w:t>
            </w:r>
          </w:p>
        </w:tc>
        <w:tc>
          <w:tcPr>
            <w:tcW w:w="1820" w:type="dxa"/>
            <w:tcBorders>
              <w:top w:val="nil"/>
              <w:left w:val="nil"/>
              <w:bottom w:val="nil"/>
              <w:right w:val="nil"/>
            </w:tcBorders>
            <w:shd w:val="clear" w:color="auto" w:fill="auto"/>
            <w:noWrap/>
            <w:vAlign w:val="bottom"/>
            <w:hideMark/>
          </w:tcPr>
          <w:p w14:paraId="0A214AD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5,391 (22.0%)</w:t>
            </w:r>
          </w:p>
        </w:tc>
        <w:tc>
          <w:tcPr>
            <w:tcW w:w="1760" w:type="dxa"/>
            <w:tcBorders>
              <w:top w:val="nil"/>
              <w:left w:val="nil"/>
              <w:bottom w:val="nil"/>
              <w:right w:val="nil"/>
            </w:tcBorders>
            <w:shd w:val="clear" w:color="auto" w:fill="auto"/>
            <w:noWrap/>
            <w:vAlign w:val="center"/>
            <w:hideMark/>
          </w:tcPr>
          <w:p w14:paraId="3A411D75"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7,239 (22.2%)</w:t>
            </w:r>
          </w:p>
        </w:tc>
        <w:tc>
          <w:tcPr>
            <w:tcW w:w="1760" w:type="dxa"/>
            <w:tcBorders>
              <w:top w:val="nil"/>
              <w:left w:val="nil"/>
              <w:bottom w:val="nil"/>
              <w:right w:val="nil"/>
            </w:tcBorders>
            <w:shd w:val="clear" w:color="auto" w:fill="auto"/>
            <w:noWrap/>
            <w:vAlign w:val="center"/>
            <w:hideMark/>
          </w:tcPr>
          <w:p w14:paraId="6F13D4F0"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13,741 (22.8%)</w:t>
            </w:r>
          </w:p>
        </w:tc>
        <w:tc>
          <w:tcPr>
            <w:tcW w:w="1760" w:type="dxa"/>
            <w:tcBorders>
              <w:top w:val="nil"/>
              <w:left w:val="nil"/>
              <w:bottom w:val="nil"/>
              <w:right w:val="nil"/>
            </w:tcBorders>
            <w:shd w:val="clear" w:color="auto" w:fill="auto"/>
            <w:noWrap/>
            <w:vAlign w:val="center"/>
            <w:hideMark/>
          </w:tcPr>
          <w:p w14:paraId="66DCE74F"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19,043 (22.6%)</w:t>
            </w:r>
          </w:p>
        </w:tc>
        <w:tc>
          <w:tcPr>
            <w:tcW w:w="1760" w:type="dxa"/>
            <w:tcBorders>
              <w:top w:val="nil"/>
              <w:left w:val="nil"/>
              <w:bottom w:val="nil"/>
              <w:right w:val="nil"/>
            </w:tcBorders>
            <w:shd w:val="clear" w:color="auto" w:fill="auto"/>
            <w:noWrap/>
            <w:vAlign w:val="center"/>
            <w:hideMark/>
          </w:tcPr>
          <w:p w14:paraId="43A29FB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4,695 (21.9%)</w:t>
            </w:r>
          </w:p>
        </w:tc>
      </w:tr>
      <w:tr w:rsidR="004C49CA" w:rsidRPr="005628EF" w14:paraId="47DA2AC3" w14:textId="77777777" w:rsidTr="006F5124">
        <w:trPr>
          <w:trHeight w:val="290"/>
        </w:trPr>
        <w:tc>
          <w:tcPr>
            <w:tcW w:w="4000" w:type="dxa"/>
            <w:tcBorders>
              <w:top w:val="nil"/>
              <w:left w:val="nil"/>
              <w:bottom w:val="nil"/>
              <w:right w:val="nil"/>
            </w:tcBorders>
            <w:shd w:val="clear" w:color="auto" w:fill="auto"/>
            <w:noWrap/>
            <w:vAlign w:val="bottom"/>
            <w:hideMark/>
          </w:tcPr>
          <w:p w14:paraId="5AB2B81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4</w:t>
            </w:r>
          </w:p>
        </w:tc>
        <w:tc>
          <w:tcPr>
            <w:tcW w:w="1820" w:type="dxa"/>
            <w:tcBorders>
              <w:top w:val="nil"/>
              <w:left w:val="nil"/>
              <w:bottom w:val="nil"/>
              <w:right w:val="nil"/>
            </w:tcBorders>
            <w:shd w:val="clear" w:color="auto" w:fill="auto"/>
            <w:noWrap/>
            <w:vAlign w:val="bottom"/>
            <w:hideMark/>
          </w:tcPr>
          <w:p w14:paraId="154DA0A7"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3,926 (16.0%)</w:t>
            </w:r>
          </w:p>
        </w:tc>
        <w:tc>
          <w:tcPr>
            <w:tcW w:w="1760" w:type="dxa"/>
            <w:tcBorders>
              <w:top w:val="nil"/>
              <w:left w:val="nil"/>
              <w:bottom w:val="nil"/>
              <w:right w:val="nil"/>
            </w:tcBorders>
            <w:shd w:val="clear" w:color="auto" w:fill="auto"/>
            <w:noWrap/>
            <w:vAlign w:val="center"/>
            <w:hideMark/>
          </w:tcPr>
          <w:p w14:paraId="5E18ED06"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5,283 (16.2%)</w:t>
            </w:r>
          </w:p>
        </w:tc>
        <w:tc>
          <w:tcPr>
            <w:tcW w:w="1760" w:type="dxa"/>
            <w:tcBorders>
              <w:top w:val="nil"/>
              <w:left w:val="nil"/>
              <w:bottom w:val="nil"/>
              <w:right w:val="nil"/>
            </w:tcBorders>
            <w:shd w:val="clear" w:color="auto" w:fill="auto"/>
            <w:noWrap/>
            <w:vAlign w:val="center"/>
            <w:hideMark/>
          </w:tcPr>
          <w:p w14:paraId="7D49EE85"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10,074 (16.7%)</w:t>
            </w:r>
          </w:p>
        </w:tc>
        <w:tc>
          <w:tcPr>
            <w:tcW w:w="1760" w:type="dxa"/>
            <w:tcBorders>
              <w:top w:val="nil"/>
              <w:left w:val="nil"/>
              <w:bottom w:val="nil"/>
              <w:right w:val="nil"/>
            </w:tcBorders>
            <w:shd w:val="clear" w:color="auto" w:fill="auto"/>
            <w:noWrap/>
            <w:vAlign w:val="center"/>
            <w:hideMark/>
          </w:tcPr>
          <w:p w14:paraId="18506160"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14,056 (16.7%)</w:t>
            </w:r>
          </w:p>
        </w:tc>
        <w:tc>
          <w:tcPr>
            <w:tcW w:w="1760" w:type="dxa"/>
            <w:tcBorders>
              <w:top w:val="nil"/>
              <w:left w:val="nil"/>
              <w:bottom w:val="nil"/>
              <w:right w:val="nil"/>
            </w:tcBorders>
            <w:shd w:val="clear" w:color="auto" w:fill="auto"/>
            <w:noWrap/>
            <w:vAlign w:val="center"/>
            <w:hideMark/>
          </w:tcPr>
          <w:p w14:paraId="5EB4597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3,286 (15.3%)</w:t>
            </w:r>
          </w:p>
        </w:tc>
      </w:tr>
      <w:tr w:rsidR="004C49CA" w:rsidRPr="005628EF" w14:paraId="51D2BB72" w14:textId="77777777" w:rsidTr="006F5124">
        <w:trPr>
          <w:trHeight w:val="290"/>
        </w:trPr>
        <w:tc>
          <w:tcPr>
            <w:tcW w:w="4000" w:type="dxa"/>
            <w:tcBorders>
              <w:top w:val="nil"/>
              <w:left w:val="nil"/>
              <w:bottom w:val="nil"/>
              <w:right w:val="nil"/>
            </w:tcBorders>
            <w:shd w:val="clear" w:color="auto" w:fill="auto"/>
            <w:noWrap/>
            <w:vAlign w:val="bottom"/>
            <w:hideMark/>
          </w:tcPr>
          <w:p w14:paraId="17A75B93"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Least disadvantaged (5)</w:t>
            </w:r>
          </w:p>
        </w:tc>
        <w:tc>
          <w:tcPr>
            <w:tcW w:w="1820" w:type="dxa"/>
            <w:tcBorders>
              <w:top w:val="nil"/>
              <w:left w:val="nil"/>
              <w:bottom w:val="nil"/>
              <w:right w:val="nil"/>
            </w:tcBorders>
            <w:shd w:val="clear" w:color="auto" w:fill="auto"/>
            <w:noWrap/>
            <w:vAlign w:val="bottom"/>
            <w:hideMark/>
          </w:tcPr>
          <w:p w14:paraId="0A70DCFD"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2,879 (11.8%)</w:t>
            </w:r>
          </w:p>
        </w:tc>
        <w:tc>
          <w:tcPr>
            <w:tcW w:w="1760" w:type="dxa"/>
            <w:tcBorders>
              <w:top w:val="nil"/>
              <w:left w:val="nil"/>
              <w:bottom w:val="nil"/>
              <w:right w:val="nil"/>
            </w:tcBorders>
            <w:shd w:val="clear" w:color="auto" w:fill="auto"/>
            <w:noWrap/>
            <w:vAlign w:val="center"/>
            <w:hideMark/>
          </w:tcPr>
          <w:p w14:paraId="26DA8D6F"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4,199 (12.9%)</w:t>
            </w:r>
          </w:p>
        </w:tc>
        <w:tc>
          <w:tcPr>
            <w:tcW w:w="1760" w:type="dxa"/>
            <w:tcBorders>
              <w:top w:val="nil"/>
              <w:left w:val="nil"/>
              <w:bottom w:val="nil"/>
              <w:right w:val="nil"/>
            </w:tcBorders>
            <w:shd w:val="clear" w:color="auto" w:fill="auto"/>
            <w:noWrap/>
            <w:vAlign w:val="center"/>
            <w:hideMark/>
          </w:tcPr>
          <w:p w14:paraId="2970A5A8"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7,985 (13.3%)</w:t>
            </w:r>
          </w:p>
        </w:tc>
        <w:tc>
          <w:tcPr>
            <w:tcW w:w="1760" w:type="dxa"/>
            <w:tcBorders>
              <w:top w:val="nil"/>
              <w:left w:val="nil"/>
              <w:bottom w:val="nil"/>
              <w:right w:val="nil"/>
            </w:tcBorders>
            <w:shd w:val="clear" w:color="auto" w:fill="auto"/>
            <w:noWrap/>
            <w:vAlign w:val="center"/>
            <w:hideMark/>
          </w:tcPr>
          <w:p w14:paraId="618FD8B3"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11,129 (13.2%)</w:t>
            </w:r>
          </w:p>
        </w:tc>
        <w:tc>
          <w:tcPr>
            <w:tcW w:w="1760" w:type="dxa"/>
            <w:tcBorders>
              <w:top w:val="nil"/>
              <w:left w:val="nil"/>
              <w:bottom w:val="nil"/>
              <w:right w:val="nil"/>
            </w:tcBorders>
            <w:shd w:val="clear" w:color="auto" w:fill="auto"/>
            <w:noWrap/>
            <w:vAlign w:val="center"/>
            <w:hideMark/>
          </w:tcPr>
          <w:p w14:paraId="66792D7B"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2,395 (11.2%)</w:t>
            </w:r>
          </w:p>
        </w:tc>
      </w:tr>
      <w:tr w:rsidR="004C49CA" w:rsidRPr="005628EF" w14:paraId="3C3F7EDE" w14:textId="77777777" w:rsidTr="006F5124">
        <w:trPr>
          <w:trHeight w:val="290"/>
        </w:trPr>
        <w:tc>
          <w:tcPr>
            <w:tcW w:w="4000" w:type="dxa"/>
            <w:tcBorders>
              <w:top w:val="nil"/>
              <w:left w:val="nil"/>
              <w:bottom w:val="nil"/>
              <w:right w:val="nil"/>
            </w:tcBorders>
            <w:shd w:val="clear" w:color="auto" w:fill="auto"/>
            <w:noWrap/>
            <w:vAlign w:val="bottom"/>
            <w:hideMark/>
          </w:tcPr>
          <w:p w14:paraId="1C6DF69B" w14:textId="77777777" w:rsidR="004C49CA" w:rsidRPr="005628EF" w:rsidRDefault="004C49CA" w:rsidP="006F5124">
            <w:pPr>
              <w:keepNext/>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Comorbidities, n(%)</w:t>
            </w:r>
          </w:p>
        </w:tc>
        <w:tc>
          <w:tcPr>
            <w:tcW w:w="1820" w:type="dxa"/>
            <w:tcBorders>
              <w:top w:val="nil"/>
              <w:left w:val="nil"/>
              <w:bottom w:val="nil"/>
              <w:right w:val="nil"/>
            </w:tcBorders>
            <w:shd w:val="clear" w:color="auto" w:fill="auto"/>
            <w:noWrap/>
            <w:vAlign w:val="bottom"/>
            <w:hideMark/>
          </w:tcPr>
          <w:p w14:paraId="419A6B41"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5C117960"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256A2CC5"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754453AF" w14:textId="77777777" w:rsidR="004C49CA" w:rsidRPr="005628EF" w:rsidRDefault="004C49CA" w:rsidP="006F5124">
            <w:pPr>
              <w:spacing w:after="0" w:line="240" w:lineRule="auto"/>
              <w:jc w:val="right"/>
              <w:rPr>
                <w:rFonts w:ascii="Times New Roman" w:eastAsia="Times New Roman" w:hAnsi="Times New Roman"/>
                <w:color w:val="auto"/>
                <w:sz w:val="20"/>
                <w:szCs w:val="20"/>
                <w:lang w:eastAsia="en-AU"/>
              </w:rPr>
            </w:pPr>
          </w:p>
        </w:tc>
        <w:tc>
          <w:tcPr>
            <w:tcW w:w="1760" w:type="dxa"/>
            <w:tcBorders>
              <w:top w:val="nil"/>
              <w:left w:val="nil"/>
              <w:bottom w:val="nil"/>
              <w:right w:val="nil"/>
            </w:tcBorders>
            <w:shd w:val="clear" w:color="auto" w:fill="auto"/>
            <w:noWrap/>
            <w:vAlign w:val="bottom"/>
            <w:hideMark/>
          </w:tcPr>
          <w:p w14:paraId="594B63C6" w14:textId="77777777" w:rsidR="004C49CA" w:rsidRPr="005628EF" w:rsidRDefault="004C49CA" w:rsidP="006F5124">
            <w:pPr>
              <w:spacing w:after="0" w:line="240" w:lineRule="auto"/>
              <w:rPr>
                <w:rFonts w:ascii="Times New Roman" w:eastAsia="Times New Roman" w:hAnsi="Times New Roman"/>
                <w:color w:val="auto"/>
                <w:sz w:val="20"/>
                <w:szCs w:val="20"/>
                <w:lang w:eastAsia="en-AU"/>
              </w:rPr>
            </w:pPr>
          </w:p>
        </w:tc>
      </w:tr>
      <w:tr w:rsidR="004C49CA" w:rsidRPr="005628EF" w14:paraId="3F2624FD" w14:textId="77777777" w:rsidTr="006F5124">
        <w:trPr>
          <w:trHeight w:val="290"/>
        </w:trPr>
        <w:tc>
          <w:tcPr>
            <w:tcW w:w="4000" w:type="dxa"/>
            <w:tcBorders>
              <w:top w:val="nil"/>
              <w:left w:val="nil"/>
              <w:bottom w:val="nil"/>
              <w:right w:val="nil"/>
            </w:tcBorders>
            <w:shd w:val="clear" w:color="auto" w:fill="auto"/>
            <w:noWrap/>
            <w:vAlign w:val="bottom"/>
            <w:hideMark/>
          </w:tcPr>
          <w:p w14:paraId="6AF2DF9D" w14:textId="77777777" w:rsidR="004C49CA" w:rsidRPr="005628EF" w:rsidRDefault="004C49CA" w:rsidP="006F5124">
            <w:pPr>
              <w:keepNext/>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Cancer</w:t>
            </w:r>
          </w:p>
        </w:tc>
        <w:tc>
          <w:tcPr>
            <w:tcW w:w="1820" w:type="dxa"/>
            <w:tcBorders>
              <w:top w:val="nil"/>
              <w:left w:val="nil"/>
              <w:bottom w:val="nil"/>
              <w:right w:val="nil"/>
            </w:tcBorders>
            <w:shd w:val="clear" w:color="auto" w:fill="auto"/>
            <w:noWrap/>
            <w:vAlign w:val="bottom"/>
            <w:hideMark/>
          </w:tcPr>
          <w:p w14:paraId="0279897E"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3,918 (16.0%)</w:t>
            </w:r>
          </w:p>
        </w:tc>
        <w:tc>
          <w:tcPr>
            <w:tcW w:w="1760" w:type="dxa"/>
            <w:tcBorders>
              <w:top w:val="nil"/>
              <w:left w:val="nil"/>
              <w:bottom w:val="nil"/>
              <w:right w:val="nil"/>
            </w:tcBorders>
            <w:shd w:val="clear" w:color="auto" w:fill="auto"/>
            <w:noWrap/>
            <w:vAlign w:val="center"/>
            <w:hideMark/>
          </w:tcPr>
          <w:p w14:paraId="0B9C5934"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3,890 (11.9%)</w:t>
            </w:r>
          </w:p>
        </w:tc>
        <w:tc>
          <w:tcPr>
            <w:tcW w:w="1760" w:type="dxa"/>
            <w:tcBorders>
              <w:top w:val="nil"/>
              <w:left w:val="nil"/>
              <w:bottom w:val="nil"/>
              <w:right w:val="nil"/>
            </w:tcBorders>
            <w:shd w:val="clear" w:color="auto" w:fill="auto"/>
            <w:noWrap/>
            <w:vAlign w:val="center"/>
            <w:hideMark/>
          </w:tcPr>
          <w:p w14:paraId="0816DCBD"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8,188 (13.6%)</w:t>
            </w:r>
          </w:p>
        </w:tc>
        <w:tc>
          <w:tcPr>
            <w:tcW w:w="1760" w:type="dxa"/>
            <w:tcBorders>
              <w:top w:val="nil"/>
              <w:left w:val="nil"/>
              <w:bottom w:val="nil"/>
              <w:right w:val="nil"/>
            </w:tcBorders>
            <w:shd w:val="clear" w:color="auto" w:fill="auto"/>
            <w:noWrap/>
            <w:vAlign w:val="center"/>
            <w:hideMark/>
          </w:tcPr>
          <w:p w14:paraId="701EF5A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10,969 (13.0%)</w:t>
            </w:r>
          </w:p>
        </w:tc>
        <w:tc>
          <w:tcPr>
            <w:tcW w:w="1760" w:type="dxa"/>
            <w:tcBorders>
              <w:top w:val="nil"/>
              <w:left w:val="nil"/>
              <w:bottom w:val="nil"/>
              <w:right w:val="nil"/>
            </w:tcBorders>
            <w:shd w:val="clear" w:color="auto" w:fill="auto"/>
            <w:noWrap/>
            <w:vAlign w:val="center"/>
            <w:hideMark/>
          </w:tcPr>
          <w:p w14:paraId="6EC2B852"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3,021 (14.1%)</w:t>
            </w:r>
          </w:p>
        </w:tc>
      </w:tr>
      <w:tr w:rsidR="004C49CA" w:rsidRPr="005628EF" w14:paraId="2F161E52" w14:textId="77777777" w:rsidTr="006F5124">
        <w:trPr>
          <w:trHeight w:val="290"/>
        </w:trPr>
        <w:tc>
          <w:tcPr>
            <w:tcW w:w="4000" w:type="dxa"/>
            <w:tcBorders>
              <w:top w:val="nil"/>
              <w:left w:val="nil"/>
              <w:bottom w:val="nil"/>
              <w:right w:val="nil"/>
            </w:tcBorders>
            <w:shd w:val="clear" w:color="auto" w:fill="auto"/>
            <w:noWrap/>
            <w:vAlign w:val="bottom"/>
            <w:hideMark/>
          </w:tcPr>
          <w:p w14:paraId="3565D9D9" w14:textId="77777777" w:rsidR="004C49CA" w:rsidRPr="005628EF" w:rsidRDefault="004C49CA" w:rsidP="006F5124">
            <w:pPr>
              <w:keepNext/>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Chronic obstructive pulmonary disease</w:t>
            </w:r>
          </w:p>
        </w:tc>
        <w:tc>
          <w:tcPr>
            <w:tcW w:w="1820" w:type="dxa"/>
            <w:tcBorders>
              <w:top w:val="nil"/>
              <w:left w:val="nil"/>
              <w:bottom w:val="nil"/>
              <w:right w:val="nil"/>
            </w:tcBorders>
            <w:shd w:val="clear" w:color="auto" w:fill="auto"/>
            <w:noWrap/>
            <w:vAlign w:val="bottom"/>
            <w:hideMark/>
          </w:tcPr>
          <w:p w14:paraId="1F632ECE" w14:textId="2B5C3C65"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xml:space="preserve">1,310 </w:t>
            </w:r>
            <w:r w:rsidR="00E7181E" w:rsidRPr="005628EF">
              <w:rPr>
                <w:rFonts w:ascii="Calibri" w:eastAsia="Times New Roman" w:hAnsi="Calibri" w:cs="Calibri"/>
                <w:color w:val="000000"/>
                <w:sz w:val="20"/>
                <w:szCs w:val="20"/>
                <w:lang w:eastAsia="en-AU"/>
              </w:rPr>
              <w:t>(5.3</w:t>
            </w:r>
            <w:r w:rsidRPr="005628EF">
              <w:rPr>
                <w:rFonts w:ascii="Calibri" w:eastAsia="Times New Roman" w:hAnsi="Calibri" w:cs="Calibri"/>
                <w:color w:val="000000"/>
                <w:sz w:val="20"/>
                <w:szCs w:val="20"/>
                <w:lang w:eastAsia="en-AU"/>
              </w:rPr>
              <w:t>%)</w:t>
            </w:r>
          </w:p>
        </w:tc>
        <w:tc>
          <w:tcPr>
            <w:tcW w:w="1760" w:type="dxa"/>
            <w:tcBorders>
              <w:top w:val="nil"/>
              <w:left w:val="nil"/>
              <w:bottom w:val="nil"/>
              <w:right w:val="nil"/>
            </w:tcBorders>
            <w:shd w:val="clear" w:color="auto" w:fill="auto"/>
            <w:noWrap/>
            <w:vAlign w:val="center"/>
            <w:hideMark/>
          </w:tcPr>
          <w:p w14:paraId="3B074790" w14:textId="7FF2A309"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2,205 </w:t>
            </w:r>
            <w:r w:rsidR="00E7181E" w:rsidRPr="005628EF">
              <w:rPr>
                <w:rFonts w:ascii="Calibri" w:eastAsia="Times New Roman" w:hAnsi="Calibri" w:cs="Calibri"/>
                <w:color w:val="auto"/>
                <w:sz w:val="20"/>
                <w:szCs w:val="20"/>
                <w:lang w:eastAsia="en-AU"/>
              </w:rPr>
              <w:t>(6.8</w:t>
            </w:r>
            <w:r w:rsidRPr="005628EF">
              <w:rPr>
                <w:rFonts w:ascii="Calibri" w:eastAsia="Times New Roman" w:hAnsi="Calibri" w:cs="Calibri"/>
                <w:color w:val="auto"/>
                <w:sz w:val="20"/>
                <w:szCs w:val="20"/>
                <w:lang w:eastAsia="en-AU"/>
              </w:rPr>
              <w:t>%)</w:t>
            </w:r>
          </w:p>
        </w:tc>
        <w:tc>
          <w:tcPr>
            <w:tcW w:w="1760" w:type="dxa"/>
            <w:tcBorders>
              <w:top w:val="nil"/>
              <w:left w:val="nil"/>
              <w:bottom w:val="nil"/>
              <w:right w:val="nil"/>
            </w:tcBorders>
            <w:shd w:val="clear" w:color="auto" w:fill="auto"/>
            <w:noWrap/>
            <w:vAlign w:val="center"/>
            <w:hideMark/>
          </w:tcPr>
          <w:p w14:paraId="21513808"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6,113 (10.1%)</w:t>
            </w:r>
          </w:p>
        </w:tc>
        <w:tc>
          <w:tcPr>
            <w:tcW w:w="1760" w:type="dxa"/>
            <w:tcBorders>
              <w:top w:val="nil"/>
              <w:left w:val="nil"/>
              <w:bottom w:val="nil"/>
              <w:right w:val="nil"/>
            </w:tcBorders>
            <w:shd w:val="clear" w:color="auto" w:fill="auto"/>
            <w:noWrap/>
            <w:vAlign w:val="center"/>
            <w:hideMark/>
          </w:tcPr>
          <w:p w14:paraId="43DF40C8"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7,524 (8.9%)</w:t>
            </w:r>
          </w:p>
        </w:tc>
        <w:tc>
          <w:tcPr>
            <w:tcW w:w="1760" w:type="dxa"/>
            <w:tcBorders>
              <w:top w:val="nil"/>
              <w:left w:val="nil"/>
              <w:bottom w:val="nil"/>
              <w:right w:val="nil"/>
            </w:tcBorders>
            <w:shd w:val="clear" w:color="auto" w:fill="auto"/>
            <w:noWrap/>
            <w:vAlign w:val="center"/>
            <w:hideMark/>
          </w:tcPr>
          <w:p w14:paraId="66C50322"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1,332 (6.2%)</w:t>
            </w:r>
          </w:p>
        </w:tc>
      </w:tr>
      <w:tr w:rsidR="004C49CA" w:rsidRPr="005628EF" w14:paraId="078734E6" w14:textId="77777777" w:rsidTr="006F5124">
        <w:trPr>
          <w:trHeight w:val="290"/>
        </w:trPr>
        <w:tc>
          <w:tcPr>
            <w:tcW w:w="4000" w:type="dxa"/>
            <w:tcBorders>
              <w:top w:val="nil"/>
              <w:left w:val="nil"/>
              <w:bottom w:val="nil"/>
              <w:right w:val="nil"/>
            </w:tcBorders>
            <w:shd w:val="clear" w:color="auto" w:fill="auto"/>
            <w:noWrap/>
            <w:vAlign w:val="bottom"/>
            <w:hideMark/>
          </w:tcPr>
          <w:p w14:paraId="7E960A00" w14:textId="77777777" w:rsidR="004C49CA" w:rsidRPr="005628EF" w:rsidRDefault="004C49CA" w:rsidP="006F5124">
            <w:pPr>
              <w:keepNext/>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Diabetes</w:t>
            </w:r>
          </w:p>
        </w:tc>
        <w:tc>
          <w:tcPr>
            <w:tcW w:w="1820" w:type="dxa"/>
            <w:tcBorders>
              <w:top w:val="nil"/>
              <w:left w:val="nil"/>
              <w:bottom w:val="nil"/>
              <w:right w:val="nil"/>
            </w:tcBorders>
            <w:shd w:val="clear" w:color="auto" w:fill="auto"/>
            <w:noWrap/>
            <w:vAlign w:val="bottom"/>
            <w:hideMark/>
          </w:tcPr>
          <w:p w14:paraId="5D0A9683"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7,241 (29.6%)</w:t>
            </w:r>
          </w:p>
        </w:tc>
        <w:tc>
          <w:tcPr>
            <w:tcW w:w="1760" w:type="dxa"/>
            <w:tcBorders>
              <w:top w:val="nil"/>
              <w:left w:val="nil"/>
              <w:bottom w:val="nil"/>
              <w:right w:val="nil"/>
            </w:tcBorders>
            <w:shd w:val="clear" w:color="auto" w:fill="auto"/>
            <w:noWrap/>
            <w:vAlign w:val="center"/>
            <w:hideMark/>
          </w:tcPr>
          <w:p w14:paraId="7A3D0ACF"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10,144 (31.1%)</w:t>
            </w:r>
          </w:p>
        </w:tc>
        <w:tc>
          <w:tcPr>
            <w:tcW w:w="1760" w:type="dxa"/>
            <w:tcBorders>
              <w:top w:val="nil"/>
              <w:left w:val="nil"/>
              <w:bottom w:val="nil"/>
              <w:right w:val="nil"/>
            </w:tcBorders>
            <w:shd w:val="clear" w:color="auto" w:fill="auto"/>
            <w:noWrap/>
            <w:vAlign w:val="center"/>
            <w:hideMark/>
          </w:tcPr>
          <w:p w14:paraId="12D4A4A2"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18,945 (31.4%)</w:t>
            </w:r>
          </w:p>
        </w:tc>
        <w:tc>
          <w:tcPr>
            <w:tcW w:w="1760" w:type="dxa"/>
            <w:tcBorders>
              <w:top w:val="nil"/>
              <w:left w:val="nil"/>
              <w:bottom w:val="nil"/>
              <w:right w:val="nil"/>
            </w:tcBorders>
            <w:shd w:val="clear" w:color="auto" w:fill="auto"/>
            <w:noWrap/>
            <w:vAlign w:val="center"/>
            <w:hideMark/>
          </w:tcPr>
          <w:p w14:paraId="02BC9107"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26,219 (31.1%)</w:t>
            </w:r>
          </w:p>
        </w:tc>
        <w:tc>
          <w:tcPr>
            <w:tcW w:w="1760" w:type="dxa"/>
            <w:tcBorders>
              <w:top w:val="nil"/>
              <w:left w:val="nil"/>
              <w:bottom w:val="nil"/>
              <w:right w:val="nil"/>
            </w:tcBorders>
            <w:shd w:val="clear" w:color="auto" w:fill="auto"/>
            <w:noWrap/>
            <w:vAlign w:val="center"/>
            <w:hideMark/>
          </w:tcPr>
          <w:p w14:paraId="17147989"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6,731 (31.4%)</w:t>
            </w:r>
          </w:p>
        </w:tc>
      </w:tr>
      <w:tr w:rsidR="004C49CA" w:rsidRPr="005628EF" w14:paraId="14282C54" w14:textId="77777777" w:rsidTr="006F5124">
        <w:trPr>
          <w:trHeight w:val="290"/>
        </w:trPr>
        <w:tc>
          <w:tcPr>
            <w:tcW w:w="4000" w:type="dxa"/>
            <w:tcBorders>
              <w:top w:val="nil"/>
              <w:left w:val="nil"/>
              <w:bottom w:val="nil"/>
              <w:right w:val="nil"/>
            </w:tcBorders>
            <w:shd w:val="clear" w:color="auto" w:fill="auto"/>
            <w:noWrap/>
            <w:vAlign w:val="bottom"/>
            <w:hideMark/>
          </w:tcPr>
          <w:p w14:paraId="6905018B" w14:textId="77777777" w:rsidR="004C49CA" w:rsidRPr="005628EF" w:rsidRDefault="004C49CA" w:rsidP="006F5124">
            <w:pPr>
              <w:keepNext/>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HIV/AIDS</w:t>
            </w:r>
          </w:p>
        </w:tc>
        <w:tc>
          <w:tcPr>
            <w:tcW w:w="1820" w:type="dxa"/>
            <w:tcBorders>
              <w:top w:val="nil"/>
              <w:left w:val="nil"/>
              <w:bottom w:val="nil"/>
              <w:right w:val="nil"/>
            </w:tcBorders>
            <w:shd w:val="clear" w:color="auto" w:fill="auto"/>
            <w:noWrap/>
            <w:vAlign w:val="bottom"/>
            <w:hideMark/>
          </w:tcPr>
          <w:p w14:paraId="00190ED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11 (0.0%)</w:t>
            </w:r>
          </w:p>
        </w:tc>
        <w:tc>
          <w:tcPr>
            <w:tcW w:w="1760" w:type="dxa"/>
            <w:tcBorders>
              <w:top w:val="nil"/>
              <w:left w:val="nil"/>
              <w:bottom w:val="nil"/>
              <w:right w:val="nil"/>
            </w:tcBorders>
            <w:shd w:val="clear" w:color="auto" w:fill="auto"/>
            <w:noWrap/>
            <w:vAlign w:val="center"/>
            <w:hideMark/>
          </w:tcPr>
          <w:p w14:paraId="5C5BCDD6" w14:textId="466F979A"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xml:space="preserve">17 </w:t>
            </w:r>
            <w:r w:rsidR="00E7181E" w:rsidRPr="005628EF">
              <w:rPr>
                <w:rFonts w:ascii="Calibri" w:eastAsia="Times New Roman" w:hAnsi="Calibri" w:cs="Calibri"/>
                <w:color w:val="auto"/>
                <w:sz w:val="20"/>
                <w:szCs w:val="20"/>
                <w:lang w:eastAsia="en-AU"/>
              </w:rPr>
              <w:t>(0.1</w:t>
            </w:r>
            <w:r w:rsidRPr="005628EF">
              <w:rPr>
                <w:rFonts w:ascii="Calibri" w:eastAsia="Times New Roman" w:hAnsi="Calibri" w:cs="Calibri"/>
                <w:color w:val="auto"/>
                <w:sz w:val="20"/>
                <w:szCs w:val="20"/>
                <w:lang w:eastAsia="en-AU"/>
              </w:rPr>
              <w:t>%)</w:t>
            </w:r>
          </w:p>
        </w:tc>
        <w:tc>
          <w:tcPr>
            <w:tcW w:w="1760" w:type="dxa"/>
            <w:tcBorders>
              <w:top w:val="nil"/>
              <w:left w:val="nil"/>
              <w:bottom w:val="nil"/>
              <w:right w:val="nil"/>
            </w:tcBorders>
            <w:shd w:val="clear" w:color="auto" w:fill="auto"/>
            <w:noWrap/>
            <w:vAlign w:val="center"/>
            <w:hideMark/>
          </w:tcPr>
          <w:p w14:paraId="48F46242"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46 (0.1%)</w:t>
            </w:r>
          </w:p>
        </w:tc>
        <w:tc>
          <w:tcPr>
            <w:tcW w:w="1760" w:type="dxa"/>
            <w:tcBorders>
              <w:top w:val="nil"/>
              <w:left w:val="nil"/>
              <w:bottom w:val="nil"/>
              <w:right w:val="nil"/>
            </w:tcBorders>
            <w:shd w:val="clear" w:color="auto" w:fill="auto"/>
            <w:noWrap/>
            <w:vAlign w:val="center"/>
            <w:hideMark/>
          </w:tcPr>
          <w:p w14:paraId="626A6B72"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54 (0.1%)</w:t>
            </w:r>
          </w:p>
        </w:tc>
        <w:tc>
          <w:tcPr>
            <w:tcW w:w="1760" w:type="dxa"/>
            <w:tcBorders>
              <w:top w:val="nil"/>
              <w:left w:val="nil"/>
              <w:bottom w:val="nil"/>
              <w:right w:val="nil"/>
            </w:tcBorders>
            <w:shd w:val="clear" w:color="auto" w:fill="auto"/>
            <w:noWrap/>
            <w:vAlign w:val="center"/>
            <w:hideMark/>
          </w:tcPr>
          <w:p w14:paraId="27A8DCB7"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19 (0.1%)</w:t>
            </w:r>
          </w:p>
        </w:tc>
      </w:tr>
      <w:tr w:rsidR="004C49CA" w:rsidRPr="005628EF" w14:paraId="2D23FC53" w14:textId="77777777" w:rsidTr="006F5124">
        <w:trPr>
          <w:trHeight w:val="290"/>
        </w:trPr>
        <w:tc>
          <w:tcPr>
            <w:tcW w:w="4000" w:type="dxa"/>
            <w:tcBorders>
              <w:top w:val="nil"/>
              <w:left w:val="nil"/>
              <w:bottom w:val="nil"/>
              <w:right w:val="nil"/>
            </w:tcBorders>
            <w:shd w:val="clear" w:color="auto" w:fill="auto"/>
            <w:noWrap/>
            <w:vAlign w:val="bottom"/>
            <w:hideMark/>
          </w:tcPr>
          <w:p w14:paraId="64394FCE" w14:textId="77777777" w:rsidR="004C49CA" w:rsidRPr="005628EF" w:rsidRDefault="004C49CA" w:rsidP="006F5124">
            <w:pPr>
              <w:keepNext/>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Liver disease</w:t>
            </w:r>
          </w:p>
        </w:tc>
        <w:tc>
          <w:tcPr>
            <w:tcW w:w="1820" w:type="dxa"/>
            <w:tcBorders>
              <w:top w:val="nil"/>
              <w:left w:val="nil"/>
              <w:bottom w:val="nil"/>
              <w:right w:val="nil"/>
            </w:tcBorders>
            <w:shd w:val="clear" w:color="auto" w:fill="auto"/>
            <w:noWrap/>
            <w:vAlign w:val="bottom"/>
            <w:hideMark/>
          </w:tcPr>
          <w:p w14:paraId="05B78202"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359 (1.5%)</w:t>
            </w:r>
          </w:p>
        </w:tc>
        <w:tc>
          <w:tcPr>
            <w:tcW w:w="1760" w:type="dxa"/>
            <w:tcBorders>
              <w:top w:val="nil"/>
              <w:left w:val="nil"/>
              <w:bottom w:val="nil"/>
              <w:right w:val="nil"/>
            </w:tcBorders>
            <w:shd w:val="clear" w:color="auto" w:fill="auto"/>
            <w:noWrap/>
            <w:vAlign w:val="center"/>
            <w:hideMark/>
          </w:tcPr>
          <w:p w14:paraId="6C0336F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691 (2.1%)</w:t>
            </w:r>
          </w:p>
        </w:tc>
        <w:tc>
          <w:tcPr>
            <w:tcW w:w="1760" w:type="dxa"/>
            <w:tcBorders>
              <w:top w:val="nil"/>
              <w:left w:val="nil"/>
              <w:bottom w:val="nil"/>
              <w:right w:val="nil"/>
            </w:tcBorders>
            <w:shd w:val="clear" w:color="auto" w:fill="auto"/>
            <w:noWrap/>
            <w:vAlign w:val="center"/>
            <w:hideMark/>
          </w:tcPr>
          <w:p w14:paraId="5261141F"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1,934 (3.2%)</w:t>
            </w:r>
          </w:p>
        </w:tc>
        <w:tc>
          <w:tcPr>
            <w:tcW w:w="1760" w:type="dxa"/>
            <w:tcBorders>
              <w:top w:val="nil"/>
              <w:left w:val="nil"/>
              <w:bottom w:val="nil"/>
              <w:right w:val="nil"/>
            </w:tcBorders>
            <w:shd w:val="clear" w:color="auto" w:fill="auto"/>
            <w:noWrap/>
            <w:vAlign w:val="center"/>
            <w:hideMark/>
          </w:tcPr>
          <w:p w14:paraId="714DDA7A"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2,213 (2.6%)</w:t>
            </w:r>
          </w:p>
        </w:tc>
        <w:tc>
          <w:tcPr>
            <w:tcW w:w="1760" w:type="dxa"/>
            <w:tcBorders>
              <w:top w:val="nil"/>
              <w:left w:val="nil"/>
              <w:bottom w:val="nil"/>
              <w:right w:val="nil"/>
            </w:tcBorders>
            <w:shd w:val="clear" w:color="auto" w:fill="auto"/>
            <w:noWrap/>
            <w:vAlign w:val="center"/>
            <w:hideMark/>
          </w:tcPr>
          <w:p w14:paraId="52C365C4"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351 (1.6%)</w:t>
            </w:r>
          </w:p>
        </w:tc>
      </w:tr>
      <w:tr w:rsidR="004C49CA" w:rsidRPr="005628EF" w14:paraId="768C968B" w14:textId="77777777" w:rsidTr="006F5124">
        <w:trPr>
          <w:trHeight w:val="290"/>
        </w:trPr>
        <w:tc>
          <w:tcPr>
            <w:tcW w:w="4000" w:type="dxa"/>
            <w:tcBorders>
              <w:top w:val="nil"/>
              <w:left w:val="nil"/>
              <w:bottom w:val="nil"/>
              <w:right w:val="nil"/>
            </w:tcBorders>
            <w:shd w:val="clear" w:color="auto" w:fill="auto"/>
            <w:noWrap/>
            <w:vAlign w:val="bottom"/>
            <w:hideMark/>
          </w:tcPr>
          <w:p w14:paraId="5893DA1C" w14:textId="77777777" w:rsidR="004C49CA" w:rsidRPr="005628EF" w:rsidRDefault="004C49CA" w:rsidP="006F5124">
            <w:pPr>
              <w:keepNext/>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Renal disease</w:t>
            </w:r>
          </w:p>
        </w:tc>
        <w:tc>
          <w:tcPr>
            <w:tcW w:w="1820" w:type="dxa"/>
            <w:tcBorders>
              <w:top w:val="nil"/>
              <w:left w:val="nil"/>
              <w:bottom w:val="nil"/>
              <w:right w:val="nil"/>
            </w:tcBorders>
            <w:shd w:val="clear" w:color="auto" w:fill="auto"/>
            <w:noWrap/>
            <w:vAlign w:val="bottom"/>
            <w:hideMark/>
          </w:tcPr>
          <w:p w14:paraId="3B235BD5"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2,763 (11.3%)</w:t>
            </w:r>
          </w:p>
        </w:tc>
        <w:tc>
          <w:tcPr>
            <w:tcW w:w="1760" w:type="dxa"/>
            <w:tcBorders>
              <w:top w:val="nil"/>
              <w:left w:val="nil"/>
              <w:bottom w:val="nil"/>
              <w:right w:val="nil"/>
            </w:tcBorders>
            <w:shd w:val="clear" w:color="auto" w:fill="auto"/>
            <w:noWrap/>
            <w:vAlign w:val="center"/>
            <w:hideMark/>
          </w:tcPr>
          <w:p w14:paraId="5686D74A"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5,417 (16.6%)</w:t>
            </w:r>
          </w:p>
        </w:tc>
        <w:tc>
          <w:tcPr>
            <w:tcW w:w="1760" w:type="dxa"/>
            <w:tcBorders>
              <w:top w:val="nil"/>
              <w:left w:val="nil"/>
              <w:bottom w:val="nil"/>
              <w:right w:val="nil"/>
            </w:tcBorders>
            <w:shd w:val="clear" w:color="auto" w:fill="auto"/>
            <w:noWrap/>
            <w:vAlign w:val="center"/>
            <w:hideMark/>
          </w:tcPr>
          <w:p w14:paraId="0DFE14B7"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10,445 (17.3%)</w:t>
            </w:r>
          </w:p>
        </w:tc>
        <w:tc>
          <w:tcPr>
            <w:tcW w:w="1760" w:type="dxa"/>
            <w:tcBorders>
              <w:top w:val="nil"/>
              <w:left w:val="nil"/>
              <w:bottom w:val="nil"/>
              <w:right w:val="nil"/>
            </w:tcBorders>
            <w:shd w:val="clear" w:color="auto" w:fill="auto"/>
            <w:noWrap/>
            <w:vAlign w:val="center"/>
            <w:hideMark/>
          </w:tcPr>
          <w:p w14:paraId="676D7A5C"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13,953 (16.5%)</w:t>
            </w:r>
          </w:p>
        </w:tc>
        <w:tc>
          <w:tcPr>
            <w:tcW w:w="1760" w:type="dxa"/>
            <w:tcBorders>
              <w:top w:val="nil"/>
              <w:left w:val="nil"/>
              <w:bottom w:val="nil"/>
              <w:right w:val="nil"/>
            </w:tcBorders>
            <w:shd w:val="clear" w:color="auto" w:fill="auto"/>
            <w:noWrap/>
            <w:vAlign w:val="center"/>
            <w:hideMark/>
          </w:tcPr>
          <w:p w14:paraId="6DFBF901" w14:textId="77777777" w:rsidR="004C49CA" w:rsidRPr="005628EF" w:rsidRDefault="004C49CA" w:rsidP="006F5124">
            <w:pPr>
              <w:spacing w:after="0" w:line="240" w:lineRule="auto"/>
              <w:jc w:val="right"/>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2,829 (13.2%)</w:t>
            </w:r>
          </w:p>
        </w:tc>
      </w:tr>
      <w:tr w:rsidR="004C49CA" w:rsidRPr="005628EF" w14:paraId="1C46BBFA" w14:textId="77777777" w:rsidTr="006F5124">
        <w:trPr>
          <w:trHeight w:val="290"/>
        </w:trPr>
        <w:tc>
          <w:tcPr>
            <w:tcW w:w="4000" w:type="dxa"/>
            <w:tcBorders>
              <w:top w:val="nil"/>
              <w:left w:val="nil"/>
              <w:bottom w:val="single" w:sz="4" w:space="0" w:color="auto"/>
              <w:right w:val="nil"/>
            </w:tcBorders>
            <w:shd w:val="clear" w:color="auto" w:fill="auto"/>
            <w:noWrap/>
            <w:vAlign w:val="bottom"/>
            <w:hideMark/>
          </w:tcPr>
          <w:p w14:paraId="0A784404" w14:textId="77777777" w:rsidR="004C49CA" w:rsidRPr="005628EF" w:rsidRDefault="004C49CA" w:rsidP="006F5124">
            <w:pPr>
              <w:spacing w:after="0" w:line="240" w:lineRule="auto"/>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w:t>
            </w:r>
          </w:p>
        </w:tc>
        <w:tc>
          <w:tcPr>
            <w:tcW w:w="1820" w:type="dxa"/>
            <w:tcBorders>
              <w:top w:val="nil"/>
              <w:left w:val="nil"/>
              <w:bottom w:val="single" w:sz="4" w:space="0" w:color="auto"/>
              <w:right w:val="nil"/>
            </w:tcBorders>
            <w:shd w:val="clear" w:color="auto" w:fill="auto"/>
            <w:noWrap/>
            <w:vAlign w:val="bottom"/>
            <w:hideMark/>
          </w:tcPr>
          <w:p w14:paraId="42D6081F"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w:t>
            </w:r>
          </w:p>
        </w:tc>
        <w:tc>
          <w:tcPr>
            <w:tcW w:w="1760" w:type="dxa"/>
            <w:tcBorders>
              <w:top w:val="nil"/>
              <w:left w:val="nil"/>
              <w:bottom w:val="single" w:sz="4" w:space="0" w:color="auto"/>
              <w:right w:val="nil"/>
            </w:tcBorders>
            <w:shd w:val="clear" w:color="auto" w:fill="auto"/>
            <w:noWrap/>
            <w:vAlign w:val="bottom"/>
            <w:hideMark/>
          </w:tcPr>
          <w:p w14:paraId="28026FB8"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w:t>
            </w:r>
          </w:p>
        </w:tc>
        <w:tc>
          <w:tcPr>
            <w:tcW w:w="1760" w:type="dxa"/>
            <w:tcBorders>
              <w:top w:val="nil"/>
              <w:left w:val="nil"/>
              <w:bottom w:val="single" w:sz="4" w:space="0" w:color="auto"/>
              <w:right w:val="nil"/>
            </w:tcBorders>
            <w:shd w:val="clear" w:color="auto" w:fill="auto"/>
            <w:noWrap/>
            <w:vAlign w:val="bottom"/>
            <w:hideMark/>
          </w:tcPr>
          <w:p w14:paraId="0084B340" w14:textId="77777777" w:rsidR="004C49CA" w:rsidRPr="005628EF" w:rsidRDefault="004C49CA" w:rsidP="006F5124">
            <w:pPr>
              <w:spacing w:after="0" w:line="240" w:lineRule="auto"/>
              <w:jc w:val="right"/>
              <w:rPr>
                <w:rFonts w:ascii="Calibri" w:eastAsia="Times New Roman" w:hAnsi="Calibri" w:cs="Calibri"/>
                <w:color w:val="auto"/>
                <w:sz w:val="20"/>
                <w:szCs w:val="20"/>
                <w:lang w:eastAsia="en-AU"/>
              </w:rPr>
            </w:pPr>
            <w:r w:rsidRPr="005628EF">
              <w:rPr>
                <w:rFonts w:ascii="Calibri" w:eastAsia="Times New Roman" w:hAnsi="Calibri" w:cs="Calibri"/>
                <w:color w:val="auto"/>
                <w:sz w:val="20"/>
                <w:szCs w:val="20"/>
                <w:lang w:eastAsia="en-AU"/>
              </w:rPr>
              <w:t> </w:t>
            </w:r>
          </w:p>
        </w:tc>
        <w:tc>
          <w:tcPr>
            <w:tcW w:w="1760" w:type="dxa"/>
            <w:tcBorders>
              <w:top w:val="nil"/>
              <w:left w:val="nil"/>
              <w:bottom w:val="single" w:sz="4" w:space="0" w:color="auto"/>
              <w:right w:val="nil"/>
            </w:tcBorders>
            <w:shd w:val="clear" w:color="auto" w:fill="auto"/>
            <w:noWrap/>
            <w:vAlign w:val="bottom"/>
            <w:hideMark/>
          </w:tcPr>
          <w:p w14:paraId="7DDD43B6" w14:textId="77777777" w:rsidR="004C49CA" w:rsidRPr="005628EF" w:rsidRDefault="004C49CA" w:rsidP="006F5124">
            <w:pPr>
              <w:spacing w:after="0" w:line="240" w:lineRule="auto"/>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w:t>
            </w:r>
          </w:p>
        </w:tc>
        <w:tc>
          <w:tcPr>
            <w:tcW w:w="1760" w:type="dxa"/>
            <w:tcBorders>
              <w:top w:val="nil"/>
              <w:left w:val="nil"/>
              <w:bottom w:val="single" w:sz="4" w:space="0" w:color="auto"/>
              <w:right w:val="nil"/>
            </w:tcBorders>
            <w:shd w:val="clear" w:color="auto" w:fill="auto"/>
            <w:noWrap/>
            <w:vAlign w:val="bottom"/>
            <w:hideMark/>
          </w:tcPr>
          <w:p w14:paraId="2C7B966E" w14:textId="77777777" w:rsidR="004C49CA" w:rsidRPr="005628EF" w:rsidRDefault="004C49CA" w:rsidP="006F5124">
            <w:pPr>
              <w:spacing w:after="0" w:line="240" w:lineRule="auto"/>
              <w:rPr>
                <w:rFonts w:ascii="Calibri" w:eastAsia="Times New Roman" w:hAnsi="Calibri" w:cs="Calibri"/>
                <w:color w:val="000000"/>
                <w:sz w:val="20"/>
                <w:szCs w:val="20"/>
                <w:lang w:eastAsia="en-AU"/>
              </w:rPr>
            </w:pPr>
            <w:r w:rsidRPr="005628EF">
              <w:rPr>
                <w:rFonts w:ascii="Calibri" w:eastAsia="Times New Roman" w:hAnsi="Calibri" w:cs="Calibri"/>
                <w:color w:val="000000"/>
                <w:sz w:val="20"/>
                <w:szCs w:val="20"/>
                <w:lang w:eastAsia="en-AU"/>
              </w:rPr>
              <w:t> </w:t>
            </w:r>
          </w:p>
        </w:tc>
      </w:tr>
    </w:tbl>
    <w:p w14:paraId="60A61A45" w14:textId="77777777" w:rsidR="004C49CA" w:rsidRPr="005628EF" w:rsidRDefault="004C49CA" w:rsidP="004C49CA">
      <w:pPr>
        <w:spacing w:before="0" w:after="80" w:line="240" w:lineRule="auto"/>
        <w:rPr>
          <w:rFonts w:ascii="Arial" w:eastAsia="Times New Roman" w:hAnsi="Arial" w:cs="Arial"/>
          <w:b/>
          <w:bCs/>
          <w:iCs/>
          <w:color w:val="005370"/>
          <w:kern w:val="28"/>
          <w:sz w:val="28"/>
          <w:szCs w:val="26"/>
          <w:lang w:eastAsia="en-AU"/>
        </w:rPr>
      </w:pPr>
    </w:p>
    <w:p w14:paraId="5F4AA899" w14:textId="77777777" w:rsidR="004C49CA" w:rsidRPr="005628EF" w:rsidRDefault="004C49CA" w:rsidP="004C49CA">
      <w:pPr>
        <w:spacing w:before="0" w:after="80" w:line="240" w:lineRule="auto"/>
        <w:rPr>
          <w:rFonts w:ascii="Arial" w:eastAsia="Times New Roman" w:hAnsi="Arial" w:cs="Arial"/>
          <w:b/>
          <w:bCs/>
          <w:iCs/>
          <w:color w:val="005370"/>
          <w:kern w:val="28"/>
          <w:sz w:val="28"/>
          <w:szCs w:val="26"/>
          <w:lang w:eastAsia="en-AU"/>
        </w:rPr>
      </w:pPr>
      <w:r w:rsidRPr="005628EF">
        <w:rPr>
          <w:rFonts w:ascii="Arial" w:eastAsia="Times New Roman" w:hAnsi="Arial" w:cs="Arial"/>
          <w:b/>
          <w:bCs/>
          <w:iCs/>
          <w:color w:val="005370"/>
          <w:kern w:val="28"/>
          <w:sz w:val="28"/>
          <w:szCs w:val="26"/>
          <w:lang w:eastAsia="en-AU"/>
        </w:rPr>
        <w:br w:type="page"/>
      </w:r>
    </w:p>
    <w:p w14:paraId="16C20130" w14:textId="77777777" w:rsidR="006B6C8D" w:rsidRPr="009252A2" w:rsidRDefault="006B6C8D" w:rsidP="006B6C8D">
      <w:pPr>
        <w:pStyle w:val="Heading3"/>
        <w:ind w:hanging="709"/>
      </w:pPr>
      <w:bookmarkStart w:id="119" w:name="_Table_6._Admitted"/>
      <w:bookmarkStart w:id="120" w:name="_Toc187313304"/>
      <w:bookmarkEnd w:id="119"/>
      <w:r w:rsidRPr="009252A2">
        <w:lastRenderedPageBreak/>
        <w:t>Table 6. Admitted care characteristics for separations with explicit sepsis codes, public hospitals, 2017-18</w:t>
      </w:r>
      <w:bookmarkEnd w:id="120"/>
    </w:p>
    <w:tbl>
      <w:tblPr>
        <w:tblW w:w="15383" w:type="dxa"/>
        <w:tblInd w:w="-709" w:type="dxa"/>
        <w:tblLook w:val="04A0" w:firstRow="1" w:lastRow="0" w:firstColumn="1" w:lastColumn="0" w:noHBand="0" w:noVBand="1"/>
      </w:tblPr>
      <w:tblGrid>
        <w:gridCol w:w="7208"/>
        <w:gridCol w:w="1685"/>
        <w:gridCol w:w="1685"/>
        <w:gridCol w:w="1657"/>
        <w:gridCol w:w="1574"/>
        <w:gridCol w:w="1574"/>
      </w:tblGrid>
      <w:tr w:rsidR="006B6C8D" w:rsidRPr="009252A2" w14:paraId="6B0D6D76" w14:textId="77777777" w:rsidTr="006F5124">
        <w:trPr>
          <w:trHeight w:val="780"/>
          <w:tblHeader/>
        </w:trPr>
        <w:tc>
          <w:tcPr>
            <w:tcW w:w="7208" w:type="dxa"/>
            <w:tcBorders>
              <w:top w:val="single" w:sz="4" w:space="0" w:color="auto"/>
              <w:left w:val="nil"/>
              <w:bottom w:val="single" w:sz="4" w:space="0" w:color="auto"/>
              <w:right w:val="nil"/>
            </w:tcBorders>
            <w:shd w:val="clear" w:color="auto" w:fill="auto"/>
            <w:vAlign w:val="bottom"/>
            <w:hideMark/>
          </w:tcPr>
          <w:p w14:paraId="2BB43CD2"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w:t>
            </w:r>
          </w:p>
        </w:tc>
        <w:tc>
          <w:tcPr>
            <w:tcW w:w="1685" w:type="dxa"/>
            <w:tcBorders>
              <w:top w:val="single" w:sz="4" w:space="0" w:color="auto"/>
              <w:left w:val="nil"/>
              <w:bottom w:val="single" w:sz="4" w:space="0" w:color="auto"/>
              <w:right w:val="nil"/>
            </w:tcBorders>
            <w:shd w:val="clear" w:color="auto" w:fill="auto"/>
            <w:vAlign w:val="bottom"/>
            <w:hideMark/>
          </w:tcPr>
          <w:p w14:paraId="3C8E0879" w14:textId="77777777" w:rsidR="006B6C8D" w:rsidRPr="009252A2" w:rsidRDefault="006B6C8D" w:rsidP="006F5124">
            <w:pPr>
              <w:spacing w:after="0"/>
              <w:jc w:val="right"/>
              <w:rPr>
                <w:rFonts w:ascii="Calibri" w:hAnsi="Calibri" w:cs="Calibri"/>
                <w:b/>
                <w:bCs/>
                <w:sz w:val="20"/>
                <w:szCs w:val="20"/>
              </w:rPr>
            </w:pPr>
            <w:r w:rsidRPr="009252A2">
              <w:rPr>
                <w:rFonts w:ascii="Calibri" w:hAnsi="Calibri" w:cs="Calibri"/>
                <w:b/>
                <w:bCs/>
                <w:sz w:val="20"/>
                <w:szCs w:val="20"/>
              </w:rPr>
              <w:t>Pre-sepsis separations</w:t>
            </w:r>
            <w:r w:rsidRPr="009252A2">
              <w:rPr>
                <w:rFonts w:ascii="Calibri" w:hAnsi="Calibri" w:cs="Calibri"/>
                <w:b/>
                <w:bCs/>
                <w:sz w:val="20"/>
                <w:szCs w:val="20"/>
              </w:rPr>
              <w:br/>
              <w:t>(30 days)</w:t>
            </w:r>
          </w:p>
        </w:tc>
        <w:tc>
          <w:tcPr>
            <w:tcW w:w="1685" w:type="dxa"/>
            <w:tcBorders>
              <w:top w:val="single" w:sz="4" w:space="0" w:color="auto"/>
              <w:left w:val="nil"/>
              <w:bottom w:val="single" w:sz="4" w:space="0" w:color="auto"/>
              <w:right w:val="nil"/>
            </w:tcBorders>
            <w:shd w:val="clear" w:color="auto" w:fill="auto"/>
            <w:vAlign w:val="bottom"/>
            <w:hideMark/>
          </w:tcPr>
          <w:p w14:paraId="2FE7EF09" w14:textId="77777777" w:rsidR="006B6C8D" w:rsidRPr="009252A2" w:rsidRDefault="006B6C8D" w:rsidP="006F5124">
            <w:pPr>
              <w:spacing w:after="0"/>
              <w:jc w:val="right"/>
              <w:rPr>
                <w:rFonts w:ascii="Calibri" w:hAnsi="Calibri" w:cs="Calibri"/>
                <w:b/>
                <w:bCs/>
                <w:sz w:val="20"/>
                <w:szCs w:val="20"/>
              </w:rPr>
            </w:pPr>
            <w:r w:rsidRPr="009252A2">
              <w:rPr>
                <w:rFonts w:ascii="Calibri" w:hAnsi="Calibri" w:cs="Calibri"/>
                <w:b/>
                <w:bCs/>
                <w:sz w:val="20"/>
                <w:szCs w:val="20"/>
              </w:rPr>
              <w:t>Sepsis separations (principal diagnosis)</w:t>
            </w:r>
          </w:p>
        </w:tc>
        <w:tc>
          <w:tcPr>
            <w:tcW w:w="1657" w:type="dxa"/>
            <w:tcBorders>
              <w:top w:val="single" w:sz="4" w:space="0" w:color="auto"/>
              <w:left w:val="nil"/>
              <w:bottom w:val="single" w:sz="4" w:space="0" w:color="auto"/>
              <w:right w:val="nil"/>
            </w:tcBorders>
            <w:shd w:val="clear" w:color="auto" w:fill="auto"/>
            <w:vAlign w:val="bottom"/>
            <w:hideMark/>
          </w:tcPr>
          <w:p w14:paraId="6FCA0761" w14:textId="77777777" w:rsidR="006B6C8D" w:rsidRPr="009252A2" w:rsidRDefault="006B6C8D" w:rsidP="006F5124">
            <w:pPr>
              <w:spacing w:after="0"/>
              <w:jc w:val="right"/>
              <w:rPr>
                <w:rFonts w:ascii="Calibri" w:hAnsi="Calibri" w:cs="Calibri"/>
                <w:b/>
                <w:bCs/>
                <w:sz w:val="20"/>
                <w:szCs w:val="20"/>
              </w:rPr>
            </w:pPr>
            <w:r w:rsidRPr="009252A2">
              <w:rPr>
                <w:rFonts w:ascii="Calibri" w:hAnsi="Calibri" w:cs="Calibri"/>
                <w:b/>
                <w:bCs/>
                <w:sz w:val="20"/>
                <w:szCs w:val="20"/>
              </w:rPr>
              <w:t>Sepsis separations (secondary diagnosis)</w:t>
            </w:r>
          </w:p>
        </w:tc>
        <w:tc>
          <w:tcPr>
            <w:tcW w:w="1574" w:type="dxa"/>
            <w:tcBorders>
              <w:top w:val="single" w:sz="4" w:space="0" w:color="auto"/>
              <w:left w:val="nil"/>
              <w:bottom w:val="single" w:sz="4" w:space="0" w:color="auto"/>
              <w:right w:val="nil"/>
            </w:tcBorders>
            <w:shd w:val="clear" w:color="auto" w:fill="auto"/>
            <w:vAlign w:val="bottom"/>
            <w:hideMark/>
          </w:tcPr>
          <w:p w14:paraId="348A0FA5" w14:textId="77777777" w:rsidR="006B6C8D" w:rsidRPr="009252A2" w:rsidRDefault="006B6C8D" w:rsidP="006F5124">
            <w:pPr>
              <w:spacing w:after="0"/>
              <w:jc w:val="right"/>
              <w:rPr>
                <w:rFonts w:ascii="Calibri" w:hAnsi="Calibri" w:cs="Calibri"/>
                <w:b/>
                <w:bCs/>
                <w:sz w:val="20"/>
                <w:szCs w:val="20"/>
              </w:rPr>
            </w:pPr>
            <w:r w:rsidRPr="009252A2">
              <w:rPr>
                <w:rFonts w:ascii="Calibri" w:hAnsi="Calibri" w:cs="Calibri"/>
                <w:b/>
                <w:bCs/>
                <w:sz w:val="20"/>
                <w:szCs w:val="20"/>
              </w:rPr>
              <w:t>Sepsis separations</w:t>
            </w:r>
          </w:p>
        </w:tc>
        <w:tc>
          <w:tcPr>
            <w:tcW w:w="1574" w:type="dxa"/>
            <w:tcBorders>
              <w:top w:val="single" w:sz="4" w:space="0" w:color="auto"/>
              <w:left w:val="nil"/>
              <w:bottom w:val="single" w:sz="4" w:space="0" w:color="auto"/>
              <w:right w:val="nil"/>
            </w:tcBorders>
            <w:shd w:val="clear" w:color="auto" w:fill="auto"/>
            <w:vAlign w:val="bottom"/>
            <w:hideMark/>
          </w:tcPr>
          <w:p w14:paraId="2F870D13" w14:textId="77777777" w:rsidR="006B6C8D" w:rsidRPr="009252A2" w:rsidRDefault="006B6C8D" w:rsidP="006F5124">
            <w:pPr>
              <w:spacing w:after="0"/>
              <w:jc w:val="right"/>
              <w:rPr>
                <w:rFonts w:ascii="Calibri" w:hAnsi="Calibri" w:cs="Calibri"/>
                <w:b/>
                <w:bCs/>
                <w:sz w:val="20"/>
                <w:szCs w:val="20"/>
              </w:rPr>
            </w:pPr>
            <w:r w:rsidRPr="009252A2">
              <w:rPr>
                <w:rFonts w:ascii="Calibri" w:hAnsi="Calibri" w:cs="Calibri"/>
                <w:b/>
                <w:bCs/>
                <w:sz w:val="20"/>
                <w:szCs w:val="20"/>
              </w:rPr>
              <w:t xml:space="preserve">Post-sepsis readmissions </w:t>
            </w:r>
            <w:r w:rsidRPr="009252A2">
              <w:rPr>
                <w:rFonts w:ascii="Calibri" w:hAnsi="Calibri" w:cs="Calibri"/>
                <w:b/>
                <w:bCs/>
                <w:sz w:val="20"/>
                <w:szCs w:val="20"/>
              </w:rPr>
              <w:br/>
              <w:t>(30 days)</w:t>
            </w:r>
          </w:p>
        </w:tc>
      </w:tr>
      <w:tr w:rsidR="006B6C8D" w:rsidRPr="009252A2" w14:paraId="20B94980" w14:textId="77777777" w:rsidTr="006F5124">
        <w:trPr>
          <w:trHeight w:val="260"/>
        </w:trPr>
        <w:tc>
          <w:tcPr>
            <w:tcW w:w="7208" w:type="dxa"/>
            <w:tcBorders>
              <w:top w:val="nil"/>
              <w:left w:val="nil"/>
              <w:bottom w:val="nil"/>
              <w:right w:val="nil"/>
            </w:tcBorders>
            <w:shd w:val="clear" w:color="auto" w:fill="auto"/>
            <w:noWrap/>
            <w:hideMark/>
          </w:tcPr>
          <w:p w14:paraId="7D2D46B8"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N</w:t>
            </w:r>
          </w:p>
        </w:tc>
        <w:tc>
          <w:tcPr>
            <w:tcW w:w="1685" w:type="dxa"/>
            <w:tcBorders>
              <w:top w:val="nil"/>
              <w:left w:val="nil"/>
              <w:bottom w:val="nil"/>
              <w:right w:val="nil"/>
            </w:tcBorders>
            <w:shd w:val="clear" w:color="auto" w:fill="auto"/>
            <w:noWrap/>
            <w:hideMark/>
          </w:tcPr>
          <w:p w14:paraId="4CFEEE9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32,926</w:t>
            </w:r>
          </w:p>
        </w:tc>
        <w:tc>
          <w:tcPr>
            <w:tcW w:w="1685" w:type="dxa"/>
            <w:tcBorders>
              <w:top w:val="nil"/>
              <w:left w:val="nil"/>
              <w:bottom w:val="nil"/>
              <w:right w:val="nil"/>
            </w:tcBorders>
            <w:shd w:val="clear" w:color="auto" w:fill="auto"/>
            <w:noWrap/>
            <w:hideMark/>
          </w:tcPr>
          <w:p w14:paraId="6B14DAE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42,926</w:t>
            </w:r>
          </w:p>
        </w:tc>
        <w:tc>
          <w:tcPr>
            <w:tcW w:w="1657" w:type="dxa"/>
            <w:tcBorders>
              <w:top w:val="nil"/>
              <w:left w:val="nil"/>
              <w:bottom w:val="nil"/>
              <w:right w:val="nil"/>
            </w:tcBorders>
            <w:shd w:val="clear" w:color="auto" w:fill="auto"/>
            <w:noWrap/>
            <w:hideMark/>
          </w:tcPr>
          <w:p w14:paraId="1A1F5A1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71,626</w:t>
            </w:r>
          </w:p>
        </w:tc>
        <w:tc>
          <w:tcPr>
            <w:tcW w:w="1574" w:type="dxa"/>
            <w:tcBorders>
              <w:top w:val="nil"/>
              <w:left w:val="nil"/>
              <w:bottom w:val="nil"/>
              <w:right w:val="nil"/>
            </w:tcBorders>
            <w:shd w:val="clear" w:color="auto" w:fill="auto"/>
            <w:noWrap/>
            <w:hideMark/>
          </w:tcPr>
          <w:p w14:paraId="3FCEF8D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107,181</w:t>
            </w:r>
          </w:p>
        </w:tc>
        <w:tc>
          <w:tcPr>
            <w:tcW w:w="1574" w:type="dxa"/>
            <w:tcBorders>
              <w:top w:val="nil"/>
              <w:left w:val="nil"/>
              <w:bottom w:val="nil"/>
              <w:right w:val="nil"/>
            </w:tcBorders>
            <w:shd w:val="clear" w:color="auto" w:fill="auto"/>
            <w:noWrap/>
            <w:hideMark/>
          </w:tcPr>
          <w:p w14:paraId="022D58E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27,130</w:t>
            </w:r>
          </w:p>
        </w:tc>
      </w:tr>
      <w:tr w:rsidR="006B6C8D" w:rsidRPr="009252A2" w14:paraId="566313DF" w14:textId="77777777" w:rsidTr="006F5124">
        <w:trPr>
          <w:trHeight w:val="260"/>
        </w:trPr>
        <w:tc>
          <w:tcPr>
            <w:tcW w:w="7208" w:type="dxa"/>
            <w:tcBorders>
              <w:top w:val="nil"/>
              <w:left w:val="nil"/>
              <w:bottom w:val="nil"/>
              <w:right w:val="nil"/>
            </w:tcBorders>
            <w:shd w:val="clear" w:color="auto" w:fill="auto"/>
            <w:noWrap/>
            <w:hideMark/>
          </w:tcPr>
          <w:p w14:paraId="7F457F54"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xml:space="preserve">Urgency of admission, n(%) </w:t>
            </w:r>
          </w:p>
        </w:tc>
        <w:tc>
          <w:tcPr>
            <w:tcW w:w="1685" w:type="dxa"/>
            <w:tcBorders>
              <w:top w:val="nil"/>
              <w:left w:val="nil"/>
              <w:bottom w:val="nil"/>
              <w:right w:val="nil"/>
            </w:tcBorders>
            <w:shd w:val="clear" w:color="auto" w:fill="auto"/>
            <w:noWrap/>
            <w:hideMark/>
          </w:tcPr>
          <w:p w14:paraId="2832A377"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39B5E013"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11621C8F"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7BEE63C0"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0375B9BC" w14:textId="77777777" w:rsidR="006B6C8D" w:rsidRPr="009252A2" w:rsidRDefault="006B6C8D" w:rsidP="006F5124">
            <w:pPr>
              <w:spacing w:after="0"/>
              <w:rPr>
                <w:rFonts w:ascii="Times New Roman" w:hAnsi="Times New Roman"/>
                <w:sz w:val="20"/>
                <w:szCs w:val="20"/>
              </w:rPr>
            </w:pPr>
          </w:p>
        </w:tc>
      </w:tr>
      <w:tr w:rsidR="006B6C8D" w:rsidRPr="009252A2" w14:paraId="562EDD01" w14:textId="77777777" w:rsidTr="006F5124">
        <w:trPr>
          <w:trHeight w:val="260"/>
        </w:trPr>
        <w:tc>
          <w:tcPr>
            <w:tcW w:w="7208" w:type="dxa"/>
            <w:tcBorders>
              <w:top w:val="nil"/>
              <w:left w:val="nil"/>
              <w:bottom w:val="nil"/>
              <w:right w:val="nil"/>
            </w:tcBorders>
            <w:shd w:val="clear" w:color="auto" w:fill="auto"/>
            <w:noWrap/>
            <w:hideMark/>
          </w:tcPr>
          <w:p w14:paraId="31FE432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Emergency</w:t>
            </w:r>
          </w:p>
        </w:tc>
        <w:tc>
          <w:tcPr>
            <w:tcW w:w="1685" w:type="dxa"/>
            <w:tcBorders>
              <w:top w:val="nil"/>
              <w:left w:val="nil"/>
              <w:bottom w:val="nil"/>
              <w:right w:val="nil"/>
            </w:tcBorders>
            <w:shd w:val="clear" w:color="auto" w:fill="auto"/>
            <w:noWrap/>
            <w:hideMark/>
          </w:tcPr>
          <w:p w14:paraId="026313A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20,786 (63.1%)</w:t>
            </w:r>
          </w:p>
        </w:tc>
        <w:tc>
          <w:tcPr>
            <w:tcW w:w="1685" w:type="dxa"/>
            <w:tcBorders>
              <w:top w:val="nil"/>
              <w:left w:val="nil"/>
              <w:bottom w:val="nil"/>
              <w:right w:val="nil"/>
            </w:tcBorders>
            <w:shd w:val="clear" w:color="auto" w:fill="auto"/>
            <w:noWrap/>
            <w:hideMark/>
          </w:tcPr>
          <w:p w14:paraId="2DF5910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34,247 (79.8%)</w:t>
            </w:r>
          </w:p>
        </w:tc>
        <w:tc>
          <w:tcPr>
            <w:tcW w:w="1657" w:type="dxa"/>
            <w:tcBorders>
              <w:top w:val="nil"/>
              <w:left w:val="nil"/>
              <w:bottom w:val="nil"/>
              <w:right w:val="nil"/>
            </w:tcBorders>
            <w:shd w:val="clear" w:color="auto" w:fill="auto"/>
            <w:noWrap/>
            <w:hideMark/>
          </w:tcPr>
          <w:p w14:paraId="40C9D5E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52,282 (73.0%)</w:t>
            </w:r>
          </w:p>
        </w:tc>
        <w:tc>
          <w:tcPr>
            <w:tcW w:w="1574" w:type="dxa"/>
            <w:tcBorders>
              <w:top w:val="nil"/>
              <w:left w:val="nil"/>
              <w:bottom w:val="nil"/>
              <w:right w:val="nil"/>
            </w:tcBorders>
            <w:shd w:val="clear" w:color="auto" w:fill="auto"/>
            <w:noWrap/>
            <w:hideMark/>
          </w:tcPr>
          <w:p w14:paraId="1A208C7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80,193 (74.8%)</w:t>
            </w:r>
          </w:p>
        </w:tc>
        <w:tc>
          <w:tcPr>
            <w:tcW w:w="1574" w:type="dxa"/>
            <w:tcBorders>
              <w:top w:val="nil"/>
              <w:left w:val="nil"/>
              <w:bottom w:val="nil"/>
              <w:right w:val="nil"/>
            </w:tcBorders>
            <w:shd w:val="clear" w:color="auto" w:fill="auto"/>
            <w:noWrap/>
            <w:hideMark/>
          </w:tcPr>
          <w:p w14:paraId="6DB8660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17,039 (62.8%)</w:t>
            </w:r>
          </w:p>
        </w:tc>
      </w:tr>
      <w:tr w:rsidR="006B6C8D" w:rsidRPr="009252A2" w14:paraId="4C2E7797" w14:textId="77777777" w:rsidTr="006F5124">
        <w:trPr>
          <w:trHeight w:val="260"/>
        </w:trPr>
        <w:tc>
          <w:tcPr>
            <w:tcW w:w="7208" w:type="dxa"/>
            <w:tcBorders>
              <w:top w:val="nil"/>
              <w:left w:val="nil"/>
              <w:bottom w:val="nil"/>
              <w:right w:val="nil"/>
            </w:tcBorders>
            <w:shd w:val="clear" w:color="auto" w:fill="auto"/>
            <w:noWrap/>
            <w:hideMark/>
          </w:tcPr>
          <w:p w14:paraId="5EE14DB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Elective</w:t>
            </w:r>
          </w:p>
        </w:tc>
        <w:tc>
          <w:tcPr>
            <w:tcW w:w="1685" w:type="dxa"/>
            <w:tcBorders>
              <w:top w:val="nil"/>
              <w:left w:val="nil"/>
              <w:bottom w:val="nil"/>
              <w:right w:val="nil"/>
            </w:tcBorders>
            <w:shd w:val="clear" w:color="auto" w:fill="auto"/>
            <w:noWrap/>
            <w:hideMark/>
          </w:tcPr>
          <w:p w14:paraId="046E99C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7,006 (21.3%)</w:t>
            </w:r>
          </w:p>
        </w:tc>
        <w:tc>
          <w:tcPr>
            <w:tcW w:w="1685" w:type="dxa"/>
            <w:tcBorders>
              <w:top w:val="nil"/>
              <w:left w:val="nil"/>
              <w:bottom w:val="nil"/>
              <w:right w:val="nil"/>
            </w:tcBorders>
            <w:shd w:val="clear" w:color="auto" w:fill="auto"/>
            <w:noWrap/>
            <w:hideMark/>
          </w:tcPr>
          <w:p w14:paraId="220F3C2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2,322 (5.4%)</w:t>
            </w:r>
          </w:p>
        </w:tc>
        <w:tc>
          <w:tcPr>
            <w:tcW w:w="1657" w:type="dxa"/>
            <w:tcBorders>
              <w:top w:val="nil"/>
              <w:left w:val="nil"/>
              <w:bottom w:val="nil"/>
              <w:right w:val="nil"/>
            </w:tcBorders>
            <w:shd w:val="clear" w:color="auto" w:fill="auto"/>
            <w:noWrap/>
            <w:hideMark/>
          </w:tcPr>
          <w:p w14:paraId="3D8315C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6,969 (9.7%)</w:t>
            </w:r>
          </w:p>
        </w:tc>
        <w:tc>
          <w:tcPr>
            <w:tcW w:w="1574" w:type="dxa"/>
            <w:tcBorders>
              <w:top w:val="nil"/>
              <w:left w:val="nil"/>
              <w:bottom w:val="nil"/>
              <w:right w:val="nil"/>
            </w:tcBorders>
            <w:shd w:val="clear" w:color="auto" w:fill="auto"/>
            <w:noWrap/>
            <w:hideMark/>
          </w:tcPr>
          <w:p w14:paraId="68E7784A"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8,949 (8.3%)</w:t>
            </w:r>
          </w:p>
        </w:tc>
        <w:tc>
          <w:tcPr>
            <w:tcW w:w="1574" w:type="dxa"/>
            <w:tcBorders>
              <w:top w:val="nil"/>
              <w:left w:val="nil"/>
              <w:bottom w:val="nil"/>
              <w:right w:val="nil"/>
            </w:tcBorders>
            <w:shd w:val="clear" w:color="auto" w:fill="auto"/>
            <w:noWrap/>
            <w:hideMark/>
          </w:tcPr>
          <w:p w14:paraId="12FE988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6,349 (23.4%)</w:t>
            </w:r>
          </w:p>
        </w:tc>
      </w:tr>
      <w:tr w:rsidR="006B6C8D" w:rsidRPr="009252A2" w14:paraId="275D401E" w14:textId="77777777" w:rsidTr="006F5124">
        <w:trPr>
          <w:trHeight w:val="260"/>
        </w:trPr>
        <w:tc>
          <w:tcPr>
            <w:tcW w:w="7208" w:type="dxa"/>
            <w:tcBorders>
              <w:top w:val="nil"/>
              <w:left w:val="nil"/>
              <w:bottom w:val="nil"/>
              <w:right w:val="nil"/>
            </w:tcBorders>
            <w:shd w:val="clear" w:color="auto" w:fill="auto"/>
            <w:noWrap/>
            <w:hideMark/>
          </w:tcPr>
          <w:p w14:paraId="2DAEC20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Not assigned</w:t>
            </w:r>
          </w:p>
        </w:tc>
        <w:tc>
          <w:tcPr>
            <w:tcW w:w="1685" w:type="dxa"/>
            <w:tcBorders>
              <w:top w:val="nil"/>
              <w:left w:val="nil"/>
              <w:bottom w:val="nil"/>
              <w:right w:val="nil"/>
            </w:tcBorders>
            <w:shd w:val="clear" w:color="auto" w:fill="auto"/>
            <w:noWrap/>
            <w:hideMark/>
          </w:tcPr>
          <w:p w14:paraId="24578A0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5,132 (15.6%)</w:t>
            </w:r>
          </w:p>
        </w:tc>
        <w:tc>
          <w:tcPr>
            <w:tcW w:w="1685" w:type="dxa"/>
            <w:tcBorders>
              <w:top w:val="nil"/>
              <w:left w:val="nil"/>
              <w:bottom w:val="nil"/>
              <w:right w:val="nil"/>
            </w:tcBorders>
            <w:shd w:val="clear" w:color="auto" w:fill="auto"/>
            <w:noWrap/>
            <w:hideMark/>
          </w:tcPr>
          <w:p w14:paraId="4D55DF9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6,354 (14.8%)</w:t>
            </w:r>
          </w:p>
        </w:tc>
        <w:tc>
          <w:tcPr>
            <w:tcW w:w="1657" w:type="dxa"/>
            <w:tcBorders>
              <w:top w:val="nil"/>
              <w:left w:val="nil"/>
              <w:bottom w:val="nil"/>
              <w:right w:val="nil"/>
            </w:tcBorders>
            <w:shd w:val="clear" w:color="auto" w:fill="auto"/>
            <w:noWrap/>
            <w:hideMark/>
          </w:tcPr>
          <w:p w14:paraId="726F898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12,373 (17.3%)</w:t>
            </w:r>
          </w:p>
        </w:tc>
        <w:tc>
          <w:tcPr>
            <w:tcW w:w="1574" w:type="dxa"/>
            <w:tcBorders>
              <w:top w:val="nil"/>
              <w:left w:val="nil"/>
              <w:bottom w:val="nil"/>
              <w:right w:val="nil"/>
            </w:tcBorders>
            <w:shd w:val="clear" w:color="auto" w:fill="auto"/>
            <w:noWrap/>
            <w:hideMark/>
          </w:tcPr>
          <w:p w14:paraId="3BFC12E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18,034 (16.8%)</w:t>
            </w:r>
          </w:p>
        </w:tc>
        <w:tc>
          <w:tcPr>
            <w:tcW w:w="1574" w:type="dxa"/>
            <w:tcBorders>
              <w:top w:val="nil"/>
              <w:left w:val="nil"/>
              <w:bottom w:val="nil"/>
              <w:right w:val="nil"/>
            </w:tcBorders>
            <w:shd w:val="clear" w:color="auto" w:fill="auto"/>
            <w:noWrap/>
            <w:hideMark/>
          </w:tcPr>
          <w:p w14:paraId="506E025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3,741 (13.8%)</w:t>
            </w:r>
          </w:p>
        </w:tc>
      </w:tr>
      <w:tr w:rsidR="006B6C8D" w:rsidRPr="009252A2" w14:paraId="355B0E05" w14:textId="77777777" w:rsidTr="006F5124">
        <w:trPr>
          <w:trHeight w:val="260"/>
        </w:trPr>
        <w:tc>
          <w:tcPr>
            <w:tcW w:w="7208" w:type="dxa"/>
            <w:tcBorders>
              <w:top w:val="nil"/>
              <w:left w:val="nil"/>
              <w:bottom w:val="nil"/>
              <w:right w:val="nil"/>
            </w:tcBorders>
            <w:shd w:val="clear" w:color="auto" w:fill="auto"/>
            <w:noWrap/>
            <w:hideMark/>
          </w:tcPr>
          <w:p w14:paraId="3F717752"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Transferred from another hospital, n(%)</w:t>
            </w:r>
          </w:p>
        </w:tc>
        <w:tc>
          <w:tcPr>
            <w:tcW w:w="1685" w:type="dxa"/>
            <w:tcBorders>
              <w:top w:val="nil"/>
              <w:left w:val="nil"/>
              <w:bottom w:val="nil"/>
              <w:right w:val="nil"/>
            </w:tcBorders>
            <w:shd w:val="clear" w:color="auto" w:fill="auto"/>
            <w:noWrap/>
            <w:hideMark/>
          </w:tcPr>
          <w:p w14:paraId="7EFB560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3,807 (11.6%)</w:t>
            </w:r>
          </w:p>
        </w:tc>
        <w:tc>
          <w:tcPr>
            <w:tcW w:w="1685" w:type="dxa"/>
            <w:tcBorders>
              <w:top w:val="nil"/>
              <w:left w:val="nil"/>
              <w:bottom w:val="nil"/>
              <w:right w:val="nil"/>
            </w:tcBorders>
            <w:shd w:val="clear" w:color="auto" w:fill="auto"/>
            <w:noWrap/>
            <w:hideMark/>
          </w:tcPr>
          <w:p w14:paraId="0B1F870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4,627 (10.8%)</w:t>
            </w:r>
          </w:p>
        </w:tc>
        <w:tc>
          <w:tcPr>
            <w:tcW w:w="1657" w:type="dxa"/>
            <w:tcBorders>
              <w:top w:val="nil"/>
              <w:left w:val="nil"/>
              <w:bottom w:val="nil"/>
              <w:right w:val="nil"/>
            </w:tcBorders>
            <w:shd w:val="clear" w:color="auto" w:fill="auto"/>
            <w:noWrap/>
            <w:hideMark/>
          </w:tcPr>
          <w:p w14:paraId="538C24E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10,892 (15.2%)</w:t>
            </w:r>
          </w:p>
        </w:tc>
        <w:tc>
          <w:tcPr>
            <w:tcW w:w="1574" w:type="dxa"/>
            <w:tcBorders>
              <w:top w:val="nil"/>
              <w:left w:val="nil"/>
              <w:bottom w:val="nil"/>
              <w:right w:val="nil"/>
            </w:tcBorders>
            <w:shd w:val="clear" w:color="auto" w:fill="auto"/>
            <w:noWrap/>
            <w:hideMark/>
          </w:tcPr>
          <w:p w14:paraId="4271B54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14,380 (13.4%)</w:t>
            </w:r>
          </w:p>
        </w:tc>
        <w:tc>
          <w:tcPr>
            <w:tcW w:w="1574" w:type="dxa"/>
            <w:tcBorders>
              <w:top w:val="nil"/>
              <w:left w:val="nil"/>
              <w:bottom w:val="nil"/>
              <w:right w:val="nil"/>
            </w:tcBorders>
            <w:shd w:val="clear" w:color="auto" w:fill="auto"/>
            <w:noWrap/>
            <w:hideMark/>
          </w:tcPr>
          <w:p w14:paraId="1F45019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7,772 (28.6%)</w:t>
            </w:r>
          </w:p>
        </w:tc>
      </w:tr>
      <w:tr w:rsidR="006B6C8D" w:rsidRPr="009252A2" w14:paraId="644CE15B" w14:textId="77777777" w:rsidTr="006F5124">
        <w:trPr>
          <w:trHeight w:val="260"/>
        </w:trPr>
        <w:tc>
          <w:tcPr>
            <w:tcW w:w="7208" w:type="dxa"/>
            <w:tcBorders>
              <w:top w:val="nil"/>
              <w:left w:val="nil"/>
              <w:bottom w:val="nil"/>
              <w:right w:val="nil"/>
            </w:tcBorders>
            <w:shd w:val="clear" w:color="auto" w:fill="auto"/>
            <w:noWrap/>
            <w:hideMark/>
          </w:tcPr>
          <w:p w14:paraId="01359B94"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Length of stay (days)</w:t>
            </w:r>
          </w:p>
        </w:tc>
        <w:tc>
          <w:tcPr>
            <w:tcW w:w="1685" w:type="dxa"/>
            <w:tcBorders>
              <w:top w:val="nil"/>
              <w:left w:val="nil"/>
              <w:bottom w:val="nil"/>
              <w:right w:val="nil"/>
            </w:tcBorders>
            <w:shd w:val="clear" w:color="auto" w:fill="auto"/>
            <w:noWrap/>
            <w:hideMark/>
          </w:tcPr>
          <w:p w14:paraId="009E345E"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504BA515"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0108FF0B"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512CFD25"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45F85E77" w14:textId="77777777" w:rsidR="006B6C8D" w:rsidRPr="009252A2" w:rsidRDefault="006B6C8D" w:rsidP="006F5124">
            <w:pPr>
              <w:spacing w:after="0"/>
              <w:rPr>
                <w:rFonts w:ascii="Times New Roman" w:hAnsi="Times New Roman"/>
                <w:sz w:val="20"/>
                <w:szCs w:val="20"/>
              </w:rPr>
            </w:pPr>
          </w:p>
        </w:tc>
      </w:tr>
      <w:tr w:rsidR="006B6C8D" w:rsidRPr="009252A2" w14:paraId="51A9D4A4" w14:textId="77777777" w:rsidTr="006F5124">
        <w:trPr>
          <w:trHeight w:val="260"/>
        </w:trPr>
        <w:tc>
          <w:tcPr>
            <w:tcW w:w="7208" w:type="dxa"/>
            <w:tcBorders>
              <w:top w:val="nil"/>
              <w:left w:val="nil"/>
              <w:bottom w:val="nil"/>
              <w:right w:val="nil"/>
            </w:tcBorders>
            <w:shd w:val="clear" w:color="auto" w:fill="auto"/>
            <w:noWrap/>
            <w:hideMark/>
          </w:tcPr>
          <w:p w14:paraId="746E500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mean (SD)</w:t>
            </w:r>
          </w:p>
        </w:tc>
        <w:tc>
          <w:tcPr>
            <w:tcW w:w="1685" w:type="dxa"/>
            <w:tcBorders>
              <w:top w:val="nil"/>
              <w:left w:val="nil"/>
              <w:bottom w:val="nil"/>
              <w:right w:val="nil"/>
            </w:tcBorders>
            <w:shd w:val="clear" w:color="auto" w:fill="auto"/>
            <w:noWrap/>
            <w:hideMark/>
          </w:tcPr>
          <w:p w14:paraId="46FFF81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6 (12.3)</w:t>
            </w:r>
          </w:p>
        </w:tc>
        <w:tc>
          <w:tcPr>
            <w:tcW w:w="1685" w:type="dxa"/>
            <w:tcBorders>
              <w:top w:val="nil"/>
              <w:left w:val="nil"/>
              <w:bottom w:val="nil"/>
              <w:right w:val="nil"/>
            </w:tcBorders>
            <w:shd w:val="clear" w:color="auto" w:fill="auto"/>
            <w:noWrap/>
            <w:hideMark/>
          </w:tcPr>
          <w:p w14:paraId="64DCD64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8 (10.7)</w:t>
            </w:r>
          </w:p>
        </w:tc>
        <w:tc>
          <w:tcPr>
            <w:tcW w:w="1657" w:type="dxa"/>
            <w:tcBorders>
              <w:top w:val="nil"/>
              <w:left w:val="nil"/>
              <w:bottom w:val="nil"/>
              <w:right w:val="nil"/>
            </w:tcBorders>
            <w:shd w:val="clear" w:color="auto" w:fill="auto"/>
            <w:noWrap/>
            <w:hideMark/>
          </w:tcPr>
          <w:p w14:paraId="071558C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14 (21.4)</w:t>
            </w:r>
          </w:p>
        </w:tc>
        <w:tc>
          <w:tcPr>
            <w:tcW w:w="1574" w:type="dxa"/>
            <w:tcBorders>
              <w:top w:val="nil"/>
              <w:left w:val="nil"/>
              <w:bottom w:val="nil"/>
              <w:right w:val="nil"/>
            </w:tcBorders>
            <w:shd w:val="clear" w:color="auto" w:fill="auto"/>
            <w:noWrap/>
            <w:hideMark/>
          </w:tcPr>
          <w:p w14:paraId="58FBB53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12 (18.5)</w:t>
            </w:r>
          </w:p>
        </w:tc>
        <w:tc>
          <w:tcPr>
            <w:tcW w:w="1574" w:type="dxa"/>
            <w:tcBorders>
              <w:top w:val="nil"/>
              <w:left w:val="nil"/>
              <w:bottom w:val="nil"/>
              <w:right w:val="nil"/>
            </w:tcBorders>
            <w:shd w:val="clear" w:color="auto" w:fill="auto"/>
            <w:noWrap/>
            <w:hideMark/>
          </w:tcPr>
          <w:p w14:paraId="4B63E08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8 (12.5)</w:t>
            </w:r>
          </w:p>
        </w:tc>
      </w:tr>
      <w:tr w:rsidR="006B6C8D" w:rsidRPr="009252A2" w14:paraId="39CA9D0A" w14:textId="77777777" w:rsidTr="006F5124">
        <w:trPr>
          <w:trHeight w:val="260"/>
        </w:trPr>
        <w:tc>
          <w:tcPr>
            <w:tcW w:w="7208" w:type="dxa"/>
            <w:tcBorders>
              <w:top w:val="nil"/>
              <w:left w:val="nil"/>
              <w:bottom w:val="nil"/>
              <w:right w:val="nil"/>
            </w:tcBorders>
            <w:shd w:val="clear" w:color="auto" w:fill="auto"/>
            <w:noWrap/>
            <w:hideMark/>
          </w:tcPr>
          <w:p w14:paraId="7B4F6E7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median (IQR)</w:t>
            </w:r>
          </w:p>
        </w:tc>
        <w:tc>
          <w:tcPr>
            <w:tcW w:w="1685" w:type="dxa"/>
            <w:tcBorders>
              <w:top w:val="nil"/>
              <w:left w:val="nil"/>
              <w:bottom w:val="nil"/>
              <w:right w:val="nil"/>
            </w:tcBorders>
            <w:shd w:val="clear" w:color="auto" w:fill="auto"/>
            <w:noWrap/>
            <w:hideMark/>
          </w:tcPr>
          <w:p w14:paraId="314ECC9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3 (1-7)</w:t>
            </w:r>
          </w:p>
        </w:tc>
        <w:tc>
          <w:tcPr>
            <w:tcW w:w="1685" w:type="dxa"/>
            <w:tcBorders>
              <w:top w:val="nil"/>
              <w:left w:val="nil"/>
              <w:bottom w:val="nil"/>
              <w:right w:val="nil"/>
            </w:tcBorders>
            <w:shd w:val="clear" w:color="auto" w:fill="auto"/>
            <w:noWrap/>
            <w:hideMark/>
          </w:tcPr>
          <w:p w14:paraId="370B773A"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5 (3-9)</w:t>
            </w:r>
          </w:p>
        </w:tc>
        <w:tc>
          <w:tcPr>
            <w:tcW w:w="1657" w:type="dxa"/>
            <w:tcBorders>
              <w:top w:val="nil"/>
              <w:left w:val="nil"/>
              <w:bottom w:val="nil"/>
              <w:right w:val="nil"/>
            </w:tcBorders>
            <w:shd w:val="clear" w:color="auto" w:fill="auto"/>
            <w:noWrap/>
            <w:hideMark/>
          </w:tcPr>
          <w:p w14:paraId="4DE9B2A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8 (4-16)</w:t>
            </w:r>
          </w:p>
        </w:tc>
        <w:tc>
          <w:tcPr>
            <w:tcW w:w="1574" w:type="dxa"/>
            <w:tcBorders>
              <w:top w:val="nil"/>
              <w:left w:val="nil"/>
              <w:bottom w:val="nil"/>
              <w:right w:val="nil"/>
            </w:tcBorders>
            <w:shd w:val="clear" w:color="auto" w:fill="auto"/>
            <w:noWrap/>
            <w:hideMark/>
          </w:tcPr>
          <w:p w14:paraId="19778E8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6 (3-13)</w:t>
            </w:r>
          </w:p>
        </w:tc>
        <w:tc>
          <w:tcPr>
            <w:tcW w:w="1574" w:type="dxa"/>
            <w:tcBorders>
              <w:top w:val="nil"/>
              <w:left w:val="nil"/>
              <w:bottom w:val="nil"/>
              <w:right w:val="nil"/>
            </w:tcBorders>
            <w:shd w:val="clear" w:color="auto" w:fill="auto"/>
            <w:noWrap/>
            <w:hideMark/>
          </w:tcPr>
          <w:p w14:paraId="1AA4A7E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4 (1-9)</w:t>
            </w:r>
          </w:p>
        </w:tc>
      </w:tr>
      <w:tr w:rsidR="006B6C8D" w:rsidRPr="009252A2" w14:paraId="6F2D47D2" w14:textId="77777777" w:rsidTr="006F5124">
        <w:trPr>
          <w:trHeight w:val="260"/>
        </w:trPr>
        <w:tc>
          <w:tcPr>
            <w:tcW w:w="7208" w:type="dxa"/>
            <w:tcBorders>
              <w:top w:val="nil"/>
              <w:left w:val="nil"/>
              <w:bottom w:val="nil"/>
              <w:right w:val="nil"/>
            </w:tcBorders>
            <w:shd w:val="clear" w:color="auto" w:fill="auto"/>
            <w:noWrap/>
            <w:hideMark/>
          </w:tcPr>
          <w:p w14:paraId="2CF76B17"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Admission to ICU, n(%)</w:t>
            </w:r>
          </w:p>
        </w:tc>
        <w:tc>
          <w:tcPr>
            <w:tcW w:w="1685" w:type="dxa"/>
            <w:tcBorders>
              <w:top w:val="nil"/>
              <w:left w:val="nil"/>
              <w:bottom w:val="nil"/>
              <w:right w:val="nil"/>
            </w:tcBorders>
            <w:shd w:val="clear" w:color="auto" w:fill="auto"/>
            <w:noWrap/>
            <w:hideMark/>
          </w:tcPr>
          <w:p w14:paraId="2AD41EC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2,693 (8.2%)</w:t>
            </w:r>
          </w:p>
        </w:tc>
        <w:tc>
          <w:tcPr>
            <w:tcW w:w="1685" w:type="dxa"/>
            <w:tcBorders>
              <w:top w:val="nil"/>
              <w:left w:val="nil"/>
              <w:bottom w:val="nil"/>
              <w:right w:val="nil"/>
            </w:tcBorders>
            <w:shd w:val="clear" w:color="auto" w:fill="auto"/>
            <w:noWrap/>
            <w:hideMark/>
          </w:tcPr>
          <w:p w14:paraId="26ACC44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6,722 (15.7%)</w:t>
            </w:r>
          </w:p>
        </w:tc>
        <w:tc>
          <w:tcPr>
            <w:tcW w:w="1657" w:type="dxa"/>
            <w:tcBorders>
              <w:top w:val="nil"/>
              <w:left w:val="nil"/>
              <w:bottom w:val="nil"/>
              <w:right w:val="nil"/>
            </w:tcBorders>
            <w:shd w:val="clear" w:color="auto" w:fill="auto"/>
            <w:noWrap/>
            <w:hideMark/>
          </w:tcPr>
          <w:p w14:paraId="4CF3B74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20,707 (28.9%)</w:t>
            </w:r>
          </w:p>
        </w:tc>
        <w:tc>
          <w:tcPr>
            <w:tcW w:w="1574" w:type="dxa"/>
            <w:tcBorders>
              <w:top w:val="nil"/>
              <w:left w:val="nil"/>
              <w:bottom w:val="nil"/>
              <w:right w:val="nil"/>
            </w:tcBorders>
            <w:shd w:val="clear" w:color="auto" w:fill="auto"/>
            <w:noWrap/>
            <w:hideMark/>
          </w:tcPr>
          <w:p w14:paraId="3CCB21E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23,689 (22.1%)</w:t>
            </w:r>
          </w:p>
        </w:tc>
        <w:tc>
          <w:tcPr>
            <w:tcW w:w="1574" w:type="dxa"/>
            <w:tcBorders>
              <w:top w:val="nil"/>
              <w:left w:val="nil"/>
              <w:bottom w:val="nil"/>
              <w:right w:val="nil"/>
            </w:tcBorders>
            <w:shd w:val="clear" w:color="auto" w:fill="auto"/>
            <w:noWrap/>
            <w:hideMark/>
          </w:tcPr>
          <w:p w14:paraId="57E1094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2,729 (10.1%)</w:t>
            </w:r>
          </w:p>
        </w:tc>
      </w:tr>
      <w:tr w:rsidR="006B6C8D" w:rsidRPr="009252A2" w14:paraId="11CB48A3" w14:textId="77777777" w:rsidTr="006F5124">
        <w:trPr>
          <w:trHeight w:val="260"/>
        </w:trPr>
        <w:tc>
          <w:tcPr>
            <w:tcW w:w="7208" w:type="dxa"/>
            <w:tcBorders>
              <w:top w:val="nil"/>
              <w:left w:val="nil"/>
              <w:bottom w:val="nil"/>
              <w:right w:val="nil"/>
            </w:tcBorders>
            <w:shd w:val="clear" w:color="auto" w:fill="auto"/>
            <w:noWrap/>
            <w:hideMark/>
          </w:tcPr>
          <w:p w14:paraId="3729467D"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ICU length of stay (hrs)</w:t>
            </w:r>
          </w:p>
        </w:tc>
        <w:tc>
          <w:tcPr>
            <w:tcW w:w="1685" w:type="dxa"/>
            <w:tcBorders>
              <w:top w:val="nil"/>
              <w:left w:val="nil"/>
              <w:bottom w:val="nil"/>
              <w:right w:val="nil"/>
            </w:tcBorders>
            <w:shd w:val="clear" w:color="auto" w:fill="auto"/>
            <w:noWrap/>
            <w:hideMark/>
          </w:tcPr>
          <w:p w14:paraId="45820559"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2813FC4D"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21C2EF11"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4E5A1187"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705F4447" w14:textId="77777777" w:rsidR="006B6C8D" w:rsidRPr="009252A2" w:rsidRDefault="006B6C8D" w:rsidP="006F5124">
            <w:pPr>
              <w:spacing w:after="0"/>
              <w:rPr>
                <w:rFonts w:ascii="Times New Roman" w:hAnsi="Times New Roman"/>
                <w:sz w:val="20"/>
                <w:szCs w:val="20"/>
              </w:rPr>
            </w:pPr>
          </w:p>
        </w:tc>
      </w:tr>
      <w:tr w:rsidR="006B6C8D" w:rsidRPr="009252A2" w14:paraId="40E21D66" w14:textId="77777777" w:rsidTr="006F5124">
        <w:trPr>
          <w:trHeight w:val="260"/>
        </w:trPr>
        <w:tc>
          <w:tcPr>
            <w:tcW w:w="7208" w:type="dxa"/>
            <w:tcBorders>
              <w:top w:val="nil"/>
              <w:left w:val="nil"/>
              <w:bottom w:val="nil"/>
              <w:right w:val="nil"/>
            </w:tcBorders>
            <w:shd w:val="clear" w:color="auto" w:fill="auto"/>
            <w:noWrap/>
            <w:hideMark/>
          </w:tcPr>
          <w:p w14:paraId="3EAE5DF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mean (SD)</w:t>
            </w:r>
          </w:p>
        </w:tc>
        <w:tc>
          <w:tcPr>
            <w:tcW w:w="1685" w:type="dxa"/>
            <w:tcBorders>
              <w:top w:val="nil"/>
              <w:left w:val="nil"/>
              <w:bottom w:val="nil"/>
              <w:right w:val="nil"/>
            </w:tcBorders>
            <w:shd w:val="clear" w:color="auto" w:fill="auto"/>
            <w:noWrap/>
            <w:hideMark/>
          </w:tcPr>
          <w:p w14:paraId="4257DB3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96 (161.0)</w:t>
            </w:r>
          </w:p>
        </w:tc>
        <w:tc>
          <w:tcPr>
            <w:tcW w:w="1685" w:type="dxa"/>
            <w:tcBorders>
              <w:top w:val="nil"/>
              <w:left w:val="nil"/>
              <w:bottom w:val="nil"/>
              <w:right w:val="nil"/>
            </w:tcBorders>
            <w:shd w:val="clear" w:color="auto" w:fill="auto"/>
            <w:noWrap/>
            <w:hideMark/>
          </w:tcPr>
          <w:p w14:paraId="3F82C5C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92 (123.6)</w:t>
            </w:r>
          </w:p>
        </w:tc>
        <w:tc>
          <w:tcPr>
            <w:tcW w:w="1657" w:type="dxa"/>
            <w:tcBorders>
              <w:top w:val="nil"/>
              <w:left w:val="nil"/>
              <w:bottom w:val="nil"/>
              <w:right w:val="nil"/>
            </w:tcBorders>
            <w:shd w:val="clear" w:color="auto" w:fill="auto"/>
            <w:noWrap/>
            <w:hideMark/>
          </w:tcPr>
          <w:p w14:paraId="16EAE8A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182 (330.4)</w:t>
            </w:r>
          </w:p>
        </w:tc>
        <w:tc>
          <w:tcPr>
            <w:tcW w:w="1574" w:type="dxa"/>
            <w:tcBorders>
              <w:top w:val="nil"/>
              <w:left w:val="nil"/>
              <w:bottom w:val="nil"/>
              <w:right w:val="nil"/>
            </w:tcBorders>
            <w:shd w:val="clear" w:color="auto" w:fill="auto"/>
            <w:noWrap/>
            <w:hideMark/>
          </w:tcPr>
          <w:p w14:paraId="4CEBCAF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168 (312.5)</w:t>
            </w:r>
          </w:p>
        </w:tc>
        <w:tc>
          <w:tcPr>
            <w:tcW w:w="1574" w:type="dxa"/>
            <w:tcBorders>
              <w:top w:val="nil"/>
              <w:left w:val="nil"/>
              <w:bottom w:val="nil"/>
              <w:right w:val="nil"/>
            </w:tcBorders>
            <w:shd w:val="clear" w:color="auto" w:fill="auto"/>
            <w:noWrap/>
            <w:hideMark/>
          </w:tcPr>
          <w:p w14:paraId="0CD7764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127 (225.7)</w:t>
            </w:r>
          </w:p>
        </w:tc>
      </w:tr>
      <w:tr w:rsidR="006B6C8D" w:rsidRPr="009252A2" w14:paraId="370C7AD7" w14:textId="77777777" w:rsidTr="006F5124">
        <w:trPr>
          <w:trHeight w:val="260"/>
        </w:trPr>
        <w:tc>
          <w:tcPr>
            <w:tcW w:w="7208" w:type="dxa"/>
            <w:tcBorders>
              <w:top w:val="nil"/>
              <w:left w:val="nil"/>
              <w:bottom w:val="nil"/>
              <w:right w:val="nil"/>
            </w:tcBorders>
            <w:shd w:val="clear" w:color="auto" w:fill="auto"/>
            <w:noWrap/>
            <w:hideMark/>
          </w:tcPr>
          <w:p w14:paraId="3D8E991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median (IQR)</w:t>
            </w:r>
          </w:p>
        </w:tc>
        <w:tc>
          <w:tcPr>
            <w:tcW w:w="1685" w:type="dxa"/>
            <w:tcBorders>
              <w:top w:val="nil"/>
              <w:left w:val="nil"/>
              <w:bottom w:val="nil"/>
              <w:right w:val="nil"/>
            </w:tcBorders>
            <w:shd w:val="clear" w:color="auto" w:fill="auto"/>
            <w:noWrap/>
            <w:hideMark/>
          </w:tcPr>
          <w:p w14:paraId="2293C25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48 (20-104)</w:t>
            </w:r>
          </w:p>
        </w:tc>
        <w:tc>
          <w:tcPr>
            <w:tcW w:w="1685" w:type="dxa"/>
            <w:tcBorders>
              <w:top w:val="nil"/>
              <w:left w:val="nil"/>
              <w:bottom w:val="nil"/>
              <w:right w:val="nil"/>
            </w:tcBorders>
            <w:shd w:val="clear" w:color="auto" w:fill="auto"/>
            <w:noWrap/>
            <w:hideMark/>
          </w:tcPr>
          <w:p w14:paraId="1992C21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58 (28-108)</w:t>
            </w:r>
          </w:p>
        </w:tc>
        <w:tc>
          <w:tcPr>
            <w:tcW w:w="1657" w:type="dxa"/>
            <w:tcBorders>
              <w:top w:val="nil"/>
              <w:left w:val="nil"/>
              <w:bottom w:val="nil"/>
              <w:right w:val="nil"/>
            </w:tcBorders>
            <w:shd w:val="clear" w:color="auto" w:fill="auto"/>
            <w:noWrap/>
            <w:hideMark/>
          </w:tcPr>
          <w:p w14:paraId="2E2DDC2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83 (40-189)</w:t>
            </w:r>
          </w:p>
        </w:tc>
        <w:tc>
          <w:tcPr>
            <w:tcW w:w="1574" w:type="dxa"/>
            <w:tcBorders>
              <w:top w:val="nil"/>
              <w:left w:val="nil"/>
              <w:bottom w:val="nil"/>
              <w:right w:val="nil"/>
            </w:tcBorders>
            <w:shd w:val="clear" w:color="auto" w:fill="auto"/>
            <w:noWrap/>
            <w:hideMark/>
          </w:tcPr>
          <w:p w14:paraId="30649E0A"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76 (37-172)</w:t>
            </w:r>
          </w:p>
        </w:tc>
        <w:tc>
          <w:tcPr>
            <w:tcW w:w="1574" w:type="dxa"/>
            <w:tcBorders>
              <w:top w:val="nil"/>
              <w:left w:val="nil"/>
              <w:bottom w:val="nil"/>
              <w:right w:val="nil"/>
            </w:tcBorders>
            <w:shd w:val="clear" w:color="auto" w:fill="auto"/>
            <w:noWrap/>
            <w:hideMark/>
          </w:tcPr>
          <w:p w14:paraId="1F0FAA7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          66 (32-141)</w:t>
            </w:r>
          </w:p>
        </w:tc>
      </w:tr>
      <w:tr w:rsidR="006B6C8D" w:rsidRPr="009252A2" w14:paraId="52F5F021" w14:textId="77777777" w:rsidTr="006F5124">
        <w:trPr>
          <w:trHeight w:val="260"/>
        </w:trPr>
        <w:tc>
          <w:tcPr>
            <w:tcW w:w="7208" w:type="dxa"/>
            <w:tcBorders>
              <w:top w:val="nil"/>
              <w:left w:val="nil"/>
              <w:bottom w:val="nil"/>
              <w:right w:val="nil"/>
            </w:tcBorders>
            <w:shd w:val="clear" w:color="auto" w:fill="auto"/>
            <w:noWrap/>
            <w:hideMark/>
          </w:tcPr>
          <w:p w14:paraId="74D1667D"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Hospital remoteness, n(%)</w:t>
            </w:r>
          </w:p>
        </w:tc>
        <w:tc>
          <w:tcPr>
            <w:tcW w:w="1685" w:type="dxa"/>
            <w:tcBorders>
              <w:top w:val="nil"/>
              <w:left w:val="nil"/>
              <w:bottom w:val="nil"/>
              <w:right w:val="nil"/>
            </w:tcBorders>
            <w:shd w:val="clear" w:color="auto" w:fill="auto"/>
            <w:noWrap/>
            <w:hideMark/>
          </w:tcPr>
          <w:p w14:paraId="2055C831"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15EDC02B"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5CF1E638"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4719DFD0"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46AC16DD" w14:textId="77777777" w:rsidR="006B6C8D" w:rsidRPr="009252A2" w:rsidRDefault="006B6C8D" w:rsidP="006F5124">
            <w:pPr>
              <w:spacing w:after="0"/>
              <w:rPr>
                <w:rFonts w:ascii="Times New Roman" w:hAnsi="Times New Roman"/>
                <w:sz w:val="20"/>
                <w:szCs w:val="20"/>
              </w:rPr>
            </w:pPr>
          </w:p>
        </w:tc>
      </w:tr>
      <w:tr w:rsidR="006B6C8D" w:rsidRPr="009252A2" w14:paraId="38719E13" w14:textId="77777777" w:rsidTr="006F5124">
        <w:trPr>
          <w:trHeight w:val="260"/>
        </w:trPr>
        <w:tc>
          <w:tcPr>
            <w:tcW w:w="7208" w:type="dxa"/>
            <w:tcBorders>
              <w:top w:val="nil"/>
              <w:left w:val="nil"/>
              <w:bottom w:val="nil"/>
              <w:right w:val="nil"/>
            </w:tcBorders>
            <w:shd w:val="clear" w:color="auto" w:fill="auto"/>
            <w:noWrap/>
            <w:hideMark/>
          </w:tcPr>
          <w:p w14:paraId="400A05A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Major cities</w:t>
            </w:r>
          </w:p>
        </w:tc>
        <w:tc>
          <w:tcPr>
            <w:tcW w:w="1685" w:type="dxa"/>
            <w:tcBorders>
              <w:top w:val="nil"/>
              <w:left w:val="nil"/>
              <w:bottom w:val="nil"/>
              <w:right w:val="nil"/>
            </w:tcBorders>
            <w:shd w:val="clear" w:color="auto" w:fill="auto"/>
            <w:noWrap/>
            <w:hideMark/>
          </w:tcPr>
          <w:p w14:paraId="5B8754B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22,201 (67.4%)</w:t>
            </w:r>
          </w:p>
        </w:tc>
        <w:tc>
          <w:tcPr>
            <w:tcW w:w="1685" w:type="dxa"/>
            <w:tcBorders>
              <w:top w:val="nil"/>
              <w:left w:val="nil"/>
              <w:bottom w:val="nil"/>
              <w:right w:val="nil"/>
            </w:tcBorders>
            <w:shd w:val="clear" w:color="auto" w:fill="auto"/>
            <w:noWrap/>
            <w:hideMark/>
          </w:tcPr>
          <w:p w14:paraId="71CAFA0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29,494 (68.7%)</w:t>
            </w:r>
          </w:p>
        </w:tc>
        <w:tc>
          <w:tcPr>
            <w:tcW w:w="1657" w:type="dxa"/>
            <w:tcBorders>
              <w:top w:val="nil"/>
              <w:left w:val="nil"/>
              <w:bottom w:val="nil"/>
              <w:right w:val="nil"/>
            </w:tcBorders>
            <w:shd w:val="clear" w:color="auto" w:fill="auto"/>
            <w:noWrap/>
            <w:hideMark/>
          </w:tcPr>
          <w:p w14:paraId="12E5D14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52,977 (74.0%)</w:t>
            </w:r>
          </w:p>
        </w:tc>
        <w:tc>
          <w:tcPr>
            <w:tcW w:w="1574" w:type="dxa"/>
            <w:tcBorders>
              <w:top w:val="nil"/>
              <w:left w:val="nil"/>
              <w:bottom w:val="nil"/>
              <w:right w:val="nil"/>
            </w:tcBorders>
            <w:shd w:val="clear" w:color="auto" w:fill="auto"/>
            <w:noWrap/>
            <w:hideMark/>
          </w:tcPr>
          <w:p w14:paraId="159B683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77,182 (72.0%)</w:t>
            </w:r>
          </w:p>
        </w:tc>
        <w:tc>
          <w:tcPr>
            <w:tcW w:w="1574" w:type="dxa"/>
            <w:tcBorders>
              <w:top w:val="nil"/>
              <w:left w:val="nil"/>
              <w:bottom w:val="nil"/>
              <w:right w:val="nil"/>
            </w:tcBorders>
            <w:shd w:val="clear" w:color="auto" w:fill="auto"/>
            <w:noWrap/>
            <w:hideMark/>
          </w:tcPr>
          <w:p w14:paraId="05F8E4E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18,762 (69.2%)</w:t>
            </w:r>
          </w:p>
        </w:tc>
      </w:tr>
      <w:tr w:rsidR="006B6C8D" w:rsidRPr="009252A2" w14:paraId="126255F0" w14:textId="77777777" w:rsidTr="006F5124">
        <w:trPr>
          <w:trHeight w:val="260"/>
        </w:trPr>
        <w:tc>
          <w:tcPr>
            <w:tcW w:w="7208" w:type="dxa"/>
            <w:tcBorders>
              <w:top w:val="nil"/>
              <w:left w:val="nil"/>
              <w:bottom w:val="nil"/>
              <w:right w:val="nil"/>
            </w:tcBorders>
            <w:shd w:val="clear" w:color="auto" w:fill="auto"/>
            <w:noWrap/>
            <w:hideMark/>
          </w:tcPr>
          <w:p w14:paraId="79CA0EE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Inner regional</w:t>
            </w:r>
          </w:p>
        </w:tc>
        <w:tc>
          <w:tcPr>
            <w:tcW w:w="1685" w:type="dxa"/>
            <w:tcBorders>
              <w:top w:val="nil"/>
              <w:left w:val="nil"/>
              <w:bottom w:val="nil"/>
              <w:right w:val="nil"/>
            </w:tcBorders>
            <w:shd w:val="clear" w:color="auto" w:fill="auto"/>
            <w:noWrap/>
            <w:hideMark/>
          </w:tcPr>
          <w:p w14:paraId="57AB73A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6,696 (20.3%)</w:t>
            </w:r>
          </w:p>
        </w:tc>
        <w:tc>
          <w:tcPr>
            <w:tcW w:w="1685" w:type="dxa"/>
            <w:tcBorders>
              <w:top w:val="nil"/>
              <w:left w:val="nil"/>
              <w:bottom w:val="nil"/>
              <w:right w:val="nil"/>
            </w:tcBorders>
            <w:shd w:val="clear" w:color="auto" w:fill="auto"/>
            <w:noWrap/>
            <w:hideMark/>
          </w:tcPr>
          <w:p w14:paraId="6780107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8,664 (20.2%)</w:t>
            </w:r>
          </w:p>
        </w:tc>
        <w:tc>
          <w:tcPr>
            <w:tcW w:w="1657" w:type="dxa"/>
            <w:tcBorders>
              <w:top w:val="nil"/>
              <w:left w:val="nil"/>
              <w:bottom w:val="nil"/>
              <w:right w:val="nil"/>
            </w:tcBorders>
            <w:shd w:val="clear" w:color="auto" w:fill="auto"/>
            <w:noWrap/>
            <w:hideMark/>
          </w:tcPr>
          <w:p w14:paraId="3703FC9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12,567 (17.5%)</w:t>
            </w:r>
          </w:p>
        </w:tc>
        <w:tc>
          <w:tcPr>
            <w:tcW w:w="1574" w:type="dxa"/>
            <w:tcBorders>
              <w:top w:val="nil"/>
              <w:left w:val="nil"/>
              <w:bottom w:val="nil"/>
              <w:right w:val="nil"/>
            </w:tcBorders>
            <w:shd w:val="clear" w:color="auto" w:fill="auto"/>
            <w:noWrap/>
            <w:hideMark/>
          </w:tcPr>
          <w:p w14:paraId="2EFF285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19,736 (18.4%)</w:t>
            </w:r>
          </w:p>
        </w:tc>
        <w:tc>
          <w:tcPr>
            <w:tcW w:w="1574" w:type="dxa"/>
            <w:tcBorders>
              <w:top w:val="nil"/>
              <w:left w:val="nil"/>
              <w:bottom w:val="nil"/>
              <w:right w:val="nil"/>
            </w:tcBorders>
            <w:shd w:val="clear" w:color="auto" w:fill="auto"/>
            <w:noWrap/>
            <w:hideMark/>
          </w:tcPr>
          <w:p w14:paraId="0DBC785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5,280 (19.5%)</w:t>
            </w:r>
          </w:p>
        </w:tc>
      </w:tr>
      <w:tr w:rsidR="006B6C8D" w:rsidRPr="009252A2" w14:paraId="6E07A7D2" w14:textId="77777777" w:rsidTr="006F5124">
        <w:trPr>
          <w:trHeight w:val="260"/>
        </w:trPr>
        <w:tc>
          <w:tcPr>
            <w:tcW w:w="7208" w:type="dxa"/>
            <w:tcBorders>
              <w:top w:val="nil"/>
              <w:left w:val="nil"/>
              <w:bottom w:val="nil"/>
              <w:right w:val="nil"/>
            </w:tcBorders>
            <w:shd w:val="clear" w:color="auto" w:fill="auto"/>
            <w:noWrap/>
            <w:hideMark/>
          </w:tcPr>
          <w:p w14:paraId="61879CF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Outer regional</w:t>
            </w:r>
          </w:p>
        </w:tc>
        <w:tc>
          <w:tcPr>
            <w:tcW w:w="1685" w:type="dxa"/>
            <w:tcBorders>
              <w:top w:val="nil"/>
              <w:left w:val="nil"/>
              <w:bottom w:val="nil"/>
              <w:right w:val="nil"/>
            </w:tcBorders>
            <w:shd w:val="clear" w:color="auto" w:fill="auto"/>
            <w:noWrap/>
            <w:hideMark/>
          </w:tcPr>
          <w:p w14:paraId="2A9DCC8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3,011 (9.1%)</w:t>
            </w:r>
          </w:p>
        </w:tc>
        <w:tc>
          <w:tcPr>
            <w:tcW w:w="1685" w:type="dxa"/>
            <w:tcBorders>
              <w:top w:val="nil"/>
              <w:left w:val="nil"/>
              <w:bottom w:val="nil"/>
              <w:right w:val="nil"/>
            </w:tcBorders>
            <w:shd w:val="clear" w:color="auto" w:fill="auto"/>
            <w:noWrap/>
            <w:hideMark/>
          </w:tcPr>
          <w:p w14:paraId="02BD441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3,623 (8.4%)</w:t>
            </w:r>
          </w:p>
        </w:tc>
        <w:tc>
          <w:tcPr>
            <w:tcW w:w="1657" w:type="dxa"/>
            <w:tcBorders>
              <w:top w:val="nil"/>
              <w:left w:val="nil"/>
              <w:bottom w:val="nil"/>
              <w:right w:val="nil"/>
            </w:tcBorders>
            <w:shd w:val="clear" w:color="auto" w:fill="auto"/>
            <w:noWrap/>
            <w:hideMark/>
          </w:tcPr>
          <w:p w14:paraId="31EA24C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4,865 (6.8%)</w:t>
            </w:r>
          </w:p>
        </w:tc>
        <w:tc>
          <w:tcPr>
            <w:tcW w:w="1574" w:type="dxa"/>
            <w:tcBorders>
              <w:top w:val="nil"/>
              <w:left w:val="nil"/>
              <w:bottom w:val="nil"/>
              <w:right w:val="nil"/>
            </w:tcBorders>
            <w:shd w:val="clear" w:color="auto" w:fill="auto"/>
            <w:noWrap/>
            <w:hideMark/>
          </w:tcPr>
          <w:p w14:paraId="7E9110B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8,057 (7.5%)</w:t>
            </w:r>
          </w:p>
        </w:tc>
        <w:tc>
          <w:tcPr>
            <w:tcW w:w="1574" w:type="dxa"/>
            <w:tcBorders>
              <w:top w:val="nil"/>
              <w:left w:val="nil"/>
              <w:bottom w:val="nil"/>
              <w:right w:val="nil"/>
            </w:tcBorders>
            <w:shd w:val="clear" w:color="auto" w:fill="auto"/>
            <w:noWrap/>
            <w:hideMark/>
          </w:tcPr>
          <w:p w14:paraId="1E3B8FC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2,389 (8.8%)</w:t>
            </w:r>
          </w:p>
        </w:tc>
      </w:tr>
      <w:tr w:rsidR="006B6C8D" w:rsidRPr="009252A2" w14:paraId="51929A29" w14:textId="77777777" w:rsidTr="006F5124">
        <w:trPr>
          <w:trHeight w:val="260"/>
        </w:trPr>
        <w:tc>
          <w:tcPr>
            <w:tcW w:w="7208" w:type="dxa"/>
            <w:tcBorders>
              <w:top w:val="nil"/>
              <w:left w:val="nil"/>
              <w:bottom w:val="nil"/>
              <w:right w:val="nil"/>
            </w:tcBorders>
            <w:shd w:val="clear" w:color="auto" w:fill="auto"/>
            <w:noWrap/>
            <w:hideMark/>
          </w:tcPr>
          <w:p w14:paraId="36BE1E0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Remote</w:t>
            </w:r>
          </w:p>
        </w:tc>
        <w:tc>
          <w:tcPr>
            <w:tcW w:w="1685" w:type="dxa"/>
            <w:tcBorders>
              <w:top w:val="nil"/>
              <w:left w:val="nil"/>
              <w:bottom w:val="nil"/>
              <w:right w:val="nil"/>
            </w:tcBorders>
            <w:shd w:val="clear" w:color="auto" w:fill="auto"/>
            <w:noWrap/>
            <w:hideMark/>
          </w:tcPr>
          <w:p w14:paraId="3692940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1,018 (3.1%)</w:t>
            </w:r>
          </w:p>
        </w:tc>
        <w:tc>
          <w:tcPr>
            <w:tcW w:w="1685" w:type="dxa"/>
            <w:tcBorders>
              <w:top w:val="nil"/>
              <w:left w:val="nil"/>
              <w:bottom w:val="nil"/>
              <w:right w:val="nil"/>
            </w:tcBorders>
            <w:shd w:val="clear" w:color="auto" w:fill="auto"/>
            <w:noWrap/>
            <w:hideMark/>
          </w:tcPr>
          <w:p w14:paraId="3045FE8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1,145 (2.7%)</w:t>
            </w:r>
          </w:p>
        </w:tc>
        <w:tc>
          <w:tcPr>
            <w:tcW w:w="1657" w:type="dxa"/>
            <w:tcBorders>
              <w:top w:val="nil"/>
              <w:left w:val="nil"/>
              <w:bottom w:val="nil"/>
              <w:right w:val="nil"/>
            </w:tcBorders>
            <w:shd w:val="clear" w:color="auto" w:fill="auto"/>
            <w:noWrap/>
            <w:hideMark/>
          </w:tcPr>
          <w:p w14:paraId="0842520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1,217 (1.7%)</w:t>
            </w:r>
          </w:p>
        </w:tc>
        <w:tc>
          <w:tcPr>
            <w:tcW w:w="1574" w:type="dxa"/>
            <w:tcBorders>
              <w:top w:val="nil"/>
              <w:left w:val="nil"/>
              <w:bottom w:val="nil"/>
              <w:right w:val="nil"/>
            </w:tcBorders>
            <w:shd w:val="clear" w:color="auto" w:fill="auto"/>
            <w:noWrap/>
            <w:hideMark/>
          </w:tcPr>
          <w:p w14:paraId="7352310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2,206 (2.1%)</w:t>
            </w:r>
          </w:p>
        </w:tc>
        <w:tc>
          <w:tcPr>
            <w:tcW w:w="1574" w:type="dxa"/>
            <w:tcBorders>
              <w:top w:val="nil"/>
              <w:left w:val="nil"/>
              <w:bottom w:val="nil"/>
              <w:right w:val="nil"/>
            </w:tcBorders>
            <w:shd w:val="clear" w:color="auto" w:fill="auto"/>
            <w:noWrap/>
            <w:hideMark/>
          </w:tcPr>
          <w:p w14:paraId="332FF33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699 (2.6%)</w:t>
            </w:r>
          </w:p>
        </w:tc>
      </w:tr>
      <w:tr w:rsidR="006B6C8D" w:rsidRPr="009252A2" w14:paraId="61364E8D" w14:textId="77777777" w:rsidTr="006F5124">
        <w:trPr>
          <w:trHeight w:val="260"/>
        </w:trPr>
        <w:tc>
          <w:tcPr>
            <w:tcW w:w="7208" w:type="dxa"/>
            <w:tcBorders>
              <w:top w:val="nil"/>
              <w:left w:val="nil"/>
              <w:bottom w:val="nil"/>
              <w:right w:val="nil"/>
            </w:tcBorders>
            <w:shd w:val="clear" w:color="auto" w:fill="auto"/>
            <w:noWrap/>
            <w:hideMark/>
          </w:tcPr>
          <w:p w14:paraId="0031098A"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Sepsis onset, n(%)</w:t>
            </w:r>
          </w:p>
        </w:tc>
        <w:tc>
          <w:tcPr>
            <w:tcW w:w="1685" w:type="dxa"/>
            <w:tcBorders>
              <w:top w:val="nil"/>
              <w:left w:val="nil"/>
              <w:bottom w:val="nil"/>
              <w:right w:val="nil"/>
            </w:tcBorders>
            <w:shd w:val="clear" w:color="auto" w:fill="auto"/>
            <w:noWrap/>
            <w:hideMark/>
          </w:tcPr>
          <w:p w14:paraId="7447A329"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7B4B464A"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11D490C7"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22C2DA91"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2847AFF7" w14:textId="77777777" w:rsidR="006B6C8D" w:rsidRPr="009252A2" w:rsidRDefault="006B6C8D" w:rsidP="006F5124">
            <w:pPr>
              <w:spacing w:after="0"/>
              <w:rPr>
                <w:rFonts w:ascii="Times New Roman" w:hAnsi="Times New Roman"/>
                <w:sz w:val="20"/>
                <w:szCs w:val="20"/>
              </w:rPr>
            </w:pPr>
          </w:p>
        </w:tc>
      </w:tr>
      <w:tr w:rsidR="006B6C8D" w:rsidRPr="009252A2" w14:paraId="33F8A3AA" w14:textId="77777777" w:rsidTr="006F5124">
        <w:trPr>
          <w:trHeight w:val="260"/>
        </w:trPr>
        <w:tc>
          <w:tcPr>
            <w:tcW w:w="7208" w:type="dxa"/>
            <w:tcBorders>
              <w:top w:val="nil"/>
              <w:left w:val="nil"/>
              <w:bottom w:val="nil"/>
              <w:right w:val="nil"/>
            </w:tcBorders>
            <w:shd w:val="clear" w:color="auto" w:fill="auto"/>
            <w:noWrap/>
            <w:hideMark/>
          </w:tcPr>
          <w:p w14:paraId="7B705D6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lastRenderedPageBreak/>
              <w:t>present on admission</w:t>
            </w:r>
          </w:p>
        </w:tc>
        <w:tc>
          <w:tcPr>
            <w:tcW w:w="1685" w:type="dxa"/>
            <w:tcBorders>
              <w:top w:val="nil"/>
              <w:left w:val="nil"/>
              <w:bottom w:val="nil"/>
              <w:right w:val="nil"/>
            </w:tcBorders>
            <w:shd w:val="clear" w:color="auto" w:fill="auto"/>
            <w:noWrap/>
            <w:hideMark/>
          </w:tcPr>
          <w:p w14:paraId="20BCEF2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6,945 (21.1%)</w:t>
            </w:r>
          </w:p>
        </w:tc>
        <w:tc>
          <w:tcPr>
            <w:tcW w:w="1685" w:type="dxa"/>
            <w:tcBorders>
              <w:top w:val="nil"/>
              <w:left w:val="nil"/>
              <w:bottom w:val="nil"/>
              <w:right w:val="nil"/>
            </w:tcBorders>
            <w:shd w:val="clear" w:color="auto" w:fill="auto"/>
            <w:noWrap/>
            <w:hideMark/>
          </w:tcPr>
          <w:p w14:paraId="0B2F427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41,667 (97.1%)</w:t>
            </w:r>
          </w:p>
        </w:tc>
        <w:tc>
          <w:tcPr>
            <w:tcW w:w="1657" w:type="dxa"/>
            <w:tcBorders>
              <w:top w:val="nil"/>
              <w:left w:val="nil"/>
              <w:bottom w:val="nil"/>
              <w:right w:val="nil"/>
            </w:tcBorders>
            <w:shd w:val="clear" w:color="auto" w:fill="auto"/>
            <w:noWrap/>
            <w:hideMark/>
          </w:tcPr>
          <w:p w14:paraId="2F15E23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57,538 (80.3%)</w:t>
            </w:r>
          </w:p>
        </w:tc>
        <w:tc>
          <w:tcPr>
            <w:tcW w:w="1574" w:type="dxa"/>
            <w:tcBorders>
              <w:top w:val="nil"/>
              <w:left w:val="nil"/>
              <w:bottom w:val="nil"/>
              <w:right w:val="nil"/>
            </w:tcBorders>
            <w:shd w:val="clear" w:color="auto" w:fill="auto"/>
            <w:noWrap/>
            <w:hideMark/>
          </w:tcPr>
          <w:p w14:paraId="7595268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91,840 (85.7%)</w:t>
            </w:r>
          </w:p>
        </w:tc>
        <w:tc>
          <w:tcPr>
            <w:tcW w:w="1574" w:type="dxa"/>
            <w:tcBorders>
              <w:top w:val="nil"/>
              <w:left w:val="nil"/>
              <w:bottom w:val="nil"/>
              <w:right w:val="nil"/>
            </w:tcBorders>
            <w:shd w:val="clear" w:color="auto" w:fill="auto"/>
            <w:noWrap/>
            <w:hideMark/>
          </w:tcPr>
          <w:p w14:paraId="75F4309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7,482 (27.6%)</w:t>
            </w:r>
          </w:p>
        </w:tc>
      </w:tr>
      <w:tr w:rsidR="006B6C8D" w:rsidRPr="009252A2" w14:paraId="4DD0C10F" w14:textId="77777777" w:rsidTr="006F5124">
        <w:trPr>
          <w:trHeight w:val="260"/>
        </w:trPr>
        <w:tc>
          <w:tcPr>
            <w:tcW w:w="7208" w:type="dxa"/>
            <w:tcBorders>
              <w:top w:val="nil"/>
              <w:left w:val="nil"/>
              <w:bottom w:val="nil"/>
              <w:right w:val="nil"/>
            </w:tcBorders>
            <w:shd w:val="clear" w:color="auto" w:fill="auto"/>
            <w:noWrap/>
            <w:hideMark/>
          </w:tcPr>
          <w:p w14:paraId="64AB7B0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hospital acquired</w:t>
            </w:r>
          </w:p>
        </w:tc>
        <w:tc>
          <w:tcPr>
            <w:tcW w:w="1685" w:type="dxa"/>
            <w:tcBorders>
              <w:top w:val="nil"/>
              <w:left w:val="nil"/>
              <w:bottom w:val="nil"/>
              <w:right w:val="nil"/>
            </w:tcBorders>
            <w:shd w:val="clear" w:color="auto" w:fill="auto"/>
            <w:noWrap/>
            <w:hideMark/>
          </w:tcPr>
          <w:p w14:paraId="219AFC2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877 (2.7%)</w:t>
            </w:r>
          </w:p>
        </w:tc>
        <w:tc>
          <w:tcPr>
            <w:tcW w:w="1685" w:type="dxa"/>
            <w:tcBorders>
              <w:top w:val="nil"/>
              <w:left w:val="nil"/>
              <w:bottom w:val="nil"/>
              <w:right w:val="nil"/>
            </w:tcBorders>
            <w:shd w:val="clear" w:color="auto" w:fill="auto"/>
            <w:noWrap/>
            <w:hideMark/>
          </w:tcPr>
          <w:p w14:paraId="51C84AB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1,404 (3.3%)</w:t>
            </w:r>
          </w:p>
        </w:tc>
        <w:tc>
          <w:tcPr>
            <w:tcW w:w="1657" w:type="dxa"/>
            <w:tcBorders>
              <w:top w:val="nil"/>
              <w:left w:val="nil"/>
              <w:bottom w:val="nil"/>
              <w:right w:val="nil"/>
            </w:tcBorders>
            <w:shd w:val="clear" w:color="auto" w:fill="auto"/>
            <w:noWrap/>
            <w:hideMark/>
          </w:tcPr>
          <w:p w14:paraId="0BE84E6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14,591 (20.4%)</w:t>
            </w:r>
          </w:p>
        </w:tc>
        <w:tc>
          <w:tcPr>
            <w:tcW w:w="1574" w:type="dxa"/>
            <w:tcBorders>
              <w:top w:val="nil"/>
              <w:left w:val="nil"/>
              <w:bottom w:val="nil"/>
              <w:right w:val="nil"/>
            </w:tcBorders>
            <w:shd w:val="clear" w:color="auto" w:fill="auto"/>
            <w:noWrap/>
            <w:hideMark/>
          </w:tcPr>
          <w:p w14:paraId="6A1507D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15,844 (14.8%)</w:t>
            </w:r>
          </w:p>
        </w:tc>
        <w:tc>
          <w:tcPr>
            <w:tcW w:w="1574" w:type="dxa"/>
            <w:tcBorders>
              <w:top w:val="nil"/>
              <w:left w:val="nil"/>
              <w:bottom w:val="nil"/>
              <w:right w:val="nil"/>
            </w:tcBorders>
            <w:shd w:val="clear" w:color="auto" w:fill="auto"/>
            <w:noWrap/>
            <w:hideMark/>
          </w:tcPr>
          <w:p w14:paraId="43DB441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362 (1.3%)</w:t>
            </w:r>
          </w:p>
        </w:tc>
      </w:tr>
      <w:tr w:rsidR="006B6C8D" w:rsidRPr="009252A2" w14:paraId="3EAC4FA7" w14:textId="77777777" w:rsidTr="006F5124">
        <w:trPr>
          <w:trHeight w:val="260"/>
        </w:trPr>
        <w:tc>
          <w:tcPr>
            <w:tcW w:w="7208" w:type="dxa"/>
            <w:tcBorders>
              <w:top w:val="nil"/>
              <w:left w:val="nil"/>
              <w:bottom w:val="nil"/>
              <w:right w:val="nil"/>
            </w:tcBorders>
            <w:shd w:val="clear" w:color="auto" w:fill="auto"/>
            <w:noWrap/>
            <w:hideMark/>
          </w:tcPr>
          <w:p w14:paraId="5C8B42F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both</w:t>
            </w:r>
          </w:p>
        </w:tc>
        <w:tc>
          <w:tcPr>
            <w:tcW w:w="1685" w:type="dxa"/>
            <w:tcBorders>
              <w:top w:val="nil"/>
              <w:left w:val="nil"/>
              <w:bottom w:val="nil"/>
              <w:right w:val="nil"/>
            </w:tcBorders>
            <w:shd w:val="clear" w:color="auto" w:fill="auto"/>
            <w:noWrap/>
            <w:hideMark/>
          </w:tcPr>
          <w:p w14:paraId="659450B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43 (0.1%)</w:t>
            </w:r>
          </w:p>
        </w:tc>
        <w:tc>
          <w:tcPr>
            <w:tcW w:w="1685" w:type="dxa"/>
            <w:tcBorders>
              <w:top w:val="nil"/>
              <w:left w:val="nil"/>
              <w:bottom w:val="nil"/>
              <w:right w:val="nil"/>
            </w:tcBorders>
            <w:shd w:val="clear" w:color="auto" w:fill="auto"/>
            <w:noWrap/>
            <w:hideMark/>
          </w:tcPr>
          <w:p w14:paraId="05E8B68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145 (0.3%)</w:t>
            </w:r>
          </w:p>
        </w:tc>
        <w:tc>
          <w:tcPr>
            <w:tcW w:w="1657" w:type="dxa"/>
            <w:tcBorders>
              <w:top w:val="nil"/>
              <w:left w:val="nil"/>
              <w:bottom w:val="nil"/>
              <w:right w:val="nil"/>
            </w:tcBorders>
            <w:shd w:val="clear" w:color="auto" w:fill="auto"/>
            <w:noWrap/>
            <w:hideMark/>
          </w:tcPr>
          <w:p w14:paraId="4BAE0D5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504 (0.7%)</w:t>
            </w:r>
          </w:p>
        </w:tc>
        <w:tc>
          <w:tcPr>
            <w:tcW w:w="1574" w:type="dxa"/>
            <w:tcBorders>
              <w:top w:val="nil"/>
              <w:left w:val="nil"/>
              <w:bottom w:val="nil"/>
              <w:right w:val="nil"/>
            </w:tcBorders>
            <w:shd w:val="clear" w:color="auto" w:fill="auto"/>
            <w:noWrap/>
            <w:hideMark/>
          </w:tcPr>
          <w:p w14:paraId="6F41947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504 (0.5%)</w:t>
            </w:r>
          </w:p>
        </w:tc>
        <w:tc>
          <w:tcPr>
            <w:tcW w:w="1574" w:type="dxa"/>
            <w:tcBorders>
              <w:top w:val="nil"/>
              <w:left w:val="nil"/>
              <w:bottom w:val="nil"/>
              <w:right w:val="nil"/>
            </w:tcBorders>
            <w:shd w:val="clear" w:color="auto" w:fill="auto"/>
            <w:noWrap/>
            <w:hideMark/>
          </w:tcPr>
          <w:p w14:paraId="41E9BAB3" w14:textId="257BB8D3"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xml:space="preserve">56 </w:t>
            </w:r>
            <w:r w:rsidR="00E7181E" w:rsidRPr="009252A2">
              <w:rPr>
                <w:rFonts w:ascii="Calibri" w:hAnsi="Calibri" w:cs="Calibri"/>
                <w:sz w:val="20"/>
                <w:szCs w:val="20"/>
              </w:rPr>
              <w:t>(0.2</w:t>
            </w:r>
            <w:r w:rsidRPr="009252A2">
              <w:rPr>
                <w:rFonts w:ascii="Calibri" w:hAnsi="Calibri" w:cs="Calibri"/>
                <w:sz w:val="20"/>
                <w:szCs w:val="20"/>
              </w:rPr>
              <w:t>%)</w:t>
            </w:r>
          </w:p>
        </w:tc>
      </w:tr>
      <w:tr w:rsidR="006B6C8D" w:rsidRPr="009252A2" w14:paraId="5A1C4DF6" w14:textId="77777777" w:rsidTr="006F5124">
        <w:trPr>
          <w:trHeight w:val="260"/>
        </w:trPr>
        <w:tc>
          <w:tcPr>
            <w:tcW w:w="7208" w:type="dxa"/>
            <w:tcBorders>
              <w:top w:val="nil"/>
              <w:left w:val="nil"/>
              <w:bottom w:val="nil"/>
              <w:right w:val="nil"/>
            </w:tcBorders>
            <w:shd w:val="clear" w:color="auto" w:fill="auto"/>
            <w:noWrap/>
            <w:hideMark/>
          </w:tcPr>
          <w:p w14:paraId="73787F59"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Maternal sepsis, n(%)</w:t>
            </w:r>
          </w:p>
        </w:tc>
        <w:tc>
          <w:tcPr>
            <w:tcW w:w="1685" w:type="dxa"/>
            <w:tcBorders>
              <w:top w:val="nil"/>
              <w:left w:val="nil"/>
              <w:bottom w:val="nil"/>
              <w:right w:val="nil"/>
            </w:tcBorders>
            <w:shd w:val="clear" w:color="auto" w:fill="auto"/>
            <w:noWrap/>
            <w:hideMark/>
          </w:tcPr>
          <w:p w14:paraId="70BA76A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155 (1.1%)</w:t>
            </w:r>
          </w:p>
        </w:tc>
        <w:tc>
          <w:tcPr>
            <w:tcW w:w="1685" w:type="dxa"/>
            <w:tcBorders>
              <w:top w:val="nil"/>
              <w:left w:val="nil"/>
              <w:bottom w:val="nil"/>
              <w:right w:val="nil"/>
            </w:tcBorders>
            <w:shd w:val="clear" w:color="auto" w:fill="auto"/>
            <w:noWrap/>
            <w:hideMark/>
          </w:tcPr>
          <w:p w14:paraId="3C68136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1,407 (7.1%)</w:t>
            </w:r>
          </w:p>
        </w:tc>
        <w:tc>
          <w:tcPr>
            <w:tcW w:w="1657" w:type="dxa"/>
            <w:tcBorders>
              <w:top w:val="nil"/>
              <w:left w:val="nil"/>
              <w:bottom w:val="nil"/>
              <w:right w:val="nil"/>
            </w:tcBorders>
            <w:shd w:val="clear" w:color="auto" w:fill="auto"/>
            <w:noWrap/>
            <w:hideMark/>
          </w:tcPr>
          <w:p w14:paraId="7FBE468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1,792 (5.6%)</w:t>
            </w:r>
          </w:p>
        </w:tc>
        <w:tc>
          <w:tcPr>
            <w:tcW w:w="1574" w:type="dxa"/>
            <w:tcBorders>
              <w:top w:val="nil"/>
              <w:left w:val="nil"/>
              <w:bottom w:val="nil"/>
              <w:right w:val="nil"/>
            </w:tcBorders>
            <w:shd w:val="clear" w:color="auto" w:fill="auto"/>
            <w:noWrap/>
            <w:hideMark/>
          </w:tcPr>
          <w:p w14:paraId="41A5055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3,026 (6.2%)</w:t>
            </w:r>
          </w:p>
        </w:tc>
        <w:tc>
          <w:tcPr>
            <w:tcW w:w="1574" w:type="dxa"/>
            <w:tcBorders>
              <w:top w:val="nil"/>
              <w:left w:val="nil"/>
              <w:bottom w:val="nil"/>
              <w:right w:val="nil"/>
            </w:tcBorders>
            <w:shd w:val="clear" w:color="auto" w:fill="auto"/>
            <w:noWrap/>
            <w:hideMark/>
          </w:tcPr>
          <w:p w14:paraId="72CA689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167 (1.4%)</w:t>
            </w:r>
          </w:p>
        </w:tc>
      </w:tr>
      <w:tr w:rsidR="006B6C8D" w:rsidRPr="009252A2" w14:paraId="5BA1D53A" w14:textId="77777777" w:rsidTr="006F5124">
        <w:trPr>
          <w:trHeight w:val="260"/>
        </w:trPr>
        <w:tc>
          <w:tcPr>
            <w:tcW w:w="7208" w:type="dxa"/>
            <w:tcBorders>
              <w:top w:val="nil"/>
              <w:left w:val="nil"/>
              <w:bottom w:val="nil"/>
              <w:right w:val="nil"/>
            </w:tcBorders>
            <w:shd w:val="clear" w:color="auto" w:fill="auto"/>
            <w:noWrap/>
            <w:hideMark/>
          </w:tcPr>
          <w:p w14:paraId="0AE7CB2F"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Sepsis as principal diagnosis, n(%)</w:t>
            </w:r>
          </w:p>
        </w:tc>
        <w:tc>
          <w:tcPr>
            <w:tcW w:w="1685" w:type="dxa"/>
            <w:tcBorders>
              <w:top w:val="nil"/>
              <w:left w:val="nil"/>
              <w:bottom w:val="nil"/>
              <w:right w:val="nil"/>
            </w:tcBorders>
            <w:shd w:val="clear" w:color="auto" w:fill="auto"/>
            <w:noWrap/>
            <w:hideMark/>
          </w:tcPr>
          <w:p w14:paraId="796A845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3,798 (11.5%)</w:t>
            </w:r>
          </w:p>
        </w:tc>
        <w:tc>
          <w:tcPr>
            <w:tcW w:w="1685" w:type="dxa"/>
            <w:tcBorders>
              <w:top w:val="nil"/>
              <w:left w:val="nil"/>
              <w:bottom w:val="nil"/>
              <w:right w:val="nil"/>
            </w:tcBorders>
            <w:shd w:val="clear" w:color="auto" w:fill="auto"/>
            <w:noWrap/>
            <w:hideMark/>
          </w:tcPr>
          <w:p w14:paraId="0664F02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42,926 (100%)</w:t>
            </w:r>
          </w:p>
        </w:tc>
        <w:tc>
          <w:tcPr>
            <w:tcW w:w="1657" w:type="dxa"/>
            <w:tcBorders>
              <w:top w:val="nil"/>
              <w:left w:val="nil"/>
              <w:bottom w:val="nil"/>
              <w:right w:val="nil"/>
            </w:tcBorders>
            <w:shd w:val="clear" w:color="auto" w:fill="auto"/>
            <w:noWrap/>
            <w:hideMark/>
          </w:tcPr>
          <w:p w14:paraId="695CDDB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7,371 (10.3%)</w:t>
            </w:r>
          </w:p>
        </w:tc>
        <w:tc>
          <w:tcPr>
            <w:tcW w:w="1574" w:type="dxa"/>
            <w:tcBorders>
              <w:top w:val="nil"/>
              <w:left w:val="nil"/>
              <w:bottom w:val="nil"/>
              <w:right w:val="nil"/>
            </w:tcBorders>
            <w:shd w:val="clear" w:color="auto" w:fill="auto"/>
            <w:noWrap/>
            <w:hideMark/>
          </w:tcPr>
          <w:p w14:paraId="2AB239A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42,926 (40.1%)</w:t>
            </w:r>
          </w:p>
        </w:tc>
        <w:tc>
          <w:tcPr>
            <w:tcW w:w="1574" w:type="dxa"/>
            <w:tcBorders>
              <w:top w:val="nil"/>
              <w:left w:val="nil"/>
              <w:bottom w:val="nil"/>
              <w:right w:val="nil"/>
            </w:tcBorders>
            <w:shd w:val="clear" w:color="auto" w:fill="auto"/>
            <w:noWrap/>
            <w:hideMark/>
          </w:tcPr>
          <w:p w14:paraId="125B824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3,724 (13.7%)</w:t>
            </w:r>
          </w:p>
        </w:tc>
      </w:tr>
      <w:tr w:rsidR="006B6C8D" w:rsidRPr="009252A2" w14:paraId="5F1498AC" w14:textId="77777777" w:rsidTr="006F5124">
        <w:trPr>
          <w:trHeight w:val="260"/>
        </w:trPr>
        <w:tc>
          <w:tcPr>
            <w:tcW w:w="7208" w:type="dxa"/>
            <w:tcBorders>
              <w:top w:val="nil"/>
              <w:left w:val="nil"/>
              <w:bottom w:val="nil"/>
              <w:right w:val="nil"/>
            </w:tcBorders>
            <w:shd w:val="clear" w:color="auto" w:fill="auto"/>
            <w:noWrap/>
            <w:hideMark/>
          </w:tcPr>
          <w:p w14:paraId="6A7E0070"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Top 3 non-sepsis principal diagnoses, n(%)</w:t>
            </w:r>
          </w:p>
        </w:tc>
        <w:tc>
          <w:tcPr>
            <w:tcW w:w="1685" w:type="dxa"/>
            <w:tcBorders>
              <w:top w:val="nil"/>
              <w:left w:val="nil"/>
              <w:bottom w:val="nil"/>
              <w:right w:val="nil"/>
            </w:tcBorders>
            <w:shd w:val="clear" w:color="auto" w:fill="auto"/>
            <w:noWrap/>
            <w:hideMark/>
          </w:tcPr>
          <w:p w14:paraId="7EE3B7E1"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011221DC"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2FA9B6C9" w14:textId="77777777" w:rsidR="006B6C8D" w:rsidRPr="009252A2" w:rsidRDefault="006B6C8D" w:rsidP="006F5124">
            <w:pPr>
              <w:spacing w:after="0"/>
              <w:jc w:val="right"/>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1CD609E6" w14:textId="77777777" w:rsidR="006B6C8D" w:rsidRPr="009252A2" w:rsidRDefault="006B6C8D" w:rsidP="006F5124">
            <w:pPr>
              <w:spacing w:after="0"/>
              <w:jc w:val="right"/>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5A468978" w14:textId="77777777" w:rsidR="006B6C8D" w:rsidRPr="009252A2" w:rsidRDefault="006B6C8D" w:rsidP="006F5124">
            <w:pPr>
              <w:spacing w:after="0"/>
              <w:jc w:val="right"/>
              <w:rPr>
                <w:rFonts w:ascii="Times New Roman" w:hAnsi="Times New Roman"/>
                <w:sz w:val="20"/>
                <w:szCs w:val="20"/>
              </w:rPr>
            </w:pPr>
          </w:p>
        </w:tc>
      </w:tr>
      <w:tr w:rsidR="006B6C8D" w:rsidRPr="009252A2" w14:paraId="29597273" w14:textId="77777777" w:rsidTr="006F5124">
        <w:trPr>
          <w:trHeight w:val="260"/>
        </w:trPr>
        <w:tc>
          <w:tcPr>
            <w:tcW w:w="7208" w:type="dxa"/>
            <w:tcBorders>
              <w:top w:val="nil"/>
              <w:left w:val="nil"/>
              <w:bottom w:val="nil"/>
              <w:right w:val="nil"/>
            </w:tcBorders>
            <w:shd w:val="clear" w:color="auto" w:fill="auto"/>
            <w:noWrap/>
            <w:hideMark/>
          </w:tcPr>
          <w:p w14:paraId="3431D90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Cellulitis of lower limb (L0313)</w:t>
            </w:r>
          </w:p>
        </w:tc>
        <w:tc>
          <w:tcPr>
            <w:tcW w:w="1685" w:type="dxa"/>
            <w:tcBorders>
              <w:top w:val="nil"/>
              <w:left w:val="nil"/>
              <w:bottom w:val="nil"/>
              <w:right w:val="nil"/>
            </w:tcBorders>
            <w:shd w:val="clear" w:color="auto" w:fill="auto"/>
            <w:noWrap/>
            <w:hideMark/>
          </w:tcPr>
          <w:p w14:paraId="775E98A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0313661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1A3F1F3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029CA18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4DED72C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437 (1.6%)</w:t>
            </w:r>
          </w:p>
        </w:tc>
      </w:tr>
      <w:tr w:rsidR="006B6C8D" w:rsidRPr="009252A2" w14:paraId="17B26D15" w14:textId="77777777" w:rsidTr="006F5124">
        <w:trPr>
          <w:trHeight w:val="260"/>
        </w:trPr>
        <w:tc>
          <w:tcPr>
            <w:tcW w:w="7208" w:type="dxa"/>
            <w:tcBorders>
              <w:top w:val="nil"/>
              <w:left w:val="nil"/>
              <w:bottom w:val="nil"/>
              <w:right w:val="nil"/>
            </w:tcBorders>
            <w:shd w:val="clear" w:color="auto" w:fill="auto"/>
            <w:noWrap/>
            <w:hideMark/>
          </w:tcPr>
          <w:p w14:paraId="67885FB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Congestive heart failure (I500)</w:t>
            </w:r>
          </w:p>
        </w:tc>
        <w:tc>
          <w:tcPr>
            <w:tcW w:w="1685" w:type="dxa"/>
            <w:tcBorders>
              <w:top w:val="nil"/>
              <w:left w:val="nil"/>
              <w:bottom w:val="nil"/>
              <w:right w:val="nil"/>
            </w:tcBorders>
            <w:shd w:val="clear" w:color="auto" w:fill="auto"/>
            <w:noWrap/>
            <w:hideMark/>
          </w:tcPr>
          <w:p w14:paraId="75CC192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512 (1.6%)</w:t>
            </w:r>
          </w:p>
        </w:tc>
        <w:tc>
          <w:tcPr>
            <w:tcW w:w="1685" w:type="dxa"/>
            <w:tcBorders>
              <w:top w:val="nil"/>
              <w:left w:val="nil"/>
              <w:bottom w:val="nil"/>
              <w:right w:val="nil"/>
            </w:tcBorders>
            <w:shd w:val="clear" w:color="auto" w:fill="auto"/>
            <w:noWrap/>
            <w:hideMark/>
          </w:tcPr>
          <w:p w14:paraId="31EE308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19C7B36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1D398D5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43F1360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06F6EE75" w14:textId="77777777" w:rsidTr="006F5124">
        <w:trPr>
          <w:trHeight w:val="260"/>
        </w:trPr>
        <w:tc>
          <w:tcPr>
            <w:tcW w:w="7208" w:type="dxa"/>
            <w:tcBorders>
              <w:top w:val="nil"/>
              <w:left w:val="nil"/>
              <w:bottom w:val="nil"/>
              <w:right w:val="nil"/>
            </w:tcBorders>
            <w:shd w:val="clear" w:color="auto" w:fill="auto"/>
            <w:noWrap/>
            <w:hideMark/>
          </w:tcPr>
          <w:p w14:paraId="330F7D7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Pneumonia, unspecified (J189)</w:t>
            </w:r>
          </w:p>
        </w:tc>
        <w:tc>
          <w:tcPr>
            <w:tcW w:w="1685" w:type="dxa"/>
            <w:tcBorders>
              <w:top w:val="nil"/>
              <w:left w:val="nil"/>
              <w:bottom w:val="nil"/>
              <w:right w:val="nil"/>
            </w:tcBorders>
            <w:shd w:val="clear" w:color="auto" w:fill="auto"/>
            <w:noWrap/>
            <w:hideMark/>
          </w:tcPr>
          <w:p w14:paraId="744E33D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736 (2.2%)</w:t>
            </w:r>
          </w:p>
        </w:tc>
        <w:tc>
          <w:tcPr>
            <w:tcW w:w="1685" w:type="dxa"/>
            <w:tcBorders>
              <w:top w:val="nil"/>
              <w:left w:val="nil"/>
              <w:bottom w:val="nil"/>
              <w:right w:val="nil"/>
            </w:tcBorders>
            <w:shd w:val="clear" w:color="auto" w:fill="auto"/>
            <w:noWrap/>
            <w:hideMark/>
          </w:tcPr>
          <w:p w14:paraId="7726F27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2C302D0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4,015 (5.6%)</w:t>
            </w:r>
          </w:p>
        </w:tc>
        <w:tc>
          <w:tcPr>
            <w:tcW w:w="1574" w:type="dxa"/>
            <w:tcBorders>
              <w:top w:val="nil"/>
              <w:left w:val="nil"/>
              <w:bottom w:val="nil"/>
              <w:right w:val="nil"/>
            </w:tcBorders>
            <w:shd w:val="clear" w:color="auto" w:fill="auto"/>
            <w:noWrap/>
            <w:hideMark/>
          </w:tcPr>
          <w:p w14:paraId="4F3C13C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4,015 (3.7%)</w:t>
            </w:r>
          </w:p>
        </w:tc>
        <w:tc>
          <w:tcPr>
            <w:tcW w:w="1574" w:type="dxa"/>
            <w:tcBorders>
              <w:top w:val="nil"/>
              <w:left w:val="nil"/>
              <w:bottom w:val="nil"/>
              <w:right w:val="nil"/>
            </w:tcBorders>
            <w:shd w:val="clear" w:color="auto" w:fill="auto"/>
            <w:noWrap/>
            <w:hideMark/>
          </w:tcPr>
          <w:p w14:paraId="4ECF6F8A"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772 (2.8%)</w:t>
            </w:r>
          </w:p>
        </w:tc>
      </w:tr>
      <w:tr w:rsidR="006B6C8D" w:rsidRPr="009252A2" w14:paraId="332E9AD7" w14:textId="77777777" w:rsidTr="006F5124">
        <w:trPr>
          <w:trHeight w:val="260"/>
        </w:trPr>
        <w:tc>
          <w:tcPr>
            <w:tcW w:w="7208" w:type="dxa"/>
            <w:tcBorders>
              <w:top w:val="nil"/>
              <w:left w:val="nil"/>
              <w:bottom w:val="nil"/>
              <w:right w:val="nil"/>
            </w:tcBorders>
            <w:shd w:val="clear" w:color="auto" w:fill="auto"/>
            <w:noWrap/>
            <w:hideMark/>
          </w:tcPr>
          <w:p w14:paraId="4A26B28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Preterm infant, 32 or more completed weeks but less than 37 completed weeks (P0732)</w:t>
            </w:r>
          </w:p>
        </w:tc>
        <w:tc>
          <w:tcPr>
            <w:tcW w:w="1685" w:type="dxa"/>
            <w:tcBorders>
              <w:top w:val="nil"/>
              <w:left w:val="nil"/>
              <w:bottom w:val="nil"/>
              <w:right w:val="nil"/>
            </w:tcBorders>
            <w:shd w:val="clear" w:color="auto" w:fill="auto"/>
            <w:noWrap/>
            <w:hideMark/>
          </w:tcPr>
          <w:p w14:paraId="499ADAF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54CE7F2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10F1FEE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1,525 (2.1%)</w:t>
            </w:r>
          </w:p>
        </w:tc>
        <w:tc>
          <w:tcPr>
            <w:tcW w:w="1574" w:type="dxa"/>
            <w:tcBorders>
              <w:top w:val="nil"/>
              <w:left w:val="nil"/>
              <w:bottom w:val="nil"/>
              <w:right w:val="nil"/>
            </w:tcBorders>
            <w:shd w:val="clear" w:color="auto" w:fill="auto"/>
            <w:noWrap/>
            <w:hideMark/>
          </w:tcPr>
          <w:p w14:paraId="2ECD7D3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1,525 (1.4%)</w:t>
            </w:r>
          </w:p>
        </w:tc>
        <w:tc>
          <w:tcPr>
            <w:tcW w:w="1574" w:type="dxa"/>
            <w:tcBorders>
              <w:top w:val="nil"/>
              <w:left w:val="nil"/>
              <w:bottom w:val="nil"/>
              <w:right w:val="nil"/>
            </w:tcBorders>
            <w:shd w:val="clear" w:color="auto" w:fill="auto"/>
            <w:noWrap/>
            <w:hideMark/>
          </w:tcPr>
          <w:p w14:paraId="1C48E2B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2649EF3A" w14:textId="77777777" w:rsidTr="006F5124">
        <w:trPr>
          <w:trHeight w:val="260"/>
        </w:trPr>
        <w:tc>
          <w:tcPr>
            <w:tcW w:w="7208" w:type="dxa"/>
            <w:tcBorders>
              <w:top w:val="nil"/>
              <w:left w:val="nil"/>
              <w:bottom w:val="nil"/>
              <w:right w:val="nil"/>
            </w:tcBorders>
            <w:shd w:val="clear" w:color="auto" w:fill="auto"/>
            <w:noWrap/>
            <w:hideMark/>
          </w:tcPr>
          <w:p w14:paraId="1DF6F67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Urinary tract infection, site not specified (N390)</w:t>
            </w:r>
          </w:p>
        </w:tc>
        <w:tc>
          <w:tcPr>
            <w:tcW w:w="1685" w:type="dxa"/>
            <w:tcBorders>
              <w:top w:val="nil"/>
              <w:left w:val="nil"/>
              <w:bottom w:val="nil"/>
              <w:right w:val="nil"/>
            </w:tcBorders>
            <w:shd w:val="clear" w:color="auto" w:fill="auto"/>
            <w:noWrap/>
            <w:hideMark/>
          </w:tcPr>
          <w:p w14:paraId="2659C3D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941 (2.9%)</w:t>
            </w:r>
          </w:p>
        </w:tc>
        <w:tc>
          <w:tcPr>
            <w:tcW w:w="1685" w:type="dxa"/>
            <w:tcBorders>
              <w:top w:val="nil"/>
              <w:left w:val="nil"/>
              <w:bottom w:val="nil"/>
              <w:right w:val="nil"/>
            </w:tcBorders>
            <w:shd w:val="clear" w:color="auto" w:fill="auto"/>
            <w:noWrap/>
            <w:hideMark/>
          </w:tcPr>
          <w:p w14:paraId="5CBBDB9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2DE2FAD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4,056 (5.7%)</w:t>
            </w:r>
          </w:p>
        </w:tc>
        <w:tc>
          <w:tcPr>
            <w:tcW w:w="1574" w:type="dxa"/>
            <w:tcBorders>
              <w:top w:val="nil"/>
              <w:left w:val="nil"/>
              <w:bottom w:val="nil"/>
              <w:right w:val="nil"/>
            </w:tcBorders>
            <w:shd w:val="clear" w:color="auto" w:fill="auto"/>
            <w:noWrap/>
            <w:hideMark/>
          </w:tcPr>
          <w:p w14:paraId="77BD76D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4,056 (3.8%)</w:t>
            </w:r>
          </w:p>
        </w:tc>
        <w:tc>
          <w:tcPr>
            <w:tcW w:w="1574" w:type="dxa"/>
            <w:tcBorders>
              <w:top w:val="nil"/>
              <w:left w:val="nil"/>
              <w:bottom w:val="nil"/>
              <w:right w:val="nil"/>
            </w:tcBorders>
            <w:shd w:val="clear" w:color="auto" w:fill="auto"/>
            <w:noWrap/>
            <w:hideMark/>
          </w:tcPr>
          <w:p w14:paraId="3A8548E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756 (2.8%)</w:t>
            </w:r>
          </w:p>
        </w:tc>
      </w:tr>
      <w:tr w:rsidR="006B6C8D" w:rsidRPr="009252A2" w14:paraId="32BC6EBB" w14:textId="77777777" w:rsidTr="006F5124">
        <w:trPr>
          <w:trHeight w:val="260"/>
        </w:trPr>
        <w:tc>
          <w:tcPr>
            <w:tcW w:w="7208" w:type="dxa"/>
            <w:tcBorders>
              <w:top w:val="nil"/>
              <w:left w:val="nil"/>
              <w:bottom w:val="nil"/>
              <w:right w:val="nil"/>
            </w:tcBorders>
            <w:shd w:val="clear" w:color="auto" w:fill="auto"/>
            <w:noWrap/>
            <w:hideMark/>
          </w:tcPr>
          <w:p w14:paraId="7D6B57D6"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Diagnostic Related Group type, n(%)</w:t>
            </w:r>
          </w:p>
        </w:tc>
        <w:tc>
          <w:tcPr>
            <w:tcW w:w="1685" w:type="dxa"/>
            <w:tcBorders>
              <w:top w:val="nil"/>
              <w:left w:val="nil"/>
              <w:bottom w:val="nil"/>
              <w:right w:val="nil"/>
            </w:tcBorders>
            <w:shd w:val="clear" w:color="auto" w:fill="auto"/>
            <w:noWrap/>
            <w:hideMark/>
          </w:tcPr>
          <w:p w14:paraId="1A15AFCB"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4D05CCBF"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728C9898"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16C6FDED"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6B082691" w14:textId="77777777" w:rsidR="006B6C8D" w:rsidRPr="009252A2" w:rsidRDefault="006B6C8D" w:rsidP="006F5124">
            <w:pPr>
              <w:spacing w:after="0"/>
              <w:rPr>
                <w:rFonts w:ascii="Times New Roman" w:hAnsi="Times New Roman"/>
                <w:sz w:val="20"/>
                <w:szCs w:val="20"/>
              </w:rPr>
            </w:pPr>
          </w:p>
        </w:tc>
      </w:tr>
      <w:tr w:rsidR="006B6C8D" w:rsidRPr="009252A2" w14:paraId="47AFD586" w14:textId="77777777" w:rsidTr="006F5124">
        <w:trPr>
          <w:trHeight w:val="260"/>
        </w:trPr>
        <w:tc>
          <w:tcPr>
            <w:tcW w:w="7208" w:type="dxa"/>
            <w:tcBorders>
              <w:top w:val="nil"/>
              <w:left w:val="nil"/>
              <w:bottom w:val="nil"/>
              <w:right w:val="nil"/>
            </w:tcBorders>
            <w:shd w:val="clear" w:color="auto" w:fill="auto"/>
            <w:noWrap/>
            <w:hideMark/>
          </w:tcPr>
          <w:p w14:paraId="01F0BEB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surgical</w:t>
            </w:r>
          </w:p>
        </w:tc>
        <w:tc>
          <w:tcPr>
            <w:tcW w:w="1685" w:type="dxa"/>
            <w:tcBorders>
              <w:top w:val="nil"/>
              <w:left w:val="nil"/>
              <w:bottom w:val="nil"/>
              <w:right w:val="nil"/>
            </w:tcBorders>
            <w:shd w:val="clear" w:color="auto" w:fill="auto"/>
            <w:noWrap/>
            <w:hideMark/>
          </w:tcPr>
          <w:p w14:paraId="0BD0867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4,589 (13.9%)</w:t>
            </w:r>
          </w:p>
        </w:tc>
        <w:tc>
          <w:tcPr>
            <w:tcW w:w="1685" w:type="dxa"/>
            <w:tcBorders>
              <w:top w:val="nil"/>
              <w:left w:val="nil"/>
              <w:bottom w:val="nil"/>
              <w:right w:val="nil"/>
            </w:tcBorders>
            <w:shd w:val="clear" w:color="auto" w:fill="auto"/>
            <w:noWrap/>
            <w:hideMark/>
          </w:tcPr>
          <w:p w14:paraId="59C22D0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2,645 (6.2%)</w:t>
            </w:r>
          </w:p>
        </w:tc>
        <w:tc>
          <w:tcPr>
            <w:tcW w:w="1657" w:type="dxa"/>
            <w:tcBorders>
              <w:top w:val="nil"/>
              <w:left w:val="nil"/>
              <w:bottom w:val="nil"/>
              <w:right w:val="nil"/>
            </w:tcBorders>
            <w:shd w:val="clear" w:color="auto" w:fill="auto"/>
            <w:noWrap/>
            <w:hideMark/>
          </w:tcPr>
          <w:p w14:paraId="0945B10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16,806 (23.5%)</w:t>
            </w:r>
          </w:p>
        </w:tc>
        <w:tc>
          <w:tcPr>
            <w:tcW w:w="1574" w:type="dxa"/>
            <w:tcBorders>
              <w:top w:val="nil"/>
              <w:left w:val="nil"/>
              <w:bottom w:val="nil"/>
              <w:right w:val="nil"/>
            </w:tcBorders>
            <w:shd w:val="clear" w:color="auto" w:fill="auto"/>
            <w:noWrap/>
            <w:hideMark/>
          </w:tcPr>
          <w:p w14:paraId="51A47DF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18,334 (17.1%)</w:t>
            </w:r>
          </w:p>
        </w:tc>
        <w:tc>
          <w:tcPr>
            <w:tcW w:w="1574" w:type="dxa"/>
            <w:tcBorders>
              <w:top w:val="nil"/>
              <w:left w:val="nil"/>
              <w:bottom w:val="nil"/>
              <w:right w:val="nil"/>
            </w:tcBorders>
            <w:shd w:val="clear" w:color="auto" w:fill="auto"/>
            <w:noWrap/>
            <w:hideMark/>
          </w:tcPr>
          <w:p w14:paraId="2E81E15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3,902 (14.4%)</w:t>
            </w:r>
          </w:p>
        </w:tc>
      </w:tr>
      <w:tr w:rsidR="006B6C8D" w:rsidRPr="009252A2" w14:paraId="155BE090" w14:textId="77777777" w:rsidTr="006F5124">
        <w:trPr>
          <w:trHeight w:val="260"/>
        </w:trPr>
        <w:tc>
          <w:tcPr>
            <w:tcW w:w="7208" w:type="dxa"/>
            <w:tcBorders>
              <w:top w:val="nil"/>
              <w:left w:val="nil"/>
              <w:bottom w:val="nil"/>
              <w:right w:val="nil"/>
            </w:tcBorders>
            <w:shd w:val="clear" w:color="auto" w:fill="auto"/>
            <w:noWrap/>
            <w:hideMark/>
          </w:tcPr>
          <w:p w14:paraId="3F9F519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non-surgical</w:t>
            </w:r>
          </w:p>
        </w:tc>
        <w:tc>
          <w:tcPr>
            <w:tcW w:w="1685" w:type="dxa"/>
            <w:tcBorders>
              <w:top w:val="nil"/>
              <w:left w:val="nil"/>
              <w:bottom w:val="nil"/>
              <w:right w:val="nil"/>
            </w:tcBorders>
            <w:shd w:val="clear" w:color="auto" w:fill="auto"/>
            <w:noWrap/>
            <w:hideMark/>
          </w:tcPr>
          <w:p w14:paraId="5E0AEF5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28,337 (86.1%)</w:t>
            </w:r>
          </w:p>
        </w:tc>
        <w:tc>
          <w:tcPr>
            <w:tcW w:w="1685" w:type="dxa"/>
            <w:tcBorders>
              <w:top w:val="nil"/>
              <w:left w:val="nil"/>
              <w:bottom w:val="nil"/>
              <w:right w:val="nil"/>
            </w:tcBorders>
            <w:shd w:val="clear" w:color="auto" w:fill="auto"/>
            <w:noWrap/>
            <w:hideMark/>
          </w:tcPr>
          <w:p w14:paraId="648DC23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40,281 (93.8%)</w:t>
            </w:r>
          </w:p>
        </w:tc>
        <w:tc>
          <w:tcPr>
            <w:tcW w:w="1657" w:type="dxa"/>
            <w:tcBorders>
              <w:top w:val="nil"/>
              <w:left w:val="nil"/>
              <w:bottom w:val="nil"/>
              <w:right w:val="nil"/>
            </w:tcBorders>
            <w:shd w:val="clear" w:color="auto" w:fill="auto"/>
            <w:noWrap/>
            <w:hideMark/>
          </w:tcPr>
          <w:p w14:paraId="2D6176E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54,820 (76.5%)</w:t>
            </w:r>
          </w:p>
        </w:tc>
        <w:tc>
          <w:tcPr>
            <w:tcW w:w="1574" w:type="dxa"/>
            <w:tcBorders>
              <w:top w:val="nil"/>
              <w:left w:val="nil"/>
              <w:bottom w:val="nil"/>
              <w:right w:val="nil"/>
            </w:tcBorders>
            <w:shd w:val="clear" w:color="auto" w:fill="auto"/>
            <w:noWrap/>
            <w:hideMark/>
          </w:tcPr>
          <w:p w14:paraId="0F1A4B9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88,847 (82.9%)</w:t>
            </w:r>
          </w:p>
        </w:tc>
        <w:tc>
          <w:tcPr>
            <w:tcW w:w="1574" w:type="dxa"/>
            <w:tcBorders>
              <w:top w:val="nil"/>
              <w:left w:val="nil"/>
              <w:bottom w:val="nil"/>
              <w:right w:val="nil"/>
            </w:tcBorders>
            <w:shd w:val="clear" w:color="auto" w:fill="auto"/>
            <w:noWrap/>
            <w:hideMark/>
          </w:tcPr>
          <w:p w14:paraId="7ED3908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23,228 (85.6%)</w:t>
            </w:r>
          </w:p>
        </w:tc>
      </w:tr>
      <w:tr w:rsidR="006B6C8D" w:rsidRPr="009252A2" w14:paraId="6633FAEC" w14:textId="77777777" w:rsidTr="006F5124">
        <w:trPr>
          <w:trHeight w:val="260"/>
        </w:trPr>
        <w:tc>
          <w:tcPr>
            <w:tcW w:w="7208" w:type="dxa"/>
            <w:tcBorders>
              <w:top w:val="nil"/>
              <w:left w:val="nil"/>
              <w:bottom w:val="nil"/>
              <w:right w:val="nil"/>
            </w:tcBorders>
            <w:shd w:val="clear" w:color="auto" w:fill="auto"/>
            <w:noWrap/>
            <w:hideMark/>
          </w:tcPr>
          <w:p w14:paraId="00C2A83E"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Sepsis Diagnosis Related Group, n(%)</w:t>
            </w:r>
          </w:p>
        </w:tc>
        <w:tc>
          <w:tcPr>
            <w:tcW w:w="1685" w:type="dxa"/>
            <w:tcBorders>
              <w:top w:val="nil"/>
              <w:left w:val="nil"/>
              <w:bottom w:val="nil"/>
              <w:right w:val="nil"/>
            </w:tcBorders>
            <w:shd w:val="clear" w:color="auto" w:fill="auto"/>
            <w:noWrap/>
            <w:hideMark/>
          </w:tcPr>
          <w:p w14:paraId="46BD0147"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5BE6E7D2"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44583F3A"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087E690B"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74907DB8" w14:textId="77777777" w:rsidR="006B6C8D" w:rsidRPr="009252A2" w:rsidRDefault="006B6C8D" w:rsidP="006F5124">
            <w:pPr>
              <w:spacing w:after="0"/>
              <w:rPr>
                <w:rFonts w:ascii="Times New Roman" w:hAnsi="Times New Roman"/>
                <w:sz w:val="20"/>
                <w:szCs w:val="20"/>
              </w:rPr>
            </w:pPr>
          </w:p>
        </w:tc>
      </w:tr>
      <w:tr w:rsidR="006B6C8D" w:rsidRPr="009252A2" w14:paraId="60521B48" w14:textId="77777777" w:rsidTr="006F5124">
        <w:trPr>
          <w:trHeight w:val="260"/>
        </w:trPr>
        <w:tc>
          <w:tcPr>
            <w:tcW w:w="7208" w:type="dxa"/>
            <w:tcBorders>
              <w:top w:val="nil"/>
              <w:left w:val="nil"/>
              <w:bottom w:val="nil"/>
              <w:right w:val="nil"/>
            </w:tcBorders>
            <w:shd w:val="clear" w:color="auto" w:fill="auto"/>
            <w:noWrap/>
            <w:hideMark/>
          </w:tcPr>
          <w:p w14:paraId="732E0BF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T60A Septicaemia, Major Complexity</w:t>
            </w:r>
          </w:p>
        </w:tc>
        <w:tc>
          <w:tcPr>
            <w:tcW w:w="1685" w:type="dxa"/>
            <w:tcBorders>
              <w:top w:val="nil"/>
              <w:left w:val="nil"/>
              <w:bottom w:val="nil"/>
              <w:right w:val="nil"/>
            </w:tcBorders>
            <w:shd w:val="clear" w:color="auto" w:fill="auto"/>
            <w:noWrap/>
            <w:hideMark/>
          </w:tcPr>
          <w:p w14:paraId="488E19F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843 (2.6%)</w:t>
            </w:r>
          </w:p>
        </w:tc>
        <w:tc>
          <w:tcPr>
            <w:tcW w:w="1685" w:type="dxa"/>
            <w:tcBorders>
              <w:top w:val="nil"/>
              <w:left w:val="nil"/>
              <w:bottom w:val="nil"/>
              <w:right w:val="nil"/>
            </w:tcBorders>
            <w:shd w:val="clear" w:color="auto" w:fill="auto"/>
            <w:noWrap/>
            <w:hideMark/>
          </w:tcPr>
          <w:p w14:paraId="0E85D4F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8,291 (19.3%)</w:t>
            </w:r>
          </w:p>
        </w:tc>
        <w:tc>
          <w:tcPr>
            <w:tcW w:w="1657" w:type="dxa"/>
            <w:tcBorders>
              <w:top w:val="nil"/>
              <w:left w:val="nil"/>
              <w:bottom w:val="nil"/>
              <w:right w:val="nil"/>
            </w:tcBorders>
            <w:shd w:val="clear" w:color="auto" w:fill="auto"/>
            <w:noWrap/>
            <w:hideMark/>
          </w:tcPr>
          <w:p w14:paraId="3F4709B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2,176 (3.0%)</w:t>
            </w:r>
          </w:p>
        </w:tc>
        <w:tc>
          <w:tcPr>
            <w:tcW w:w="1574" w:type="dxa"/>
            <w:tcBorders>
              <w:top w:val="nil"/>
              <w:left w:val="nil"/>
              <w:bottom w:val="nil"/>
              <w:right w:val="nil"/>
            </w:tcBorders>
            <w:shd w:val="clear" w:color="auto" w:fill="auto"/>
            <w:noWrap/>
            <w:hideMark/>
          </w:tcPr>
          <w:p w14:paraId="234C044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8,302 (7.7%)</w:t>
            </w:r>
          </w:p>
        </w:tc>
        <w:tc>
          <w:tcPr>
            <w:tcW w:w="1574" w:type="dxa"/>
            <w:tcBorders>
              <w:top w:val="nil"/>
              <w:left w:val="nil"/>
              <w:bottom w:val="nil"/>
              <w:right w:val="nil"/>
            </w:tcBorders>
            <w:shd w:val="clear" w:color="auto" w:fill="auto"/>
            <w:noWrap/>
            <w:hideMark/>
          </w:tcPr>
          <w:p w14:paraId="364DC38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948 (3.5%)</w:t>
            </w:r>
          </w:p>
        </w:tc>
      </w:tr>
      <w:tr w:rsidR="006B6C8D" w:rsidRPr="009252A2" w14:paraId="300FBB07" w14:textId="77777777" w:rsidTr="006F5124">
        <w:trPr>
          <w:trHeight w:val="260"/>
        </w:trPr>
        <w:tc>
          <w:tcPr>
            <w:tcW w:w="7208" w:type="dxa"/>
            <w:tcBorders>
              <w:top w:val="nil"/>
              <w:left w:val="nil"/>
              <w:bottom w:val="nil"/>
              <w:right w:val="nil"/>
            </w:tcBorders>
            <w:shd w:val="clear" w:color="auto" w:fill="auto"/>
            <w:noWrap/>
            <w:hideMark/>
          </w:tcPr>
          <w:p w14:paraId="48ED76D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T60B Septicaemia, Intermediate Complexity</w:t>
            </w:r>
          </w:p>
        </w:tc>
        <w:tc>
          <w:tcPr>
            <w:tcW w:w="1685" w:type="dxa"/>
            <w:tcBorders>
              <w:top w:val="nil"/>
              <w:left w:val="nil"/>
              <w:bottom w:val="nil"/>
              <w:right w:val="nil"/>
            </w:tcBorders>
            <w:shd w:val="clear" w:color="auto" w:fill="auto"/>
            <w:noWrap/>
            <w:hideMark/>
          </w:tcPr>
          <w:p w14:paraId="58F40BB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1,174 (3.6%)</w:t>
            </w:r>
          </w:p>
        </w:tc>
        <w:tc>
          <w:tcPr>
            <w:tcW w:w="1685" w:type="dxa"/>
            <w:tcBorders>
              <w:top w:val="nil"/>
              <w:left w:val="nil"/>
              <w:bottom w:val="nil"/>
              <w:right w:val="nil"/>
            </w:tcBorders>
            <w:shd w:val="clear" w:color="auto" w:fill="auto"/>
            <w:noWrap/>
            <w:hideMark/>
          </w:tcPr>
          <w:p w14:paraId="2572328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12,978 (30.2%)</w:t>
            </w:r>
          </w:p>
        </w:tc>
        <w:tc>
          <w:tcPr>
            <w:tcW w:w="1657" w:type="dxa"/>
            <w:tcBorders>
              <w:top w:val="nil"/>
              <w:left w:val="nil"/>
              <w:bottom w:val="nil"/>
              <w:right w:val="nil"/>
            </w:tcBorders>
            <w:shd w:val="clear" w:color="auto" w:fill="auto"/>
            <w:noWrap/>
            <w:hideMark/>
          </w:tcPr>
          <w:p w14:paraId="2908ACE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2,058 (2.9%)</w:t>
            </w:r>
          </w:p>
        </w:tc>
        <w:tc>
          <w:tcPr>
            <w:tcW w:w="1574" w:type="dxa"/>
            <w:tcBorders>
              <w:top w:val="nil"/>
              <w:left w:val="nil"/>
              <w:bottom w:val="nil"/>
              <w:right w:val="nil"/>
            </w:tcBorders>
            <w:shd w:val="clear" w:color="auto" w:fill="auto"/>
            <w:noWrap/>
            <w:hideMark/>
          </w:tcPr>
          <w:p w14:paraId="4CDEB1B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12,988 (12.1%)</w:t>
            </w:r>
          </w:p>
        </w:tc>
        <w:tc>
          <w:tcPr>
            <w:tcW w:w="1574" w:type="dxa"/>
            <w:tcBorders>
              <w:top w:val="nil"/>
              <w:left w:val="nil"/>
              <w:bottom w:val="nil"/>
              <w:right w:val="nil"/>
            </w:tcBorders>
            <w:shd w:val="clear" w:color="auto" w:fill="auto"/>
            <w:noWrap/>
            <w:hideMark/>
          </w:tcPr>
          <w:p w14:paraId="1654034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1,080 (4.0%)</w:t>
            </w:r>
          </w:p>
        </w:tc>
      </w:tr>
      <w:tr w:rsidR="006B6C8D" w:rsidRPr="009252A2" w14:paraId="11955392" w14:textId="77777777" w:rsidTr="006F5124">
        <w:trPr>
          <w:trHeight w:val="260"/>
        </w:trPr>
        <w:tc>
          <w:tcPr>
            <w:tcW w:w="7208" w:type="dxa"/>
            <w:tcBorders>
              <w:top w:val="nil"/>
              <w:left w:val="nil"/>
              <w:bottom w:val="nil"/>
              <w:right w:val="nil"/>
            </w:tcBorders>
            <w:shd w:val="clear" w:color="auto" w:fill="auto"/>
            <w:noWrap/>
            <w:hideMark/>
          </w:tcPr>
          <w:p w14:paraId="6686C06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T60C Septicaemia, Minor Complexity</w:t>
            </w:r>
          </w:p>
        </w:tc>
        <w:tc>
          <w:tcPr>
            <w:tcW w:w="1685" w:type="dxa"/>
            <w:tcBorders>
              <w:top w:val="nil"/>
              <w:left w:val="nil"/>
              <w:bottom w:val="nil"/>
              <w:right w:val="nil"/>
            </w:tcBorders>
            <w:shd w:val="clear" w:color="auto" w:fill="auto"/>
            <w:noWrap/>
            <w:hideMark/>
          </w:tcPr>
          <w:p w14:paraId="5A90067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1,366 (4.1%)</w:t>
            </w:r>
          </w:p>
        </w:tc>
        <w:tc>
          <w:tcPr>
            <w:tcW w:w="1685" w:type="dxa"/>
            <w:tcBorders>
              <w:top w:val="nil"/>
              <w:left w:val="nil"/>
              <w:bottom w:val="nil"/>
              <w:right w:val="nil"/>
            </w:tcBorders>
            <w:shd w:val="clear" w:color="auto" w:fill="auto"/>
            <w:noWrap/>
            <w:hideMark/>
          </w:tcPr>
          <w:p w14:paraId="62559F6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13,759 (32.1%)</w:t>
            </w:r>
          </w:p>
        </w:tc>
        <w:tc>
          <w:tcPr>
            <w:tcW w:w="1657" w:type="dxa"/>
            <w:tcBorders>
              <w:top w:val="nil"/>
              <w:left w:val="nil"/>
              <w:bottom w:val="nil"/>
              <w:right w:val="nil"/>
            </w:tcBorders>
            <w:shd w:val="clear" w:color="auto" w:fill="auto"/>
            <w:noWrap/>
            <w:hideMark/>
          </w:tcPr>
          <w:p w14:paraId="09D23DB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1,523 (2.1%)</w:t>
            </w:r>
          </w:p>
        </w:tc>
        <w:tc>
          <w:tcPr>
            <w:tcW w:w="1574" w:type="dxa"/>
            <w:tcBorders>
              <w:top w:val="nil"/>
              <w:left w:val="nil"/>
              <w:bottom w:val="nil"/>
              <w:right w:val="nil"/>
            </w:tcBorders>
            <w:shd w:val="clear" w:color="auto" w:fill="auto"/>
            <w:noWrap/>
            <w:hideMark/>
          </w:tcPr>
          <w:p w14:paraId="6197626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13,768 (12.8%)</w:t>
            </w:r>
          </w:p>
        </w:tc>
        <w:tc>
          <w:tcPr>
            <w:tcW w:w="1574" w:type="dxa"/>
            <w:tcBorders>
              <w:top w:val="nil"/>
              <w:left w:val="nil"/>
              <w:bottom w:val="nil"/>
              <w:right w:val="nil"/>
            </w:tcBorders>
            <w:shd w:val="clear" w:color="auto" w:fill="auto"/>
            <w:noWrap/>
            <w:hideMark/>
          </w:tcPr>
          <w:p w14:paraId="07A64AE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1,114 (4.1%)</w:t>
            </w:r>
          </w:p>
        </w:tc>
      </w:tr>
      <w:tr w:rsidR="006B6C8D" w:rsidRPr="009252A2" w14:paraId="13F475F3" w14:textId="77777777" w:rsidTr="006F5124">
        <w:trPr>
          <w:trHeight w:val="260"/>
        </w:trPr>
        <w:tc>
          <w:tcPr>
            <w:tcW w:w="7208" w:type="dxa"/>
            <w:tcBorders>
              <w:top w:val="nil"/>
              <w:left w:val="nil"/>
              <w:bottom w:val="nil"/>
              <w:right w:val="nil"/>
            </w:tcBorders>
            <w:shd w:val="clear" w:color="auto" w:fill="auto"/>
            <w:noWrap/>
            <w:hideMark/>
          </w:tcPr>
          <w:p w14:paraId="28B3C9FA"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Top 3 non-sepsis Diagnosis Related Group, n(%)</w:t>
            </w:r>
          </w:p>
        </w:tc>
        <w:tc>
          <w:tcPr>
            <w:tcW w:w="1685" w:type="dxa"/>
            <w:tcBorders>
              <w:top w:val="nil"/>
              <w:left w:val="nil"/>
              <w:bottom w:val="nil"/>
              <w:right w:val="nil"/>
            </w:tcBorders>
            <w:shd w:val="clear" w:color="auto" w:fill="auto"/>
            <w:noWrap/>
            <w:hideMark/>
          </w:tcPr>
          <w:p w14:paraId="14584FAB"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1AF5106A"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46837C50" w14:textId="77777777" w:rsidR="006B6C8D" w:rsidRPr="009252A2" w:rsidRDefault="006B6C8D" w:rsidP="006F5124">
            <w:pPr>
              <w:spacing w:after="0"/>
              <w:jc w:val="right"/>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3D44DFAE" w14:textId="77777777" w:rsidR="006B6C8D" w:rsidRPr="009252A2" w:rsidRDefault="006B6C8D" w:rsidP="006F5124">
            <w:pPr>
              <w:spacing w:after="0"/>
              <w:jc w:val="right"/>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1645EF27" w14:textId="77777777" w:rsidR="006B6C8D" w:rsidRPr="009252A2" w:rsidRDefault="006B6C8D" w:rsidP="006F5124">
            <w:pPr>
              <w:spacing w:after="0"/>
              <w:jc w:val="right"/>
              <w:rPr>
                <w:rFonts w:ascii="Times New Roman" w:hAnsi="Times New Roman"/>
                <w:sz w:val="20"/>
                <w:szCs w:val="20"/>
              </w:rPr>
            </w:pPr>
          </w:p>
        </w:tc>
      </w:tr>
      <w:tr w:rsidR="006B6C8D" w:rsidRPr="009252A2" w14:paraId="55BBEF06" w14:textId="77777777" w:rsidTr="006F5124">
        <w:trPr>
          <w:trHeight w:val="260"/>
        </w:trPr>
        <w:tc>
          <w:tcPr>
            <w:tcW w:w="7208" w:type="dxa"/>
            <w:tcBorders>
              <w:top w:val="nil"/>
              <w:left w:val="nil"/>
              <w:bottom w:val="nil"/>
              <w:right w:val="nil"/>
            </w:tcBorders>
            <w:shd w:val="clear" w:color="auto" w:fill="auto"/>
            <w:noWrap/>
            <w:hideMark/>
          </w:tcPr>
          <w:p w14:paraId="245DA96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Cellulitis, Major Complexity (J64A)</w:t>
            </w:r>
          </w:p>
        </w:tc>
        <w:tc>
          <w:tcPr>
            <w:tcW w:w="1685" w:type="dxa"/>
            <w:tcBorders>
              <w:top w:val="nil"/>
              <w:left w:val="nil"/>
              <w:bottom w:val="nil"/>
              <w:right w:val="nil"/>
            </w:tcBorders>
            <w:shd w:val="clear" w:color="auto" w:fill="auto"/>
            <w:noWrap/>
            <w:hideMark/>
          </w:tcPr>
          <w:p w14:paraId="3838516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63986BE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696F9A2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1,901 (2.7%)</w:t>
            </w:r>
          </w:p>
        </w:tc>
        <w:tc>
          <w:tcPr>
            <w:tcW w:w="1574" w:type="dxa"/>
            <w:tcBorders>
              <w:top w:val="nil"/>
              <w:left w:val="nil"/>
              <w:bottom w:val="nil"/>
              <w:right w:val="nil"/>
            </w:tcBorders>
            <w:shd w:val="clear" w:color="auto" w:fill="auto"/>
            <w:noWrap/>
            <w:hideMark/>
          </w:tcPr>
          <w:p w14:paraId="797A07A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5984C66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0366E9F4" w14:textId="77777777" w:rsidTr="006F5124">
        <w:trPr>
          <w:trHeight w:val="260"/>
        </w:trPr>
        <w:tc>
          <w:tcPr>
            <w:tcW w:w="7208" w:type="dxa"/>
            <w:tcBorders>
              <w:top w:val="nil"/>
              <w:left w:val="nil"/>
              <w:bottom w:val="nil"/>
              <w:right w:val="nil"/>
            </w:tcBorders>
            <w:shd w:val="clear" w:color="auto" w:fill="auto"/>
            <w:noWrap/>
            <w:hideMark/>
          </w:tcPr>
          <w:p w14:paraId="25CDAD5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lastRenderedPageBreak/>
              <w:t>Infectious and Parasitic Diseases W OR Procedures, Major Complexity (T01A)</w:t>
            </w:r>
          </w:p>
        </w:tc>
        <w:tc>
          <w:tcPr>
            <w:tcW w:w="1685" w:type="dxa"/>
            <w:tcBorders>
              <w:top w:val="nil"/>
              <w:left w:val="nil"/>
              <w:bottom w:val="nil"/>
              <w:right w:val="nil"/>
            </w:tcBorders>
            <w:shd w:val="clear" w:color="auto" w:fill="auto"/>
            <w:noWrap/>
            <w:hideMark/>
          </w:tcPr>
          <w:p w14:paraId="5E7EEB1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460DDC6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1,182 (2.8%)</w:t>
            </w:r>
          </w:p>
        </w:tc>
        <w:tc>
          <w:tcPr>
            <w:tcW w:w="1657" w:type="dxa"/>
            <w:tcBorders>
              <w:top w:val="nil"/>
              <w:left w:val="nil"/>
              <w:bottom w:val="nil"/>
              <w:right w:val="nil"/>
            </w:tcBorders>
            <w:shd w:val="clear" w:color="auto" w:fill="auto"/>
            <w:noWrap/>
            <w:hideMark/>
          </w:tcPr>
          <w:p w14:paraId="1CCDF9D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24F7A34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4B4078C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11DC1907" w14:textId="77777777" w:rsidTr="006F5124">
        <w:trPr>
          <w:trHeight w:val="260"/>
        </w:trPr>
        <w:tc>
          <w:tcPr>
            <w:tcW w:w="7208" w:type="dxa"/>
            <w:tcBorders>
              <w:top w:val="nil"/>
              <w:left w:val="nil"/>
              <w:bottom w:val="nil"/>
              <w:right w:val="nil"/>
            </w:tcBorders>
            <w:shd w:val="clear" w:color="auto" w:fill="auto"/>
            <w:noWrap/>
            <w:hideMark/>
          </w:tcPr>
          <w:p w14:paraId="1E29DFD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Kidney and Urinary Tract Infections, Major Complexity (L63A)</w:t>
            </w:r>
          </w:p>
        </w:tc>
        <w:tc>
          <w:tcPr>
            <w:tcW w:w="1685" w:type="dxa"/>
            <w:tcBorders>
              <w:top w:val="nil"/>
              <w:left w:val="nil"/>
              <w:bottom w:val="nil"/>
              <w:right w:val="nil"/>
            </w:tcBorders>
            <w:shd w:val="clear" w:color="auto" w:fill="auto"/>
            <w:noWrap/>
            <w:hideMark/>
          </w:tcPr>
          <w:p w14:paraId="477C859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755 (2.3%)</w:t>
            </w:r>
          </w:p>
        </w:tc>
        <w:tc>
          <w:tcPr>
            <w:tcW w:w="1685" w:type="dxa"/>
            <w:tcBorders>
              <w:top w:val="nil"/>
              <w:left w:val="nil"/>
              <w:bottom w:val="nil"/>
              <w:right w:val="nil"/>
            </w:tcBorders>
            <w:shd w:val="clear" w:color="auto" w:fill="auto"/>
            <w:noWrap/>
            <w:hideMark/>
          </w:tcPr>
          <w:p w14:paraId="0F1E70F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1DE1600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4,613 (6.4%)</w:t>
            </w:r>
          </w:p>
        </w:tc>
        <w:tc>
          <w:tcPr>
            <w:tcW w:w="1574" w:type="dxa"/>
            <w:tcBorders>
              <w:top w:val="nil"/>
              <w:left w:val="nil"/>
              <w:bottom w:val="nil"/>
              <w:right w:val="nil"/>
            </w:tcBorders>
            <w:shd w:val="clear" w:color="auto" w:fill="auto"/>
            <w:noWrap/>
            <w:hideMark/>
          </w:tcPr>
          <w:p w14:paraId="6A2E606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4,613 (4.3%)</w:t>
            </w:r>
          </w:p>
        </w:tc>
        <w:tc>
          <w:tcPr>
            <w:tcW w:w="1574" w:type="dxa"/>
            <w:tcBorders>
              <w:top w:val="nil"/>
              <w:left w:val="nil"/>
              <w:bottom w:val="nil"/>
              <w:right w:val="nil"/>
            </w:tcBorders>
            <w:shd w:val="clear" w:color="auto" w:fill="auto"/>
            <w:noWrap/>
            <w:hideMark/>
          </w:tcPr>
          <w:p w14:paraId="1036656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690 (2.5%)</w:t>
            </w:r>
          </w:p>
        </w:tc>
      </w:tr>
      <w:tr w:rsidR="006B6C8D" w:rsidRPr="009252A2" w14:paraId="4180FDDD" w14:textId="77777777" w:rsidTr="006F5124">
        <w:trPr>
          <w:trHeight w:val="260"/>
        </w:trPr>
        <w:tc>
          <w:tcPr>
            <w:tcW w:w="7208" w:type="dxa"/>
            <w:tcBorders>
              <w:top w:val="nil"/>
              <w:left w:val="nil"/>
              <w:bottom w:val="nil"/>
              <w:right w:val="nil"/>
            </w:tcBorders>
            <w:shd w:val="clear" w:color="auto" w:fill="auto"/>
            <w:noWrap/>
            <w:hideMark/>
          </w:tcPr>
          <w:p w14:paraId="43B8CC6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Neonate, AdmWt &gt;=2500g W/O Sig OR Proc/Vent&gt;=96hrs, &gt;=37 Comp Wks Gest, Int Comp (P68C)</w:t>
            </w:r>
          </w:p>
        </w:tc>
        <w:tc>
          <w:tcPr>
            <w:tcW w:w="1685" w:type="dxa"/>
            <w:tcBorders>
              <w:top w:val="nil"/>
              <w:left w:val="nil"/>
              <w:bottom w:val="nil"/>
              <w:right w:val="nil"/>
            </w:tcBorders>
            <w:shd w:val="clear" w:color="auto" w:fill="auto"/>
            <w:noWrap/>
            <w:hideMark/>
          </w:tcPr>
          <w:p w14:paraId="2386615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7551ED5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1,073 (2.5%)</w:t>
            </w:r>
          </w:p>
        </w:tc>
        <w:tc>
          <w:tcPr>
            <w:tcW w:w="1657" w:type="dxa"/>
            <w:tcBorders>
              <w:top w:val="nil"/>
              <w:left w:val="nil"/>
              <w:bottom w:val="nil"/>
              <w:right w:val="nil"/>
            </w:tcBorders>
            <w:shd w:val="clear" w:color="auto" w:fill="auto"/>
            <w:noWrap/>
            <w:hideMark/>
          </w:tcPr>
          <w:p w14:paraId="630C456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68CE7B6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5461A84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29D94009" w14:textId="77777777" w:rsidTr="006F5124">
        <w:trPr>
          <w:trHeight w:val="260"/>
        </w:trPr>
        <w:tc>
          <w:tcPr>
            <w:tcW w:w="7208" w:type="dxa"/>
            <w:tcBorders>
              <w:top w:val="nil"/>
              <w:left w:val="nil"/>
              <w:bottom w:val="nil"/>
              <w:right w:val="nil"/>
            </w:tcBorders>
            <w:shd w:val="clear" w:color="auto" w:fill="auto"/>
            <w:noWrap/>
            <w:hideMark/>
          </w:tcPr>
          <w:p w14:paraId="0C97D3D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Neonate, AdmWt &gt;=2500g W/O Sig OR Proc/Vent&gt;=96hrs, &gt;=37 Comp Wks Gest, Maj Comp (P68B)</w:t>
            </w:r>
          </w:p>
        </w:tc>
        <w:tc>
          <w:tcPr>
            <w:tcW w:w="1685" w:type="dxa"/>
            <w:tcBorders>
              <w:top w:val="nil"/>
              <w:left w:val="nil"/>
              <w:bottom w:val="nil"/>
              <w:right w:val="nil"/>
            </w:tcBorders>
            <w:shd w:val="clear" w:color="auto" w:fill="auto"/>
            <w:noWrap/>
            <w:hideMark/>
          </w:tcPr>
          <w:p w14:paraId="37A7913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3279B85A"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1,307 (3.0%)</w:t>
            </w:r>
          </w:p>
        </w:tc>
        <w:tc>
          <w:tcPr>
            <w:tcW w:w="1657" w:type="dxa"/>
            <w:tcBorders>
              <w:top w:val="nil"/>
              <w:left w:val="nil"/>
              <w:bottom w:val="nil"/>
              <w:right w:val="nil"/>
            </w:tcBorders>
            <w:shd w:val="clear" w:color="auto" w:fill="auto"/>
            <w:noWrap/>
            <w:hideMark/>
          </w:tcPr>
          <w:p w14:paraId="02A22D5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22B2118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2,453 (2.3%)</w:t>
            </w:r>
          </w:p>
        </w:tc>
        <w:tc>
          <w:tcPr>
            <w:tcW w:w="1574" w:type="dxa"/>
            <w:tcBorders>
              <w:top w:val="nil"/>
              <w:left w:val="nil"/>
              <w:bottom w:val="nil"/>
              <w:right w:val="nil"/>
            </w:tcBorders>
            <w:shd w:val="clear" w:color="auto" w:fill="auto"/>
            <w:noWrap/>
            <w:hideMark/>
          </w:tcPr>
          <w:p w14:paraId="24569D3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04433B67" w14:textId="77777777" w:rsidTr="006F5124">
        <w:trPr>
          <w:trHeight w:val="260"/>
        </w:trPr>
        <w:tc>
          <w:tcPr>
            <w:tcW w:w="7208" w:type="dxa"/>
            <w:tcBorders>
              <w:top w:val="nil"/>
              <w:left w:val="nil"/>
              <w:bottom w:val="nil"/>
              <w:right w:val="nil"/>
            </w:tcBorders>
            <w:shd w:val="clear" w:color="auto" w:fill="auto"/>
            <w:noWrap/>
            <w:hideMark/>
          </w:tcPr>
          <w:p w14:paraId="0E7A6DF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Other Digestive System Disorders, Major Complexity (G70A)</w:t>
            </w:r>
          </w:p>
        </w:tc>
        <w:tc>
          <w:tcPr>
            <w:tcW w:w="1685" w:type="dxa"/>
            <w:tcBorders>
              <w:top w:val="nil"/>
              <w:left w:val="nil"/>
              <w:bottom w:val="nil"/>
              <w:right w:val="nil"/>
            </w:tcBorders>
            <w:shd w:val="clear" w:color="auto" w:fill="auto"/>
            <w:noWrap/>
            <w:hideMark/>
          </w:tcPr>
          <w:p w14:paraId="09D873C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506 (1.5%)</w:t>
            </w:r>
          </w:p>
        </w:tc>
        <w:tc>
          <w:tcPr>
            <w:tcW w:w="1685" w:type="dxa"/>
            <w:tcBorders>
              <w:top w:val="nil"/>
              <w:left w:val="nil"/>
              <w:bottom w:val="nil"/>
              <w:right w:val="nil"/>
            </w:tcBorders>
            <w:shd w:val="clear" w:color="auto" w:fill="auto"/>
            <w:noWrap/>
            <w:hideMark/>
          </w:tcPr>
          <w:p w14:paraId="4FDE0F6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1501BD2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7EC2801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06B90D6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36B400FB" w14:textId="77777777" w:rsidTr="006F5124">
        <w:trPr>
          <w:trHeight w:val="260"/>
        </w:trPr>
        <w:tc>
          <w:tcPr>
            <w:tcW w:w="7208" w:type="dxa"/>
            <w:tcBorders>
              <w:top w:val="nil"/>
              <w:left w:val="nil"/>
              <w:bottom w:val="nil"/>
              <w:right w:val="nil"/>
            </w:tcBorders>
            <w:shd w:val="clear" w:color="auto" w:fill="auto"/>
            <w:noWrap/>
            <w:hideMark/>
          </w:tcPr>
          <w:p w14:paraId="224A86E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Other Follow Up After Surgery or Medical Care, Major Complexity (Z63A)</w:t>
            </w:r>
          </w:p>
        </w:tc>
        <w:tc>
          <w:tcPr>
            <w:tcW w:w="1685" w:type="dxa"/>
            <w:tcBorders>
              <w:top w:val="nil"/>
              <w:left w:val="nil"/>
              <w:bottom w:val="nil"/>
              <w:right w:val="nil"/>
            </w:tcBorders>
            <w:shd w:val="clear" w:color="auto" w:fill="auto"/>
            <w:noWrap/>
            <w:hideMark/>
          </w:tcPr>
          <w:p w14:paraId="202542E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50835CB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5A89EF4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78ACE26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1B76C6C4"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538 (2.0%)</w:t>
            </w:r>
          </w:p>
        </w:tc>
      </w:tr>
      <w:tr w:rsidR="006B6C8D" w:rsidRPr="009252A2" w14:paraId="4428A172" w14:textId="77777777" w:rsidTr="006F5124">
        <w:trPr>
          <w:trHeight w:val="260"/>
        </w:trPr>
        <w:tc>
          <w:tcPr>
            <w:tcW w:w="7208" w:type="dxa"/>
            <w:tcBorders>
              <w:top w:val="nil"/>
              <w:left w:val="nil"/>
              <w:bottom w:val="nil"/>
              <w:right w:val="nil"/>
            </w:tcBorders>
            <w:shd w:val="clear" w:color="auto" w:fill="auto"/>
            <w:noWrap/>
            <w:hideMark/>
          </w:tcPr>
          <w:p w14:paraId="3296645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Respiratory Infections and Inflammations, Major Complexity (E62A)</w:t>
            </w:r>
          </w:p>
        </w:tc>
        <w:tc>
          <w:tcPr>
            <w:tcW w:w="1685" w:type="dxa"/>
            <w:tcBorders>
              <w:top w:val="nil"/>
              <w:left w:val="nil"/>
              <w:bottom w:val="nil"/>
              <w:right w:val="nil"/>
            </w:tcBorders>
            <w:shd w:val="clear" w:color="auto" w:fill="auto"/>
            <w:noWrap/>
            <w:hideMark/>
          </w:tcPr>
          <w:p w14:paraId="4E95330E"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810 (2.5%)</w:t>
            </w:r>
          </w:p>
        </w:tc>
        <w:tc>
          <w:tcPr>
            <w:tcW w:w="1685" w:type="dxa"/>
            <w:tcBorders>
              <w:top w:val="nil"/>
              <w:left w:val="nil"/>
              <w:bottom w:val="nil"/>
              <w:right w:val="nil"/>
            </w:tcBorders>
            <w:shd w:val="clear" w:color="auto" w:fill="auto"/>
            <w:noWrap/>
            <w:hideMark/>
          </w:tcPr>
          <w:p w14:paraId="4CD46FC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0CD23C3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5,721 (8.0%)</w:t>
            </w:r>
          </w:p>
        </w:tc>
        <w:tc>
          <w:tcPr>
            <w:tcW w:w="1574" w:type="dxa"/>
            <w:tcBorders>
              <w:top w:val="nil"/>
              <w:left w:val="nil"/>
              <w:bottom w:val="nil"/>
              <w:right w:val="nil"/>
            </w:tcBorders>
            <w:shd w:val="clear" w:color="auto" w:fill="auto"/>
            <w:noWrap/>
            <w:hideMark/>
          </w:tcPr>
          <w:p w14:paraId="785D69B7"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5,721 (5.3%)</w:t>
            </w:r>
          </w:p>
        </w:tc>
        <w:tc>
          <w:tcPr>
            <w:tcW w:w="1574" w:type="dxa"/>
            <w:tcBorders>
              <w:top w:val="nil"/>
              <w:left w:val="nil"/>
              <w:bottom w:val="nil"/>
              <w:right w:val="nil"/>
            </w:tcBorders>
            <w:shd w:val="clear" w:color="auto" w:fill="auto"/>
            <w:noWrap/>
            <w:hideMark/>
          </w:tcPr>
          <w:p w14:paraId="32AD79D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1,024 (3.8%)</w:t>
            </w:r>
          </w:p>
        </w:tc>
      </w:tr>
      <w:tr w:rsidR="006B6C8D" w:rsidRPr="009252A2" w14:paraId="1EA044B3" w14:textId="77777777" w:rsidTr="006F5124">
        <w:trPr>
          <w:trHeight w:val="260"/>
        </w:trPr>
        <w:tc>
          <w:tcPr>
            <w:tcW w:w="7208" w:type="dxa"/>
            <w:tcBorders>
              <w:top w:val="nil"/>
              <w:left w:val="nil"/>
              <w:bottom w:val="nil"/>
              <w:right w:val="nil"/>
            </w:tcBorders>
            <w:shd w:val="clear" w:color="auto" w:fill="auto"/>
            <w:noWrap/>
            <w:hideMark/>
          </w:tcPr>
          <w:p w14:paraId="65C678EA" w14:textId="77777777" w:rsidR="006B6C8D" w:rsidRPr="009252A2" w:rsidRDefault="006B6C8D" w:rsidP="006F5124">
            <w:pPr>
              <w:keepNext/>
              <w:spacing w:after="0"/>
              <w:rPr>
                <w:rFonts w:ascii="Calibri" w:hAnsi="Calibri" w:cs="Calibri"/>
                <w:sz w:val="20"/>
                <w:szCs w:val="20"/>
              </w:rPr>
            </w:pPr>
            <w:r w:rsidRPr="009252A2">
              <w:rPr>
                <w:rFonts w:ascii="Calibri" w:hAnsi="Calibri" w:cs="Calibri"/>
                <w:sz w:val="20"/>
                <w:szCs w:val="20"/>
              </w:rPr>
              <w:lastRenderedPageBreak/>
              <w:t>Hospital-Acquired Complications (HACs), n(%) *</w:t>
            </w:r>
          </w:p>
        </w:tc>
        <w:tc>
          <w:tcPr>
            <w:tcW w:w="1685" w:type="dxa"/>
            <w:tcBorders>
              <w:top w:val="nil"/>
              <w:left w:val="nil"/>
              <w:bottom w:val="nil"/>
              <w:right w:val="nil"/>
            </w:tcBorders>
            <w:shd w:val="clear" w:color="auto" w:fill="auto"/>
            <w:noWrap/>
            <w:hideMark/>
          </w:tcPr>
          <w:p w14:paraId="0A19956F" w14:textId="77777777" w:rsidR="006B6C8D" w:rsidRPr="009252A2" w:rsidRDefault="006B6C8D" w:rsidP="006F5124">
            <w:pPr>
              <w:keepNext/>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1286706F" w14:textId="77777777" w:rsidR="006B6C8D" w:rsidRPr="009252A2" w:rsidRDefault="006B6C8D" w:rsidP="006F5124">
            <w:pPr>
              <w:keepNext/>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4A941323" w14:textId="77777777" w:rsidR="006B6C8D" w:rsidRPr="009252A2" w:rsidRDefault="006B6C8D" w:rsidP="006F5124">
            <w:pPr>
              <w:keepNext/>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2DAF0420" w14:textId="77777777" w:rsidR="006B6C8D" w:rsidRPr="009252A2" w:rsidRDefault="006B6C8D" w:rsidP="006F5124">
            <w:pPr>
              <w:keepNext/>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2E3E145F" w14:textId="77777777" w:rsidR="006B6C8D" w:rsidRPr="009252A2" w:rsidRDefault="006B6C8D" w:rsidP="006F5124">
            <w:pPr>
              <w:keepNext/>
              <w:spacing w:after="0"/>
              <w:rPr>
                <w:rFonts w:ascii="Times New Roman" w:hAnsi="Times New Roman"/>
                <w:sz w:val="20"/>
                <w:szCs w:val="20"/>
              </w:rPr>
            </w:pPr>
          </w:p>
        </w:tc>
      </w:tr>
      <w:tr w:rsidR="006B6C8D" w:rsidRPr="009252A2" w14:paraId="36937638" w14:textId="77777777" w:rsidTr="006F5124">
        <w:trPr>
          <w:trHeight w:val="260"/>
        </w:trPr>
        <w:tc>
          <w:tcPr>
            <w:tcW w:w="7208" w:type="dxa"/>
            <w:tcBorders>
              <w:top w:val="nil"/>
              <w:left w:val="nil"/>
              <w:bottom w:val="nil"/>
              <w:right w:val="nil"/>
            </w:tcBorders>
            <w:shd w:val="clear" w:color="auto" w:fill="auto"/>
            <w:noWrap/>
            <w:hideMark/>
          </w:tcPr>
          <w:p w14:paraId="057845BF"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At least one HAC</w:t>
            </w:r>
          </w:p>
        </w:tc>
        <w:tc>
          <w:tcPr>
            <w:tcW w:w="1685" w:type="dxa"/>
            <w:tcBorders>
              <w:top w:val="nil"/>
              <w:left w:val="nil"/>
              <w:bottom w:val="nil"/>
              <w:right w:val="nil"/>
            </w:tcBorders>
            <w:shd w:val="clear" w:color="auto" w:fill="auto"/>
            <w:noWrap/>
            <w:hideMark/>
          </w:tcPr>
          <w:p w14:paraId="72186522"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2,101 (6.4%)</w:t>
            </w:r>
          </w:p>
        </w:tc>
        <w:tc>
          <w:tcPr>
            <w:tcW w:w="1685" w:type="dxa"/>
            <w:tcBorders>
              <w:top w:val="nil"/>
              <w:left w:val="nil"/>
              <w:bottom w:val="nil"/>
              <w:right w:val="nil"/>
            </w:tcBorders>
            <w:shd w:val="clear" w:color="auto" w:fill="auto"/>
            <w:noWrap/>
            <w:hideMark/>
          </w:tcPr>
          <w:p w14:paraId="2CECC4C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3,519 (8.2%)</w:t>
            </w:r>
          </w:p>
        </w:tc>
        <w:tc>
          <w:tcPr>
            <w:tcW w:w="1657" w:type="dxa"/>
            <w:tcBorders>
              <w:top w:val="nil"/>
              <w:left w:val="nil"/>
              <w:bottom w:val="nil"/>
              <w:right w:val="nil"/>
            </w:tcBorders>
            <w:shd w:val="clear" w:color="auto" w:fill="auto"/>
            <w:noWrap/>
            <w:hideMark/>
          </w:tcPr>
          <w:p w14:paraId="1245269D"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13,273 (18.5%)</w:t>
            </w:r>
          </w:p>
        </w:tc>
        <w:tc>
          <w:tcPr>
            <w:tcW w:w="1574" w:type="dxa"/>
            <w:tcBorders>
              <w:top w:val="nil"/>
              <w:left w:val="nil"/>
              <w:bottom w:val="nil"/>
              <w:right w:val="nil"/>
            </w:tcBorders>
            <w:shd w:val="clear" w:color="auto" w:fill="auto"/>
            <w:noWrap/>
            <w:hideMark/>
          </w:tcPr>
          <w:p w14:paraId="01E70A3D"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15,519 (14.5%)</w:t>
            </w:r>
          </w:p>
        </w:tc>
        <w:tc>
          <w:tcPr>
            <w:tcW w:w="1574" w:type="dxa"/>
            <w:tcBorders>
              <w:top w:val="nil"/>
              <w:left w:val="nil"/>
              <w:bottom w:val="nil"/>
              <w:right w:val="nil"/>
            </w:tcBorders>
            <w:shd w:val="clear" w:color="auto" w:fill="auto"/>
            <w:noWrap/>
            <w:hideMark/>
          </w:tcPr>
          <w:p w14:paraId="1780784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1,915 (7.1%)</w:t>
            </w:r>
          </w:p>
        </w:tc>
      </w:tr>
      <w:tr w:rsidR="006B6C8D" w:rsidRPr="009252A2" w14:paraId="067E12FF" w14:textId="77777777" w:rsidTr="006F5124">
        <w:trPr>
          <w:trHeight w:val="260"/>
        </w:trPr>
        <w:tc>
          <w:tcPr>
            <w:tcW w:w="7208" w:type="dxa"/>
            <w:tcBorders>
              <w:top w:val="nil"/>
              <w:left w:val="nil"/>
              <w:bottom w:val="nil"/>
              <w:right w:val="nil"/>
            </w:tcBorders>
            <w:shd w:val="clear" w:color="auto" w:fill="auto"/>
            <w:noWrap/>
            <w:hideMark/>
          </w:tcPr>
          <w:p w14:paraId="522B09D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Pressure Injury</w:t>
            </w:r>
          </w:p>
        </w:tc>
        <w:tc>
          <w:tcPr>
            <w:tcW w:w="1685" w:type="dxa"/>
            <w:tcBorders>
              <w:top w:val="nil"/>
              <w:left w:val="nil"/>
              <w:bottom w:val="nil"/>
              <w:right w:val="nil"/>
            </w:tcBorders>
            <w:shd w:val="clear" w:color="auto" w:fill="auto"/>
            <w:noWrap/>
            <w:hideMark/>
          </w:tcPr>
          <w:p w14:paraId="5824C86E"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100 (0.3%)</w:t>
            </w:r>
          </w:p>
        </w:tc>
        <w:tc>
          <w:tcPr>
            <w:tcW w:w="1685" w:type="dxa"/>
            <w:tcBorders>
              <w:top w:val="nil"/>
              <w:left w:val="nil"/>
              <w:bottom w:val="nil"/>
              <w:right w:val="nil"/>
            </w:tcBorders>
            <w:shd w:val="clear" w:color="auto" w:fill="auto"/>
            <w:noWrap/>
            <w:hideMark/>
          </w:tcPr>
          <w:p w14:paraId="162A099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218 (0.5%)</w:t>
            </w:r>
          </w:p>
        </w:tc>
        <w:tc>
          <w:tcPr>
            <w:tcW w:w="1657" w:type="dxa"/>
            <w:tcBorders>
              <w:top w:val="nil"/>
              <w:left w:val="nil"/>
              <w:bottom w:val="nil"/>
              <w:right w:val="nil"/>
            </w:tcBorders>
            <w:shd w:val="clear" w:color="auto" w:fill="auto"/>
            <w:noWrap/>
            <w:hideMark/>
          </w:tcPr>
          <w:p w14:paraId="65BDBED7"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863 (1.2%)</w:t>
            </w:r>
          </w:p>
        </w:tc>
        <w:tc>
          <w:tcPr>
            <w:tcW w:w="1574" w:type="dxa"/>
            <w:tcBorders>
              <w:top w:val="nil"/>
              <w:left w:val="nil"/>
              <w:bottom w:val="nil"/>
              <w:right w:val="nil"/>
            </w:tcBorders>
            <w:shd w:val="clear" w:color="auto" w:fill="auto"/>
            <w:noWrap/>
            <w:hideMark/>
          </w:tcPr>
          <w:p w14:paraId="3B4F1CA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979 (0.9%)</w:t>
            </w:r>
          </w:p>
        </w:tc>
        <w:tc>
          <w:tcPr>
            <w:tcW w:w="1574" w:type="dxa"/>
            <w:tcBorders>
              <w:top w:val="nil"/>
              <w:left w:val="nil"/>
              <w:bottom w:val="nil"/>
              <w:right w:val="nil"/>
            </w:tcBorders>
            <w:shd w:val="clear" w:color="auto" w:fill="auto"/>
            <w:noWrap/>
            <w:hideMark/>
          </w:tcPr>
          <w:p w14:paraId="650B8870"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119 (0.4%)</w:t>
            </w:r>
          </w:p>
        </w:tc>
      </w:tr>
      <w:tr w:rsidR="006B6C8D" w:rsidRPr="009252A2" w14:paraId="4BF207CA" w14:textId="77777777" w:rsidTr="006F5124">
        <w:trPr>
          <w:trHeight w:val="260"/>
        </w:trPr>
        <w:tc>
          <w:tcPr>
            <w:tcW w:w="7208" w:type="dxa"/>
            <w:tcBorders>
              <w:top w:val="nil"/>
              <w:left w:val="nil"/>
              <w:bottom w:val="nil"/>
              <w:right w:val="nil"/>
            </w:tcBorders>
            <w:shd w:val="clear" w:color="auto" w:fill="auto"/>
            <w:noWrap/>
            <w:hideMark/>
          </w:tcPr>
          <w:p w14:paraId="2DAB801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Falls resulting in fracture or intracranial injury</w:t>
            </w:r>
          </w:p>
        </w:tc>
        <w:tc>
          <w:tcPr>
            <w:tcW w:w="1685" w:type="dxa"/>
            <w:tcBorders>
              <w:top w:val="nil"/>
              <w:left w:val="nil"/>
              <w:bottom w:val="nil"/>
              <w:right w:val="nil"/>
            </w:tcBorders>
            <w:shd w:val="clear" w:color="auto" w:fill="auto"/>
            <w:noWrap/>
            <w:hideMark/>
          </w:tcPr>
          <w:p w14:paraId="275E398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35 (0.1%)</w:t>
            </w:r>
          </w:p>
        </w:tc>
        <w:tc>
          <w:tcPr>
            <w:tcW w:w="1685" w:type="dxa"/>
            <w:tcBorders>
              <w:top w:val="nil"/>
              <w:left w:val="nil"/>
              <w:bottom w:val="nil"/>
              <w:right w:val="nil"/>
            </w:tcBorders>
            <w:shd w:val="clear" w:color="auto" w:fill="auto"/>
            <w:noWrap/>
            <w:hideMark/>
          </w:tcPr>
          <w:p w14:paraId="64D14F26"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37 (0.1%)</w:t>
            </w:r>
          </w:p>
        </w:tc>
        <w:tc>
          <w:tcPr>
            <w:tcW w:w="1657" w:type="dxa"/>
            <w:tcBorders>
              <w:top w:val="nil"/>
              <w:left w:val="nil"/>
              <w:bottom w:val="nil"/>
              <w:right w:val="nil"/>
            </w:tcBorders>
            <w:shd w:val="clear" w:color="auto" w:fill="auto"/>
            <w:noWrap/>
            <w:hideMark/>
          </w:tcPr>
          <w:p w14:paraId="4CD6489C"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148 (0.2%)</w:t>
            </w:r>
          </w:p>
        </w:tc>
        <w:tc>
          <w:tcPr>
            <w:tcW w:w="1574" w:type="dxa"/>
            <w:tcBorders>
              <w:top w:val="nil"/>
              <w:left w:val="nil"/>
              <w:bottom w:val="nil"/>
              <w:right w:val="nil"/>
            </w:tcBorders>
            <w:shd w:val="clear" w:color="auto" w:fill="auto"/>
            <w:noWrap/>
            <w:hideMark/>
          </w:tcPr>
          <w:p w14:paraId="53AC6069"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176 (0.2%)</w:t>
            </w:r>
          </w:p>
        </w:tc>
        <w:tc>
          <w:tcPr>
            <w:tcW w:w="1574" w:type="dxa"/>
            <w:tcBorders>
              <w:top w:val="nil"/>
              <w:left w:val="nil"/>
              <w:bottom w:val="nil"/>
              <w:right w:val="nil"/>
            </w:tcBorders>
            <w:shd w:val="clear" w:color="auto" w:fill="auto"/>
            <w:noWrap/>
            <w:hideMark/>
          </w:tcPr>
          <w:p w14:paraId="16FB90E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29 (0.1%)</w:t>
            </w:r>
          </w:p>
        </w:tc>
      </w:tr>
      <w:tr w:rsidR="006B6C8D" w:rsidRPr="009252A2" w14:paraId="473779CF" w14:textId="77777777" w:rsidTr="006F5124">
        <w:trPr>
          <w:trHeight w:val="260"/>
        </w:trPr>
        <w:tc>
          <w:tcPr>
            <w:tcW w:w="7208" w:type="dxa"/>
            <w:tcBorders>
              <w:top w:val="nil"/>
              <w:left w:val="nil"/>
              <w:bottom w:val="nil"/>
              <w:right w:val="nil"/>
            </w:tcBorders>
            <w:shd w:val="clear" w:color="auto" w:fill="auto"/>
            <w:noWrap/>
            <w:hideMark/>
          </w:tcPr>
          <w:p w14:paraId="1F21BA7C"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Surgical complications</w:t>
            </w:r>
          </w:p>
        </w:tc>
        <w:tc>
          <w:tcPr>
            <w:tcW w:w="1685" w:type="dxa"/>
            <w:tcBorders>
              <w:top w:val="nil"/>
              <w:left w:val="nil"/>
              <w:bottom w:val="nil"/>
              <w:right w:val="nil"/>
            </w:tcBorders>
            <w:shd w:val="clear" w:color="auto" w:fill="auto"/>
            <w:noWrap/>
            <w:hideMark/>
          </w:tcPr>
          <w:p w14:paraId="6BFBE250"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357 (1.1%)</w:t>
            </w:r>
          </w:p>
        </w:tc>
        <w:tc>
          <w:tcPr>
            <w:tcW w:w="1685" w:type="dxa"/>
            <w:tcBorders>
              <w:top w:val="nil"/>
              <w:left w:val="nil"/>
              <w:bottom w:val="nil"/>
              <w:right w:val="nil"/>
            </w:tcBorders>
            <w:shd w:val="clear" w:color="auto" w:fill="auto"/>
            <w:noWrap/>
            <w:hideMark/>
          </w:tcPr>
          <w:p w14:paraId="39260AE7"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291 (0.7%)</w:t>
            </w:r>
          </w:p>
        </w:tc>
        <w:tc>
          <w:tcPr>
            <w:tcW w:w="1657" w:type="dxa"/>
            <w:tcBorders>
              <w:top w:val="nil"/>
              <w:left w:val="nil"/>
              <w:bottom w:val="nil"/>
              <w:right w:val="nil"/>
            </w:tcBorders>
            <w:shd w:val="clear" w:color="auto" w:fill="auto"/>
            <w:noWrap/>
            <w:hideMark/>
          </w:tcPr>
          <w:p w14:paraId="037D12DE"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2,392 (3.3%)</w:t>
            </w:r>
          </w:p>
        </w:tc>
        <w:tc>
          <w:tcPr>
            <w:tcW w:w="1574" w:type="dxa"/>
            <w:tcBorders>
              <w:top w:val="nil"/>
              <w:left w:val="nil"/>
              <w:bottom w:val="nil"/>
              <w:right w:val="nil"/>
            </w:tcBorders>
            <w:shd w:val="clear" w:color="auto" w:fill="auto"/>
            <w:noWrap/>
            <w:hideMark/>
          </w:tcPr>
          <w:p w14:paraId="7049850B"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2,552 (2.4%)</w:t>
            </w:r>
          </w:p>
        </w:tc>
        <w:tc>
          <w:tcPr>
            <w:tcW w:w="1574" w:type="dxa"/>
            <w:tcBorders>
              <w:top w:val="nil"/>
              <w:left w:val="nil"/>
              <w:bottom w:val="nil"/>
              <w:right w:val="nil"/>
            </w:tcBorders>
            <w:shd w:val="clear" w:color="auto" w:fill="auto"/>
            <w:noWrap/>
            <w:hideMark/>
          </w:tcPr>
          <w:p w14:paraId="4F81F24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290 (1.1%)</w:t>
            </w:r>
          </w:p>
        </w:tc>
      </w:tr>
      <w:tr w:rsidR="006B6C8D" w:rsidRPr="009252A2" w14:paraId="3831B1C4" w14:textId="77777777" w:rsidTr="006F5124">
        <w:trPr>
          <w:trHeight w:val="260"/>
        </w:trPr>
        <w:tc>
          <w:tcPr>
            <w:tcW w:w="7208" w:type="dxa"/>
            <w:tcBorders>
              <w:top w:val="nil"/>
              <w:left w:val="nil"/>
              <w:bottom w:val="nil"/>
              <w:right w:val="nil"/>
            </w:tcBorders>
            <w:shd w:val="clear" w:color="auto" w:fill="auto"/>
            <w:noWrap/>
            <w:hideMark/>
          </w:tcPr>
          <w:p w14:paraId="3648DE0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Respiratory complications</w:t>
            </w:r>
          </w:p>
        </w:tc>
        <w:tc>
          <w:tcPr>
            <w:tcW w:w="1685" w:type="dxa"/>
            <w:tcBorders>
              <w:top w:val="nil"/>
              <w:left w:val="nil"/>
              <w:bottom w:val="nil"/>
              <w:right w:val="nil"/>
            </w:tcBorders>
            <w:shd w:val="clear" w:color="auto" w:fill="auto"/>
            <w:noWrap/>
            <w:hideMark/>
          </w:tcPr>
          <w:p w14:paraId="2479A41B"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306 (0.9%)</w:t>
            </w:r>
          </w:p>
        </w:tc>
        <w:tc>
          <w:tcPr>
            <w:tcW w:w="1685" w:type="dxa"/>
            <w:tcBorders>
              <w:top w:val="nil"/>
              <w:left w:val="nil"/>
              <w:bottom w:val="nil"/>
              <w:right w:val="nil"/>
            </w:tcBorders>
            <w:shd w:val="clear" w:color="auto" w:fill="auto"/>
            <w:noWrap/>
            <w:hideMark/>
          </w:tcPr>
          <w:p w14:paraId="69996E2E"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535 (1.2%)</w:t>
            </w:r>
          </w:p>
        </w:tc>
        <w:tc>
          <w:tcPr>
            <w:tcW w:w="1657" w:type="dxa"/>
            <w:tcBorders>
              <w:top w:val="nil"/>
              <w:left w:val="nil"/>
              <w:bottom w:val="nil"/>
              <w:right w:val="nil"/>
            </w:tcBorders>
            <w:shd w:val="clear" w:color="auto" w:fill="auto"/>
            <w:noWrap/>
            <w:hideMark/>
          </w:tcPr>
          <w:p w14:paraId="3E24DAC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3,500 (4.9%)</w:t>
            </w:r>
          </w:p>
        </w:tc>
        <w:tc>
          <w:tcPr>
            <w:tcW w:w="1574" w:type="dxa"/>
            <w:tcBorders>
              <w:top w:val="nil"/>
              <w:left w:val="nil"/>
              <w:bottom w:val="nil"/>
              <w:right w:val="nil"/>
            </w:tcBorders>
            <w:shd w:val="clear" w:color="auto" w:fill="auto"/>
            <w:noWrap/>
            <w:hideMark/>
          </w:tcPr>
          <w:p w14:paraId="26E954F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3,768 (3.5%)</w:t>
            </w:r>
          </w:p>
        </w:tc>
        <w:tc>
          <w:tcPr>
            <w:tcW w:w="1574" w:type="dxa"/>
            <w:tcBorders>
              <w:top w:val="nil"/>
              <w:left w:val="nil"/>
              <w:bottom w:val="nil"/>
              <w:right w:val="nil"/>
            </w:tcBorders>
            <w:shd w:val="clear" w:color="auto" w:fill="auto"/>
            <w:noWrap/>
            <w:hideMark/>
          </w:tcPr>
          <w:p w14:paraId="606C5CD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273 (1.0%)</w:t>
            </w:r>
          </w:p>
        </w:tc>
      </w:tr>
      <w:tr w:rsidR="006B6C8D" w:rsidRPr="009252A2" w14:paraId="24A35496" w14:textId="77777777" w:rsidTr="006F5124">
        <w:trPr>
          <w:trHeight w:val="260"/>
        </w:trPr>
        <w:tc>
          <w:tcPr>
            <w:tcW w:w="7208" w:type="dxa"/>
            <w:tcBorders>
              <w:top w:val="nil"/>
              <w:left w:val="nil"/>
              <w:bottom w:val="nil"/>
              <w:right w:val="nil"/>
            </w:tcBorders>
            <w:shd w:val="clear" w:color="auto" w:fill="auto"/>
            <w:noWrap/>
            <w:hideMark/>
          </w:tcPr>
          <w:p w14:paraId="657D7EFF"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Venous thromboembolism</w:t>
            </w:r>
          </w:p>
        </w:tc>
        <w:tc>
          <w:tcPr>
            <w:tcW w:w="1685" w:type="dxa"/>
            <w:tcBorders>
              <w:top w:val="nil"/>
              <w:left w:val="nil"/>
              <w:bottom w:val="nil"/>
              <w:right w:val="nil"/>
            </w:tcBorders>
            <w:shd w:val="clear" w:color="auto" w:fill="auto"/>
            <w:noWrap/>
            <w:hideMark/>
          </w:tcPr>
          <w:p w14:paraId="1A7DF1D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103 (0.3%)</w:t>
            </w:r>
          </w:p>
        </w:tc>
        <w:tc>
          <w:tcPr>
            <w:tcW w:w="1685" w:type="dxa"/>
            <w:tcBorders>
              <w:top w:val="nil"/>
              <w:left w:val="nil"/>
              <w:bottom w:val="nil"/>
              <w:right w:val="nil"/>
            </w:tcBorders>
            <w:shd w:val="clear" w:color="auto" w:fill="auto"/>
            <w:noWrap/>
            <w:hideMark/>
          </w:tcPr>
          <w:p w14:paraId="6CB308C9"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165 (0.4%)</w:t>
            </w:r>
          </w:p>
        </w:tc>
        <w:tc>
          <w:tcPr>
            <w:tcW w:w="1657" w:type="dxa"/>
            <w:tcBorders>
              <w:top w:val="nil"/>
              <w:left w:val="nil"/>
              <w:bottom w:val="nil"/>
              <w:right w:val="nil"/>
            </w:tcBorders>
            <w:shd w:val="clear" w:color="auto" w:fill="auto"/>
            <w:noWrap/>
            <w:hideMark/>
          </w:tcPr>
          <w:p w14:paraId="2B64FEC2"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816 (1.1%)</w:t>
            </w:r>
          </w:p>
        </w:tc>
        <w:tc>
          <w:tcPr>
            <w:tcW w:w="1574" w:type="dxa"/>
            <w:tcBorders>
              <w:top w:val="nil"/>
              <w:left w:val="nil"/>
              <w:bottom w:val="nil"/>
              <w:right w:val="nil"/>
            </w:tcBorders>
            <w:shd w:val="clear" w:color="auto" w:fill="auto"/>
            <w:noWrap/>
            <w:hideMark/>
          </w:tcPr>
          <w:p w14:paraId="5C8E162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923 (0.9%)</w:t>
            </w:r>
          </w:p>
        </w:tc>
        <w:tc>
          <w:tcPr>
            <w:tcW w:w="1574" w:type="dxa"/>
            <w:tcBorders>
              <w:top w:val="nil"/>
              <w:left w:val="nil"/>
              <w:bottom w:val="nil"/>
              <w:right w:val="nil"/>
            </w:tcBorders>
            <w:shd w:val="clear" w:color="auto" w:fill="auto"/>
            <w:noWrap/>
            <w:hideMark/>
          </w:tcPr>
          <w:p w14:paraId="51F44FB9"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116 (0.4%)</w:t>
            </w:r>
          </w:p>
        </w:tc>
      </w:tr>
      <w:tr w:rsidR="006B6C8D" w:rsidRPr="009252A2" w14:paraId="11D3AB7A" w14:textId="77777777" w:rsidTr="006F5124">
        <w:trPr>
          <w:trHeight w:val="260"/>
        </w:trPr>
        <w:tc>
          <w:tcPr>
            <w:tcW w:w="7208" w:type="dxa"/>
            <w:tcBorders>
              <w:top w:val="nil"/>
              <w:left w:val="nil"/>
              <w:bottom w:val="nil"/>
              <w:right w:val="nil"/>
            </w:tcBorders>
            <w:shd w:val="clear" w:color="auto" w:fill="auto"/>
            <w:noWrap/>
            <w:hideMark/>
          </w:tcPr>
          <w:p w14:paraId="28F0B2F2"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Renal failure</w:t>
            </w:r>
          </w:p>
        </w:tc>
        <w:tc>
          <w:tcPr>
            <w:tcW w:w="1685" w:type="dxa"/>
            <w:tcBorders>
              <w:top w:val="nil"/>
              <w:left w:val="nil"/>
              <w:bottom w:val="nil"/>
              <w:right w:val="nil"/>
            </w:tcBorders>
            <w:shd w:val="clear" w:color="auto" w:fill="auto"/>
            <w:noWrap/>
            <w:hideMark/>
          </w:tcPr>
          <w:p w14:paraId="350DA716"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29 (0.1%)</w:t>
            </w:r>
          </w:p>
        </w:tc>
        <w:tc>
          <w:tcPr>
            <w:tcW w:w="1685" w:type="dxa"/>
            <w:tcBorders>
              <w:top w:val="nil"/>
              <w:left w:val="nil"/>
              <w:bottom w:val="nil"/>
              <w:right w:val="nil"/>
            </w:tcBorders>
            <w:shd w:val="clear" w:color="auto" w:fill="auto"/>
            <w:noWrap/>
            <w:hideMark/>
          </w:tcPr>
          <w:p w14:paraId="67CFC12B"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46 (0.1%)</w:t>
            </w:r>
          </w:p>
        </w:tc>
        <w:tc>
          <w:tcPr>
            <w:tcW w:w="1657" w:type="dxa"/>
            <w:tcBorders>
              <w:top w:val="nil"/>
              <w:left w:val="nil"/>
              <w:bottom w:val="nil"/>
              <w:right w:val="nil"/>
            </w:tcBorders>
            <w:shd w:val="clear" w:color="auto" w:fill="auto"/>
            <w:noWrap/>
            <w:hideMark/>
          </w:tcPr>
          <w:p w14:paraId="28328815"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599 (0.8%)</w:t>
            </w:r>
          </w:p>
        </w:tc>
        <w:tc>
          <w:tcPr>
            <w:tcW w:w="1574" w:type="dxa"/>
            <w:tcBorders>
              <w:top w:val="nil"/>
              <w:left w:val="nil"/>
              <w:bottom w:val="nil"/>
              <w:right w:val="nil"/>
            </w:tcBorders>
            <w:shd w:val="clear" w:color="auto" w:fill="auto"/>
            <w:noWrap/>
            <w:hideMark/>
          </w:tcPr>
          <w:p w14:paraId="359B51F7"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612 (0.6%)</w:t>
            </w:r>
          </w:p>
        </w:tc>
        <w:tc>
          <w:tcPr>
            <w:tcW w:w="1574" w:type="dxa"/>
            <w:tcBorders>
              <w:top w:val="nil"/>
              <w:left w:val="nil"/>
              <w:bottom w:val="nil"/>
              <w:right w:val="nil"/>
            </w:tcBorders>
            <w:shd w:val="clear" w:color="auto" w:fill="auto"/>
            <w:noWrap/>
            <w:hideMark/>
          </w:tcPr>
          <w:p w14:paraId="22A43D62"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40 (0.1%)</w:t>
            </w:r>
          </w:p>
        </w:tc>
      </w:tr>
      <w:tr w:rsidR="006B6C8D" w:rsidRPr="009252A2" w14:paraId="2A6904C2" w14:textId="77777777" w:rsidTr="006F5124">
        <w:trPr>
          <w:trHeight w:val="260"/>
        </w:trPr>
        <w:tc>
          <w:tcPr>
            <w:tcW w:w="7208" w:type="dxa"/>
            <w:tcBorders>
              <w:top w:val="nil"/>
              <w:left w:val="nil"/>
              <w:bottom w:val="nil"/>
              <w:right w:val="nil"/>
            </w:tcBorders>
            <w:shd w:val="clear" w:color="auto" w:fill="auto"/>
            <w:noWrap/>
            <w:hideMark/>
          </w:tcPr>
          <w:p w14:paraId="006616C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Gastrointestinal bleeding</w:t>
            </w:r>
          </w:p>
        </w:tc>
        <w:tc>
          <w:tcPr>
            <w:tcW w:w="1685" w:type="dxa"/>
            <w:tcBorders>
              <w:top w:val="nil"/>
              <w:left w:val="nil"/>
              <w:bottom w:val="nil"/>
              <w:right w:val="nil"/>
            </w:tcBorders>
            <w:shd w:val="clear" w:color="auto" w:fill="auto"/>
            <w:noWrap/>
            <w:hideMark/>
          </w:tcPr>
          <w:p w14:paraId="67839CC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177 (0.5%)</w:t>
            </w:r>
          </w:p>
        </w:tc>
        <w:tc>
          <w:tcPr>
            <w:tcW w:w="1685" w:type="dxa"/>
            <w:tcBorders>
              <w:top w:val="nil"/>
              <w:left w:val="nil"/>
              <w:bottom w:val="nil"/>
              <w:right w:val="nil"/>
            </w:tcBorders>
            <w:shd w:val="clear" w:color="auto" w:fill="auto"/>
            <w:noWrap/>
            <w:hideMark/>
          </w:tcPr>
          <w:p w14:paraId="3F21DCF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279 (0.6%)</w:t>
            </w:r>
          </w:p>
        </w:tc>
        <w:tc>
          <w:tcPr>
            <w:tcW w:w="1657" w:type="dxa"/>
            <w:tcBorders>
              <w:top w:val="nil"/>
              <w:left w:val="nil"/>
              <w:bottom w:val="nil"/>
              <w:right w:val="nil"/>
            </w:tcBorders>
            <w:shd w:val="clear" w:color="auto" w:fill="auto"/>
            <w:noWrap/>
            <w:hideMark/>
          </w:tcPr>
          <w:p w14:paraId="11264506"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1,038 (1.4%)</w:t>
            </w:r>
          </w:p>
        </w:tc>
        <w:tc>
          <w:tcPr>
            <w:tcW w:w="1574" w:type="dxa"/>
            <w:tcBorders>
              <w:top w:val="nil"/>
              <w:left w:val="nil"/>
              <w:bottom w:val="nil"/>
              <w:right w:val="nil"/>
            </w:tcBorders>
            <w:shd w:val="clear" w:color="auto" w:fill="auto"/>
            <w:noWrap/>
            <w:hideMark/>
          </w:tcPr>
          <w:p w14:paraId="0432BC7E"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1,219 (1.1%)</w:t>
            </w:r>
          </w:p>
        </w:tc>
        <w:tc>
          <w:tcPr>
            <w:tcW w:w="1574" w:type="dxa"/>
            <w:tcBorders>
              <w:top w:val="nil"/>
              <w:left w:val="nil"/>
              <w:bottom w:val="nil"/>
              <w:right w:val="nil"/>
            </w:tcBorders>
            <w:shd w:val="clear" w:color="auto" w:fill="auto"/>
            <w:noWrap/>
            <w:hideMark/>
          </w:tcPr>
          <w:p w14:paraId="2975E1ED"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144 (0.5%)</w:t>
            </w:r>
          </w:p>
        </w:tc>
      </w:tr>
      <w:tr w:rsidR="006B6C8D" w:rsidRPr="009252A2" w14:paraId="20307E4A" w14:textId="77777777" w:rsidTr="006F5124">
        <w:trPr>
          <w:trHeight w:val="260"/>
        </w:trPr>
        <w:tc>
          <w:tcPr>
            <w:tcW w:w="7208" w:type="dxa"/>
            <w:tcBorders>
              <w:top w:val="nil"/>
              <w:left w:val="nil"/>
              <w:bottom w:val="nil"/>
              <w:right w:val="nil"/>
            </w:tcBorders>
            <w:shd w:val="clear" w:color="auto" w:fill="auto"/>
            <w:noWrap/>
            <w:hideMark/>
          </w:tcPr>
          <w:p w14:paraId="19E8612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Medication complications</w:t>
            </w:r>
          </w:p>
        </w:tc>
        <w:tc>
          <w:tcPr>
            <w:tcW w:w="1685" w:type="dxa"/>
            <w:tcBorders>
              <w:top w:val="nil"/>
              <w:left w:val="nil"/>
              <w:bottom w:val="nil"/>
              <w:right w:val="nil"/>
            </w:tcBorders>
            <w:shd w:val="clear" w:color="auto" w:fill="auto"/>
            <w:noWrap/>
            <w:hideMark/>
          </w:tcPr>
          <w:p w14:paraId="02E373AE"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125 (0.4%)</w:t>
            </w:r>
          </w:p>
        </w:tc>
        <w:tc>
          <w:tcPr>
            <w:tcW w:w="1685" w:type="dxa"/>
            <w:tcBorders>
              <w:top w:val="nil"/>
              <w:left w:val="nil"/>
              <w:bottom w:val="nil"/>
              <w:right w:val="nil"/>
            </w:tcBorders>
            <w:shd w:val="clear" w:color="auto" w:fill="auto"/>
            <w:noWrap/>
            <w:hideMark/>
          </w:tcPr>
          <w:p w14:paraId="6AD9864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158 (0.4%)</w:t>
            </w:r>
          </w:p>
        </w:tc>
        <w:tc>
          <w:tcPr>
            <w:tcW w:w="1657" w:type="dxa"/>
            <w:tcBorders>
              <w:top w:val="nil"/>
              <w:left w:val="nil"/>
              <w:bottom w:val="nil"/>
              <w:right w:val="nil"/>
            </w:tcBorders>
            <w:shd w:val="clear" w:color="auto" w:fill="auto"/>
            <w:noWrap/>
            <w:hideMark/>
          </w:tcPr>
          <w:p w14:paraId="3600D76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716 (1.0%)</w:t>
            </w:r>
          </w:p>
        </w:tc>
        <w:tc>
          <w:tcPr>
            <w:tcW w:w="1574" w:type="dxa"/>
            <w:tcBorders>
              <w:top w:val="nil"/>
              <w:left w:val="nil"/>
              <w:bottom w:val="nil"/>
              <w:right w:val="nil"/>
            </w:tcBorders>
            <w:shd w:val="clear" w:color="auto" w:fill="auto"/>
            <w:noWrap/>
            <w:hideMark/>
          </w:tcPr>
          <w:p w14:paraId="5954DFE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813 (0.8%)</w:t>
            </w:r>
          </w:p>
        </w:tc>
        <w:tc>
          <w:tcPr>
            <w:tcW w:w="1574" w:type="dxa"/>
            <w:tcBorders>
              <w:top w:val="nil"/>
              <w:left w:val="nil"/>
              <w:bottom w:val="nil"/>
              <w:right w:val="nil"/>
            </w:tcBorders>
            <w:shd w:val="clear" w:color="auto" w:fill="auto"/>
            <w:noWrap/>
            <w:hideMark/>
          </w:tcPr>
          <w:p w14:paraId="281DF44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93 (0.3%)</w:t>
            </w:r>
          </w:p>
        </w:tc>
      </w:tr>
      <w:tr w:rsidR="006B6C8D" w:rsidRPr="009252A2" w14:paraId="3F801892" w14:textId="77777777" w:rsidTr="006F5124">
        <w:trPr>
          <w:trHeight w:val="260"/>
        </w:trPr>
        <w:tc>
          <w:tcPr>
            <w:tcW w:w="7208" w:type="dxa"/>
            <w:tcBorders>
              <w:top w:val="nil"/>
              <w:left w:val="nil"/>
              <w:bottom w:val="nil"/>
              <w:right w:val="nil"/>
            </w:tcBorders>
            <w:shd w:val="clear" w:color="auto" w:fill="auto"/>
            <w:noWrap/>
            <w:hideMark/>
          </w:tcPr>
          <w:p w14:paraId="7F69AF7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Delirium</w:t>
            </w:r>
          </w:p>
        </w:tc>
        <w:tc>
          <w:tcPr>
            <w:tcW w:w="1685" w:type="dxa"/>
            <w:tcBorders>
              <w:top w:val="nil"/>
              <w:left w:val="nil"/>
              <w:bottom w:val="nil"/>
              <w:right w:val="nil"/>
            </w:tcBorders>
            <w:shd w:val="clear" w:color="auto" w:fill="auto"/>
            <w:noWrap/>
            <w:hideMark/>
          </w:tcPr>
          <w:p w14:paraId="147CD56D"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539 (1.6%)</w:t>
            </w:r>
          </w:p>
        </w:tc>
        <w:tc>
          <w:tcPr>
            <w:tcW w:w="1685" w:type="dxa"/>
            <w:tcBorders>
              <w:top w:val="nil"/>
              <w:left w:val="nil"/>
              <w:bottom w:val="nil"/>
              <w:right w:val="nil"/>
            </w:tcBorders>
            <w:shd w:val="clear" w:color="auto" w:fill="auto"/>
            <w:noWrap/>
            <w:hideMark/>
          </w:tcPr>
          <w:p w14:paraId="141479D0"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954 (2.2%)</w:t>
            </w:r>
          </w:p>
        </w:tc>
        <w:tc>
          <w:tcPr>
            <w:tcW w:w="1657" w:type="dxa"/>
            <w:tcBorders>
              <w:top w:val="nil"/>
              <w:left w:val="nil"/>
              <w:bottom w:val="nil"/>
              <w:right w:val="nil"/>
            </w:tcBorders>
            <w:shd w:val="clear" w:color="auto" w:fill="auto"/>
            <w:noWrap/>
            <w:hideMark/>
          </w:tcPr>
          <w:p w14:paraId="7091D16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4,115 (5.7%)</w:t>
            </w:r>
          </w:p>
        </w:tc>
        <w:tc>
          <w:tcPr>
            <w:tcW w:w="1574" w:type="dxa"/>
            <w:tcBorders>
              <w:top w:val="nil"/>
              <w:left w:val="nil"/>
              <w:bottom w:val="nil"/>
              <w:right w:val="nil"/>
            </w:tcBorders>
            <w:shd w:val="clear" w:color="auto" w:fill="auto"/>
            <w:noWrap/>
            <w:hideMark/>
          </w:tcPr>
          <w:p w14:paraId="251BB9D5"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4,704 (4.4%)</w:t>
            </w:r>
          </w:p>
        </w:tc>
        <w:tc>
          <w:tcPr>
            <w:tcW w:w="1574" w:type="dxa"/>
            <w:tcBorders>
              <w:top w:val="nil"/>
              <w:left w:val="nil"/>
              <w:bottom w:val="nil"/>
              <w:right w:val="nil"/>
            </w:tcBorders>
            <w:shd w:val="clear" w:color="auto" w:fill="auto"/>
            <w:noWrap/>
            <w:hideMark/>
          </w:tcPr>
          <w:p w14:paraId="33B4F0A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516 (1.9%)</w:t>
            </w:r>
          </w:p>
        </w:tc>
      </w:tr>
      <w:tr w:rsidR="006B6C8D" w:rsidRPr="009252A2" w14:paraId="2E93359E" w14:textId="77777777" w:rsidTr="006F5124">
        <w:trPr>
          <w:trHeight w:val="260"/>
        </w:trPr>
        <w:tc>
          <w:tcPr>
            <w:tcW w:w="7208" w:type="dxa"/>
            <w:tcBorders>
              <w:top w:val="nil"/>
              <w:left w:val="nil"/>
              <w:bottom w:val="nil"/>
              <w:right w:val="nil"/>
            </w:tcBorders>
            <w:shd w:val="clear" w:color="auto" w:fill="auto"/>
            <w:noWrap/>
            <w:hideMark/>
          </w:tcPr>
          <w:p w14:paraId="303B68D7"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Incontinence</w:t>
            </w:r>
          </w:p>
        </w:tc>
        <w:tc>
          <w:tcPr>
            <w:tcW w:w="1685" w:type="dxa"/>
            <w:tcBorders>
              <w:top w:val="nil"/>
              <w:left w:val="nil"/>
              <w:bottom w:val="nil"/>
              <w:right w:val="nil"/>
            </w:tcBorders>
            <w:shd w:val="clear" w:color="auto" w:fill="auto"/>
            <w:noWrap/>
            <w:hideMark/>
          </w:tcPr>
          <w:p w14:paraId="7231C4BD"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52 (0.2%)</w:t>
            </w:r>
          </w:p>
        </w:tc>
        <w:tc>
          <w:tcPr>
            <w:tcW w:w="1685" w:type="dxa"/>
            <w:tcBorders>
              <w:top w:val="nil"/>
              <w:left w:val="nil"/>
              <w:bottom w:val="nil"/>
              <w:right w:val="nil"/>
            </w:tcBorders>
            <w:shd w:val="clear" w:color="auto" w:fill="auto"/>
            <w:noWrap/>
            <w:hideMark/>
          </w:tcPr>
          <w:p w14:paraId="7A556F2F"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90 (0.2%)</w:t>
            </w:r>
          </w:p>
        </w:tc>
        <w:tc>
          <w:tcPr>
            <w:tcW w:w="1657" w:type="dxa"/>
            <w:tcBorders>
              <w:top w:val="nil"/>
              <w:left w:val="nil"/>
              <w:bottom w:val="nil"/>
              <w:right w:val="nil"/>
            </w:tcBorders>
            <w:shd w:val="clear" w:color="auto" w:fill="auto"/>
            <w:noWrap/>
            <w:hideMark/>
          </w:tcPr>
          <w:p w14:paraId="3A9746E6"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371 (0.5%)</w:t>
            </w:r>
          </w:p>
        </w:tc>
        <w:tc>
          <w:tcPr>
            <w:tcW w:w="1574" w:type="dxa"/>
            <w:tcBorders>
              <w:top w:val="nil"/>
              <w:left w:val="nil"/>
              <w:bottom w:val="nil"/>
              <w:right w:val="nil"/>
            </w:tcBorders>
            <w:shd w:val="clear" w:color="auto" w:fill="auto"/>
            <w:noWrap/>
            <w:hideMark/>
          </w:tcPr>
          <w:p w14:paraId="5887C3E3"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438 (0.4%)</w:t>
            </w:r>
          </w:p>
        </w:tc>
        <w:tc>
          <w:tcPr>
            <w:tcW w:w="1574" w:type="dxa"/>
            <w:tcBorders>
              <w:top w:val="nil"/>
              <w:left w:val="nil"/>
              <w:bottom w:val="nil"/>
              <w:right w:val="nil"/>
            </w:tcBorders>
            <w:shd w:val="clear" w:color="auto" w:fill="auto"/>
            <w:noWrap/>
            <w:hideMark/>
          </w:tcPr>
          <w:p w14:paraId="6B72CF9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60 (0.2%)</w:t>
            </w:r>
          </w:p>
        </w:tc>
      </w:tr>
      <w:tr w:rsidR="006B6C8D" w:rsidRPr="009252A2" w14:paraId="26BA6DAC" w14:textId="77777777" w:rsidTr="006F5124">
        <w:trPr>
          <w:trHeight w:val="260"/>
        </w:trPr>
        <w:tc>
          <w:tcPr>
            <w:tcW w:w="7208" w:type="dxa"/>
            <w:tcBorders>
              <w:top w:val="nil"/>
              <w:left w:val="nil"/>
              <w:bottom w:val="nil"/>
              <w:right w:val="nil"/>
            </w:tcBorders>
            <w:shd w:val="clear" w:color="auto" w:fill="auto"/>
            <w:noWrap/>
            <w:hideMark/>
          </w:tcPr>
          <w:p w14:paraId="607CACD0"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Endocrine complications</w:t>
            </w:r>
          </w:p>
        </w:tc>
        <w:tc>
          <w:tcPr>
            <w:tcW w:w="1685" w:type="dxa"/>
            <w:tcBorders>
              <w:top w:val="nil"/>
              <w:left w:val="nil"/>
              <w:bottom w:val="nil"/>
              <w:right w:val="nil"/>
            </w:tcBorders>
            <w:shd w:val="clear" w:color="auto" w:fill="auto"/>
            <w:noWrap/>
            <w:hideMark/>
          </w:tcPr>
          <w:p w14:paraId="29FE8D2B"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339 (1.0%)</w:t>
            </w:r>
          </w:p>
        </w:tc>
        <w:tc>
          <w:tcPr>
            <w:tcW w:w="1685" w:type="dxa"/>
            <w:tcBorders>
              <w:top w:val="nil"/>
              <w:left w:val="nil"/>
              <w:bottom w:val="nil"/>
              <w:right w:val="nil"/>
            </w:tcBorders>
            <w:shd w:val="clear" w:color="auto" w:fill="auto"/>
            <w:noWrap/>
            <w:hideMark/>
          </w:tcPr>
          <w:p w14:paraId="257A69CA"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597 (1.4%)</w:t>
            </w:r>
          </w:p>
        </w:tc>
        <w:tc>
          <w:tcPr>
            <w:tcW w:w="1657" w:type="dxa"/>
            <w:tcBorders>
              <w:top w:val="nil"/>
              <w:left w:val="nil"/>
              <w:bottom w:val="nil"/>
              <w:right w:val="nil"/>
            </w:tcBorders>
            <w:shd w:val="clear" w:color="auto" w:fill="auto"/>
            <w:noWrap/>
            <w:hideMark/>
          </w:tcPr>
          <w:p w14:paraId="64392294"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2,138 (3.0%)</w:t>
            </w:r>
          </w:p>
        </w:tc>
        <w:tc>
          <w:tcPr>
            <w:tcW w:w="1574" w:type="dxa"/>
            <w:tcBorders>
              <w:top w:val="nil"/>
              <w:left w:val="nil"/>
              <w:bottom w:val="nil"/>
              <w:right w:val="nil"/>
            </w:tcBorders>
            <w:shd w:val="clear" w:color="auto" w:fill="auto"/>
            <w:noWrap/>
            <w:hideMark/>
          </w:tcPr>
          <w:p w14:paraId="7EF06A71"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2,511 (2.3%)</w:t>
            </w:r>
          </w:p>
        </w:tc>
        <w:tc>
          <w:tcPr>
            <w:tcW w:w="1574" w:type="dxa"/>
            <w:tcBorders>
              <w:top w:val="nil"/>
              <w:left w:val="nil"/>
              <w:bottom w:val="nil"/>
              <w:right w:val="nil"/>
            </w:tcBorders>
            <w:shd w:val="clear" w:color="auto" w:fill="auto"/>
            <w:noWrap/>
            <w:hideMark/>
          </w:tcPr>
          <w:p w14:paraId="683079B8" w14:textId="77777777" w:rsidR="006B6C8D" w:rsidRPr="009252A2" w:rsidRDefault="006B6C8D" w:rsidP="006F5124">
            <w:pPr>
              <w:keepNext/>
              <w:spacing w:after="0"/>
              <w:jc w:val="right"/>
              <w:rPr>
                <w:rFonts w:ascii="Calibri" w:hAnsi="Calibri" w:cs="Calibri"/>
                <w:sz w:val="20"/>
                <w:szCs w:val="20"/>
              </w:rPr>
            </w:pPr>
            <w:r w:rsidRPr="009252A2">
              <w:rPr>
                <w:rFonts w:ascii="Calibri" w:hAnsi="Calibri" w:cs="Calibri"/>
                <w:sz w:val="20"/>
                <w:szCs w:val="20"/>
              </w:rPr>
              <w:t>365 (1.3%)</w:t>
            </w:r>
          </w:p>
        </w:tc>
      </w:tr>
      <w:tr w:rsidR="006B6C8D" w:rsidRPr="009252A2" w14:paraId="41F1AF59" w14:textId="77777777" w:rsidTr="006F5124">
        <w:trPr>
          <w:trHeight w:val="260"/>
        </w:trPr>
        <w:tc>
          <w:tcPr>
            <w:tcW w:w="7208" w:type="dxa"/>
            <w:tcBorders>
              <w:top w:val="nil"/>
              <w:left w:val="nil"/>
              <w:bottom w:val="nil"/>
              <w:right w:val="nil"/>
            </w:tcBorders>
            <w:shd w:val="clear" w:color="auto" w:fill="auto"/>
            <w:noWrap/>
            <w:hideMark/>
          </w:tcPr>
          <w:p w14:paraId="590E338D"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Cardiac complications</w:t>
            </w:r>
          </w:p>
        </w:tc>
        <w:tc>
          <w:tcPr>
            <w:tcW w:w="1685" w:type="dxa"/>
            <w:tcBorders>
              <w:top w:val="nil"/>
              <w:left w:val="nil"/>
              <w:bottom w:val="nil"/>
              <w:right w:val="nil"/>
            </w:tcBorders>
            <w:shd w:val="clear" w:color="auto" w:fill="auto"/>
            <w:noWrap/>
            <w:hideMark/>
          </w:tcPr>
          <w:p w14:paraId="10DCA0C9"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588 (1.8%)</w:t>
            </w:r>
          </w:p>
        </w:tc>
        <w:tc>
          <w:tcPr>
            <w:tcW w:w="1685" w:type="dxa"/>
            <w:tcBorders>
              <w:top w:val="nil"/>
              <w:left w:val="nil"/>
              <w:bottom w:val="nil"/>
              <w:right w:val="nil"/>
            </w:tcBorders>
            <w:shd w:val="clear" w:color="auto" w:fill="auto"/>
            <w:noWrap/>
            <w:hideMark/>
          </w:tcPr>
          <w:p w14:paraId="7B10FC7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1,178 (2.7%)</w:t>
            </w:r>
          </w:p>
        </w:tc>
        <w:tc>
          <w:tcPr>
            <w:tcW w:w="1657" w:type="dxa"/>
            <w:tcBorders>
              <w:top w:val="nil"/>
              <w:left w:val="nil"/>
              <w:bottom w:val="nil"/>
              <w:right w:val="nil"/>
            </w:tcBorders>
            <w:shd w:val="clear" w:color="auto" w:fill="auto"/>
            <w:noWrap/>
            <w:hideMark/>
          </w:tcPr>
          <w:p w14:paraId="55B2129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4,402 (6.1%)</w:t>
            </w:r>
          </w:p>
        </w:tc>
        <w:tc>
          <w:tcPr>
            <w:tcW w:w="1574" w:type="dxa"/>
            <w:tcBorders>
              <w:top w:val="nil"/>
              <w:left w:val="nil"/>
              <w:bottom w:val="nil"/>
              <w:right w:val="nil"/>
            </w:tcBorders>
            <w:shd w:val="clear" w:color="auto" w:fill="auto"/>
            <w:noWrap/>
            <w:hideMark/>
          </w:tcPr>
          <w:p w14:paraId="2B80B92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5,127 (4.8%)</w:t>
            </w:r>
          </w:p>
        </w:tc>
        <w:tc>
          <w:tcPr>
            <w:tcW w:w="1574" w:type="dxa"/>
            <w:tcBorders>
              <w:top w:val="nil"/>
              <w:left w:val="nil"/>
              <w:bottom w:val="nil"/>
              <w:right w:val="nil"/>
            </w:tcBorders>
            <w:shd w:val="clear" w:color="auto" w:fill="auto"/>
            <w:noWrap/>
            <w:hideMark/>
          </w:tcPr>
          <w:p w14:paraId="044ABAEC"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551 (2.0%)</w:t>
            </w:r>
          </w:p>
        </w:tc>
      </w:tr>
      <w:tr w:rsidR="006B6C8D" w:rsidRPr="009252A2" w14:paraId="1BAF5F9F" w14:textId="77777777" w:rsidTr="006F5124">
        <w:trPr>
          <w:trHeight w:val="260"/>
        </w:trPr>
        <w:tc>
          <w:tcPr>
            <w:tcW w:w="7208" w:type="dxa"/>
            <w:tcBorders>
              <w:top w:val="nil"/>
              <w:left w:val="nil"/>
              <w:bottom w:val="nil"/>
              <w:right w:val="nil"/>
            </w:tcBorders>
            <w:shd w:val="clear" w:color="auto" w:fill="auto"/>
            <w:noWrap/>
            <w:hideMark/>
          </w:tcPr>
          <w:p w14:paraId="6FE0CB56"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Discharge/transfer to residential aged care service, n(%)</w:t>
            </w:r>
          </w:p>
        </w:tc>
        <w:tc>
          <w:tcPr>
            <w:tcW w:w="1685" w:type="dxa"/>
            <w:tcBorders>
              <w:top w:val="nil"/>
              <w:left w:val="nil"/>
              <w:bottom w:val="nil"/>
              <w:right w:val="nil"/>
            </w:tcBorders>
            <w:shd w:val="clear" w:color="auto" w:fill="auto"/>
            <w:noWrap/>
            <w:hideMark/>
          </w:tcPr>
          <w:p w14:paraId="1DE59290" w14:textId="77777777" w:rsidR="006B6C8D" w:rsidRPr="009252A2" w:rsidRDefault="006B6C8D" w:rsidP="006F5124">
            <w:pPr>
              <w:spacing w:after="0"/>
              <w:rPr>
                <w:rFonts w:ascii="Calibri" w:hAnsi="Calibri" w:cs="Calibri"/>
                <w:sz w:val="20"/>
                <w:szCs w:val="20"/>
              </w:rPr>
            </w:pPr>
          </w:p>
        </w:tc>
        <w:tc>
          <w:tcPr>
            <w:tcW w:w="1685" w:type="dxa"/>
            <w:tcBorders>
              <w:top w:val="nil"/>
              <w:left w:val="nil"/>
              <w:bottom w:val="nil"/>
              <w:right w:val="nil"/>
            </w:tcBorders>
            <w:shd w:val="clear" w:color="auto" w:fill="auto"/>
            <w:noWrap/>
            <w:hideMark/>
          </w:tcPr>
          <w:p w14:paraId="0B345C95" w14:textId="77777777" w:rsidR="006B6C8D" w:rsidRPr="009252A2" w:rsidRDefault="006B6C8D" w:rsidP="006F5124">
            <w:pPr>
              <w:spacing w:after="0"/>
              <w:jc w:val="right"/>
              <w:rPr>
                <w:rFonts w:ascii="Times New Roman" w:hAnsi="Times New Roman"/>
                <w:sz w:val="20"/>
                <w:szCs w:val="20"/>
              </w:rPr>
            </w:pPr>
          </w:p>
        </w:tc>
        <w:tc>
          <w:tcPr>
            <w:tcW w:w="1657" w:type="dxa"/>
            <w:tcBorders>
              <w:top w:val="nil"/>
              <w:left w:val="nil"/>
              <w:bottom w:val="nil"/>
              <w:right w:val="nil"/>
            </w:tcBorders>
            <w:shd w:val="clear" w:color="auto" w:fill="auto"/>
            <w:noWrap/>
            <w:hideMark/>
          </w:tcPr>
          <w:p w14:paraId="72D0716E"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419C76BB" w14:textId="77777777" w:rsidR="006B6C8D" w:rsidRPr="009252A2" w:rsidRDefault="006B6C8D" w:rsidP="006F5124">
            <w:pPr>
              <w:spacing w:after="0"/>
              <w:rPr>
                <w:rFonts w:ascii="Times New Roman" w:hAnsi="Times New Roman"/>
                <w:sz w:val="20"/>
                <w:szCs w:val="20"/>
              </w:rPr>
            </w:pPr>
          </w:p>
        </w:tc>
        <w:tc>
          <w:tcPr>
            <w:tcW w:w="1574" w:type="dxa"/>
            <w:tcBorders>
              <w:top w:val="nil"/>
              <w:left w:val="nil"/>
              <w:bottom w:val="nil"/>
              <w:right w:val="nil"/>
            </w:tcBorders>
            <w:shd w:val="clear" w:color="auto" w:fill="auto"/>
            <w:noWrap/>
            <w:hideMark/>
          </w:tcPr>
          <w:p w14:paraId="2A83C1D2" w14:textId="77777777" w:rsidR="006B6C8D" w:rsidRPr="009252A2" w:rsidRDefault="006B6C8D" w:rsidP="006F5124">
            <w:pPr>
              <w:spacing w:after="0"/>
              <w:rPr>
                <w:rFonts w:ascii="Times New Roman" w:hAnsi="Times New Roman"/>
                <w:sz w:val="20"/>
                <w:szCs w:val="20"/>
              </w:rPr>
            </w:pPr>
          </w:p>
        </w:tc>
      </w:tr>
      <w:tr w:rsidR="006B6C8D" w:rsidRPr="009252A2" w14:paraId="6DBF02BB" w14:textId="77777777" w:rsidTr="006F5124">
        <w:trPr>
          <w:trHeight w:val="260"/>
        </w:trPr>
        <w:tc>
          <w:tcPr>
            <w:tcW w:w="7208" w:type="dxa"/>
            <w:tcBorders>
              <w:top w:val="nil"/>
              <w:left w:val="nil"/>
              <w:bottom w:val="nil"/>
              <w:right w:val="nil"/>
            </w:tcBorders>
            <w:shd w:val="clear" w:color="auto" w:fill="auto"/>
            <w:noWrap/>
            <w:hideMark/>
          </w:tcPr>
          <w:p w14:paraId="31F4116F"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usual place of residence</w:t>
            </w:r>
          </w:p>
        </w:tc>
        <w:tc>
          <w:tcPr>
            <w:tcW w:w="1685" w:type="dxa"/>
            <w:tcBorders>
              <w:top w:val="nil"/>
              <w:left w:val="nil"/>
              <w:bottom w:val="nil"/>
              <w:right w:val="nil"/>
            </w:tcBorders>
            <w:shd w:val="clear" w:color="auto" w:fill="auto"/>
            <w:noWrap/>
            <w:hideMark/>
          </w:tcPr>
          <w:p w14:paraId="7B4D8B6A"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85" w:type="dxa"/>
            <w:tcBorders>
              <w:top w:val="nil"/>
              <w:left w:val="nil"/>
              <w:bottom w:val="nil"/>
              <w:right w:val="nil"/>
            </w:tcBorders>
            <w:shd w:val="clear" w:color="auto" w:fill="auto"/>
            <w:noWrap/>
            <w:hideMark/>
          </w:tcPr>
          <w:p w14:paraId="68EA5545"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657" w:type="dxa"/>
            <w:tcBorders>
              <w:top w:val="nil"/>
              <w:left w:val="nil"/>
              <w:bottom w:val="nil"/>
              <w:right w:val="nil"/>
            </w:tcBorders>
            <w:shd w:val="clear" w:color="auto" w:fill="auto"/>
            <w:noWrap/>
            <w:hideMark/>
          </w:tcPr>
          <w:p w14:paraId="00D62A5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3322D8CB"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c>
          <w:tcPr>
            <w:tcW w:w="1574" w:type="dxa"/>
            <w:tcBorders>
              <w:top w:val="nil"/>
              <w:left w:val="nil"/>
              <w:bottom w:val="nil"/>
              <w:right w:val="nil"/>
            </w:tcBorders>
            <w:shd w:val="clear" w:color="auto" w:fill="auto"/>
            <w:noWrap/>
            <w:hideMark/>
          </w:tcPr>
          <w:p w14:paraId="5AE3BC63"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N/A</w:t>
            </w:r>
          </w:p>
        </w:tc>
      </w:tr>
      <w:tr w:rsidR="006B6C8D" w:rsidRPr="009252A2" w14:paraId="50EF029D" w14:textId="77777777" w:rsidTr="006F5124">
        <w:trPr>
          <w:trHeight w:val="260"/>
        </w:trPr>
        <w:tc>
          <w:tcPr>
            <w:tcW w:w="7208" w:type="dxa"/>
            <w:tcBorders>
              <w:top w:val="nil"/>
              <w:left w:val="nil"/>
              <w:bottom w:val="nil"/>
              <w:right w:val="nil"/>
            </w:tcBorders>
            <w:shd w:val="clear" w:color="auto" w:fill="auto"/>
            <w:noWrap/>
            <w:hideMark/>
          </w:tcPr>
          <w:p w14:paraId="53D8C38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not the usual place of residence</w:t>
            </w:r>
          </w:p>
        </w:tc>
        <w:tc>
          <w:tcPr>
            <w:tcW w:w="1685" w:type="dxa"/>
            <w:tcBorders>
              <w:top w:val="nil"/>
              <w:left w:val="nil"/>
              <w:bottom w:val="nil"/>
              <w:right w:val="nil"/>
            </w:tcBorders>
            <w:shd w:val="clear" w:color="auto" w:fill="auto"/>
            <w:noWrap/>
            <w:hideMark/>
          </w:tcPr>
          <w:p w14:paraId="3DD12A91"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918 (2.8%)</w:t>
            </w:r>
          </w:p>
        </w:tc>
        <w:tc>
          <w:tcPr>
            <w:tcW w:w="1685" w:type="dxa"/>
            <w:tcBorders>
              <w:top w:val="nil"/>
              <w:left w:val="nil"/>
              <w:bottom w:val="nil"/>
              <w:right w:val="nil"/>
            </w:tcBorders>
            <w:shd w:val="clear" w:color="auto" w:fill="auto"/>
            <w:noWrap/>
            <w:hideMark/>
          </w:tcPr>
          <w:p w14:paraId="1C5ADC7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1,566 (3.6%)</w:t>
            </w:r>
          </w:p>
        </w:tc>
        <w:tc>
          <w:tcPr>
            <w:tcW w:w="1657" w:type="dxa"/>
            <w:tcBorders>
              <w:top w:val="nil"/>
              <w:left w:val="nil"/>
              <w:bottom w:val="nil"/>
              <w:right w:val="nil"/>
            </w:tcBorders>
            <w:shd w:val="clear" w:color="auto" w:fill="auto"/>
            <w:noWrap/>
            <w:hideMark/>
          </w:tcPr>
          <w:p w14:paraId="64C76D68"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2,176 (3.0%)</w:t>
            </w:r>
          </w:p>
        </w:tc>
        <w:tc>
          <w:tcPr>
            <w:tcW w:w="1574" w:type="dxa"/>
            <w:tcBorders>
              <w:top w:val="nil"/>
              <w:left w:val="nil"/>
              <w:bottom w:val="nil"/>
              <w:right w:val="nil"/>
            </w:tcBorders>
            <w:shd w:val="clear" w:color="auto" w:fill="auto"/>
            <w:noWrap/>
            <w:hideMark/>
          </w:tcPr>
          <w:p w14:paraId="51BD1BE0"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3,564 (3.3%)</w:t>
            </w:r>
          </w:p>
        </w:tc>
        <w:tc>
          <w:tcPr>
            <w:tcW w:w="1574" w:type="dxa"/>
            <w:tcBorders>
              <w:top w:val="nil"/>
              <w:left w:val="nil"/>
              <w:bottom w:val="nil"/>
              <w:right w:val="nil"/>
            </w:tcBorders>
            <w:shd w:val="clear" w:color="auto" w:fill="auto"/>
            <w:noWrap/>
            <w:hideMark/>
          </w:tcPr>
          <w:p w14:paraId="5EE34C32"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810 (3.0%)</w:t>
            </w:r>
          </w:p>
        </w:tc>
      </w:tr>
      <w:tr w:rsidR="006B6C8D" w:rsidRPr="009252A2" w14:paraId="114A185E" w14:textId="77777777" w:rsidTr="006F5124">
        <w:trPr>
          <w:trHeight w:val="260"/>
        </w:trPr>
        <w:tc>
          <w:tcPr>
            <w:tcW w:w="7208" w:type="dxa"/>
            <w:tcBorders>
              <w:top w:val="nil"/>
              <w:left w:val="nil"/>
              <w:bottom w:val="single" w:sz="4" w:space="0" w:color="auto"/>
              <w:right w:val="nil"/>
            </w:tcBorders>
            <w:shd w:val="clear" w:color="auto" w:fill="auto"/>
            <w:noWrap/>
            <w:hideMark/>
          </w:tcPr>
          <w:p w14:paraId="7C4422D0"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w:t>
            </w:r>
          </w:p>
        </w:tc>
        <w:tc>
          <w:tcPr>
            <w:tcW w:w="1685" w:type="dxa"/>
            <w:tcBorders>
              <w:top w:val="nil"/>
              <w:left w:val="nil"/>
              <w:bottom w:val="single" w:sz="4" w:space="0" w:color="auto"/>
              <w:right w:val="nil"/>
            </w:tcBorders>
            <w:shd w:val="clear" w:color="auto" w:fill="auto"/>
            <w:noWrap/>
            <w:hideMark/>
          </w:tcPr>
          <w:p w14:paraId="5CF88756" w14:textId="77777777" w:rsidR="006B6C8D" w:rsidRPr="009252A2" w:rsidRDefault="006B6C8D" w:rsidP="006F5124">
            <w:pPr>
              <w:spacing w:after="0"/>
              <w:jc w:val="right"/>
              <w:rPr>
                <w:rFonts w:ascii="Calibri" w:hAnsi="Calibri" w:cs="Calibri"/>
                <w:sz w:val="20"/>
                <w:szCs w:val="20"/>
              </w:rPr>
            </w:pPr>
            <w:r w:rsidRPr="009252A2">
              <w:rPr>
                <w:rFonts w:ascii="Calibri" w:hAnsi="Calibri" w:cs="Calibri"/>
                <w:sz w:val="20"/>
                <w:szCs w:val="20"/>
              </w:rPr>
              <w:t> </w:t>
            </w:r>
          </w:p>
        </w:tc>
        <w:tc>
          <w:tcPr>
            <w:tcW w:w="1685" w:type="dxa"/>
            <w:tcBorders>
              <w:top w:val="nil"/>
              <w:left w:val="nil"/>
              <w:bottom w:val="single" w:sz="4" w:space="0" w:color="auto"/>
              <w:right w:val="nil"/>
            </w:tcBorders>
            <w:shd w:val="clear" w:color="auto" w:fill="auto"/>
            <w:noWrap/>
            <w:hideMark/>
          </w:tcPr>
          <w:p w14:paraId="456CDF29"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w:t>
            </w:r>
          </w:p>
        </w:tc>
        <w:tc>
          <w:tcPr>
            <w:tcW w:w="1657" w:type="dxa"/>
            <w:tcBorders>
              <w:top w:val="nil"/>
              <w:left w:val="nil"/>
              <w:bottom w:val="single" w:sz="4" w:space="0" w:color="auto"/>
              <w:right w:val="nil"/>
            </w:tcBorders>
            <w:shd w:val="clear" w:color="auto" w:fill="auto"/>
            <w:noWrap/>
            <w:hideMark/>
          </w:tcPr>
          <w:p w14:paraId="7CB9F777"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w:t>
            </w:r>
          </w:p>
        </w:tc>
        <w:tc>
          <w:tcPr>
            <w:tcW w:w="1574" w:type="dxa"/>
            <w:tcBorders>
              <w:top w:val="nil"/>
              <w:left w:val="nil"/>
              <w:bottom w:val="single" w:sz="4" w:space="0" w:color="auto"/>
              <w:right w:val="nil"/>
            </w:tcBorders>
            <w:shd w:val="clear" w:color="auto" w:fill="auto"/>
            <w:noWrap/>
            <w:hideMark/>
          </w:tcPr>
          <w:p w14:paraId="05578CB1"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w:t>
            </w:r>
          </w:p>
        </w:tc>
        <w:tc>
          <w:tcPr>
            <w:tcW w:w="1574" w:type="dxa"/>
            <w:tcBorders>
              <w:top w:val="nil"/>
              <w:left w:val="nil"/>
              <w:bottom w:val="single" w:sz="4" w:space="0" w:color="auto"/>
              <w:right w:val="nil"/>
            </w:tcBorders>
            <w:shd w:val="clear" w:color="auto" w:fill="auto"/>
            <w:noWrap/>
            <w:hideMark/>
          </w:tcPr>
          <w:p w14:paraId="0ABD0A8A" w14:textId="77777777" w:rsidR="006B6C8D" w:rsidRPr="009252A2" w:rsidRDefault="006B6C8D" w:rsidP="006F5124">
            <w:pPr>
              <w:spacing w:after="0"/>
              <w:rPr>
                <w:rFonts w:ascii="Calibri" w:hAnsi="Calibri" w:cs="Calibri"/>
                <w:sz w:val="20"/>
                <w:szCs w:val="20"/>
              </w:rPr>
            </w:pPr>
            <w:r w:rsidRPr="009252A2">
              <w:rPr>
                <w:rFonts w:ascii="Calibri" w:hAnsi="Calibri" w:cs="Calibri"/>
                <w:sz w:val="20"/>
                <w:szCs w:val="20"/>
              </w:rPr>
              <w:t> </w:t>
            </w:r>
          </w:p>
        </w:tc>
      </w:tr>
    </w:tbl>
    <w:p w14:paraId="6ACC1327" w14:textId="62958585" w:rsidR="001F1F64" w:rsidRDefault="006B6C8D">
      <w:bookmarkStart w:id="121" w:name="_Table_7._Admitted"/>
      <w:bookmarkEnd w:id="121"/>
      <w:r>
        <w:br w:type="page"/>
      </w:r>
    </w:p>
    <w:p w14:paraId="74FDE252" w14:textId="77777777" w:rsidR="0053555D" w:rsidRPr="00831F8F" w:rsidRDefault="0053555D" w:rsidP="0053555D">
      <w:pPr>
        <w:pStyle w:val="Heading3"/>
        <w:ind w:hanging="284"/>
      </w:pPr>
      <w:bookmarkStart w:id="122" w:name="_Table_7._Admitted_1"/>
      <w:bookmarkStart w:id="123" w:name="_Toc187313305"/>
      <w:bookmarkEnd w:id="122"/>
      <w:r w:rsidRPr="00831F8F">
        <w:lastRenderedPageBreak/>
        <w:t>Table 7. Admitted care characteristics for separations with explicit sepsis codes, public hospitals, 2022-23</w:t>
      </w:r>
      <w:bookmarkEnd w:id="123"/>
    </w:p>
    <w:tbl>
      <w:tblPr>
        <w:tblW w:w="14005" w:type="dxa"/>
        <w:tblInd w:w="-284" w:type="dxa"/>
        <w:tblLook w:val="04A0" w:firstRow="1" w:lastRow="0" w:firstColumn="1" w:lastColumn="0" w:noHBand="0" w:noVBand="1"/>
      </w:tblPr>
      <w:tblGrid>
        <w:gridCol w:w="5823"/>
        <w:gridCol w:w="1707"/>
        <w:gridCol w:w="1707"/>
        <w:gridCol w:w="1656"/>
        <w:gridCol w:w="1556"/>
        <w:gridCol w:w="1556"/>
      </w:tblGrid>
      <w:tr w:rsidR="0053555D" w:rsidRPr="00831F8F" w14:paraId="49F1DAFB" w14:textId="77777777" w:rsidTr="006F5124">
        <w:trPr>
          <w:trHeight w:val="778"/>
          <w:tblHeader/>
        </w:trPr>
        <w:tc>
          <w:tcPr>
            <w:tcW w:w="5823" w:type="dxa"/>
            <w:tcBorders>
              <w:top w:val="single" w:sz="4" w:space="0" w:color="auto"/>
              <w:left w:val="nil"/>
              <w:bottom w:val="single" w:sz="4" w:space="0" w:color="auto"/>
              <w:right w:val="nil"/>
            </w:tcBorders>
            <w:shd w:val="clear" w:color="auto" w:fill="auto"/>
            <w:vAlign w:val="bottom"/>
            <w:hideMark/>
          </w:tcPr>
          <w:p w14:paraId="4AE05BAD"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c>
          <w:tcPr>
            <w:tcW w:w="1707" w:type="dxa"/>
            <w:tcBorders>
              <w:top w:val="single" w:sz="4" w:space="0" w:color="auto"/>
              <w:left w:val="nil"/>
              <w:bottom w:val="single" w:sz="4" w:space="0" w:color="auto"/>
              <w:right w:val="nil"/>
            </w:tcBorders>
            <w:shd w:val="clear" w:color="auto" w:fill="auto"/>
            <w:vAlign w:val="bottom"/>
            <w:hideMark/>
          </w:tcPr>
          <w:p w14:paraId="1C29C74E" w14:textId="77777777" w:rsidR="0053555D" w:rsidRPr="00831F8F" w:rsidRDefault="0053555D" w:rsidP="006F5124">
            <w:pPr>
              <w:spacing w:after="0" w:line="240" w:lineRule="auto"/>
              <w:jc w:val="right"/>
              <w:rPr>
                <w:rFonts w:ascii="Calibri" w:eastAsia="Times New Roman" w:hAnsi="Calibri" w:cs="Calibri"/>
                <w:b/>
                <w:bCs/>
                <w:color w:val="auto"/>
                <w:sz w:val="20"/>
                <w:szCs w:val="20"/>
                <w:lang w:eastAsia="en-AU"/>
              </w:rPr>
            </w:pPr>
            <w:r w:rsidRPr="00831F8F">
              <w:rPr>
                <w:rFonts w:ascii="Calibri" w:eastAsia="Times New Roman" w:hAnsi="Calibri" w:cs="Calibri"/>
                <w:b/>
                <w:bCs/>
                <w:color w:val="auto"/>
                <w:sz w:val="20"/>
                <w:szCs w:val="20"/>
                <w:lang w:eastAsia="en-AU"/>
              </w:rPr>
              <w:t>Pre-sepsis separations</w:t>
            </w:r>
            <w:r w:rsidRPr="00831F8F">
              <w:rPr>
                <w:rFonts w:ascii="Calibri" w:eastAsia="Times New Roman" w:hAnsi="Calibri" w:cs="Calibri"/>
                <w:b/>
                <w:bCs/>
                <w:color w:val="auto"/>
                <w:sz w:val="20"/>
                <w:szCs w:val="20"/>
                <w:lang w:eastAsia="en-AU"/>
              </w:rPr>
              <w:br/>
              <w:t>(30 days)</w:t>
            </w:r>
          </w:p>
        </w:tc>
        <w:tc>
          <w:tcPr>
            <w:tcW w:w="1707" w:type="dxa"/>
            <w:tcBorders>
              <w:top w:val="single" w:sz="4" w:space="0" w:color="auto"/>
              <w:left w:val="nil"/>
              <w:bottom w:val="single" w:sz="4" w:space="0" w:color="auto"/>
              <w:right w:val="nil"/>
            </w:tcBorders>
            <w:shd w:val="clear" w:color="auto" w:fill="auto"/>
            <w:vAlign w:val="bottom"/>
            <w:hideMark/>
          </w:tcPr>
          <w:p w14:paraId="09CFAB72" w14:textId="77777777" w:rsidR="0053555D" w:rsidRPr="00831F8F" w:rsidRDefault="0053555D" w:rsidP="006F5124">
            <w:pPr>
              <w:spacing w:after="0" w:line="240" w:lineRule="auto"/>
              <w:jc w:val="right"/>
              <w:rPr>
                <w:rFonts w:ascii="Calibri" w:eastAsia="Times New Roman" w:hAnsi="Calibri" w:cs="Calibri"/>
                <w:b/>
                <w:bCs/>
                <w:color w:val="auto"/>
                <w:sz w:val="20"/>
                <w:szCs w:val="20"/>
                <w:lang w:eastAsia="en-AU"/>
              </w:rPr>
            </w:pPr>
            <w:r w:rsidRPr="00831F8F">
              <w:rPr>
                <w:rFonts w:ascii="Calibri" w:eastAsia="Times New Roman" w:hAnsi="Calibri" w:cs="Calibri"/>
                <w:b/>
                <w:bCs/>
                <w:color w:val="auto"/>
                <w:sz w:val="20"/>
                <w:szCs w:val="20"/>
                <w:lang w:eastAsia="en-AU"/>
              </w:rPr>
              <w:t>Sepsis separations (principal diagnosis)</w:t>
            </w:r>
          </w:p>
        </w:tc>
        <w:tc>
          <w:tcPr>
            <w:tcW w:w="1656" w:type="dxa"/>
            <w:tcBorders>
              <w:top w:val="single" w:sz="4" w:space="0" w:color="auto"/>
              <w:left w:val="nil"/>
              <w:bottom w:val="single" w:sz="4" w:space="0" w:color="auto"/>
              <w:right w:val="nil"/>
            </w:tcBorders>
            <w:shd w:val="clear" w:color="auto" w:fill="auto"/>
            <w:vAlign w:val="bottom"/>
            <w:hideMark/>
          </w:tcPr>
          <w:p w14:paraId="7EF0D90D" w14:textId="77777777" w:rsidR="0053555D" w:rsidRPr="00831F8F" w:rsidRDefault="0053555D" w:rsidP="006F5124">
            <w:pPr>
              <w:spacing w:after="0" w:line="240" w:lineRule="auto"/>
              <w:jc w:val="right"/>
              <w:rPr>
                <w:rFonts w:ascii="Calibri" w:eastAsia="Times New Roman" w:hAnsi="Calibri" w:cs="Calibri"/>
                <w:b/>
                <w:bCs/>
                <w:color w:val="auto"/>
                <w:sz w:val="20"/>
                <w:szCs w:val="20"/>
                <w:lang w:eastAsia="en-AU"/>
              </w:rPr>
            </w:pPr>
            <w:r w:rsidRPr="00831F8F">
              <w:rPr>
                <w:rFonts w:ascii="Calibri" w:eastAsia="Times New Roman" w:hAnsi="Calibri" w:cs="Calibri"/>
                <w:b/>
                <w:bCs/>
                <w:color w:val="auto"/>
                <w:sz w:val="20"/>
                <w:szCs w:val="20"/>
                <w:lang w:eastAsia="en-AU"/>
              </w:rPr>
              <w:t>Sepsis separations (secondary diagnosis)</w:t>
            </w:r>
          </w:p>
        </w:tc>
        <w:tc>
          <w:tcPr>
            <w:tcW w:w="1556" w:type="dxa"/>
            <w:tcBorders>
              <w:top w:val="single" w:sz="4" w:space="0" w:color="auto"/>
              <w:left w:val="nil"/>
              <w:bottom w:val="single" w:sz="4" w:space="0" w:color="auto"/>
              <w:right w:val="nil"/>
            </w:tcBorders>
            <w:shd w:val="clear" w:color="auto" w:fill="auto"/>
            <w:vAlign w:val="bottom"/>
            <w:hideMark/>
          </w:tcPr>
          <w:p w14:paraId="78C3C11A" w14:textId="77777777" w:rsidR="0053555D" w:rsidRPr="00831F8F" w:rsidRDefault="0053555D" w:rsidP="006F5124">
            <w:pPr>
              <w:spacing w:after="0" w:line="240" w:lineRule="auto"/>
              <w:jc w:val="right"/>
              <w:rPr>
                <w:rFonts w:ascii="Calibri" w:eastAsia="Times New Roman" w:hAnsi="Calibri" w:cs="Calibri"/>
                <w:b/>
                <w:bCs/>
                <w:color w:val="auto"/>
                <w:sz w:val="20"/>
                <w:szCs w:val="20"/>
                <w:lang w:eastAsia="en-AU"/>
              </w:rPr>
            </w:pPr>
            <w:r w:rsidRPr="00831F8F">
              <w:rPr>
                <w:rFonts w:ascii="Calibri" w:eastAsia="Times New Roman" w:hAnsi="Calibri" w:cs="Calibri"/>
                <w:b/>
                <w:bCs/>
                <w:color w:val="auto"/>
                <w:sz w:val="20"/>
                <w:szCs w:val="20"/>
                <w:lang w:eastAsia="en-AU"/>
              </w:rPr>
              <w:t>Sepsis separations</w:t>
            </w:r>
          </w:p>
        </w:tc>
        <w:tc>
          <w:tcPr>
            <w:tcW w:w="1556" w:type="dxa"/>
            <w:tcBorders>
              <w:top w:val="single" w:sz="4" w:space="0" w:color="auto"/>
              <w:left w:val="nil"/>
              <w:bottom w:val="single" w:sz="4" w:space="0" w:color="auto"/>
              <w:right w:val="nil"/>
            </w:tcBorders>
            <w:shd w:val="clear" w:color="auto" w:fill="auto"/>
            <w:vAlign w:val="bottom"/>
            <w:hideMark/>
          </w:tcPr>
          <w:p w14:paraId="08D40C8B" w14:textId="77777777" w:rsidR="0053555D" w:rsidRPr="00831F8F" w:rsidRDefault="0053555D" w:rsidP="006F5124">
            <w:pPr>
              <w:spacing w:after="0" w:line="240" w:lineRule="auto"/>
              <w:jc w:val="right"/>
              <w:rPr>
                <w:rFonts w:ascii="Calibri" w:eastAsia="Times New Roman" w:hAnsi="Calibri" w:cs="Calibri"/>
                <w:b/>
                <w:bCs/>
                <w:color w:val="auto"/>
                <w:sz w:val="20"/>
                <w:szCs w:val="20"/>
                <w:lang w:eastAsia="en-AU"/>
              </w:rPr>
            </w:pPr>
            <w:r w:rsidRPr="00831F8F">
              <w:rPr>
                <w:rFonts w:ascii="Calibri" w:eastAsia="Times New Roman" w:hAnsi="Calibri" w:cs="Calibri"/>
                <w:b/>
                <w:bCs/>
                <w:color w:val="auto"/>
                <w:sz w:val="20"/>
                <w:szCs w:val="20"/>
                <w:lang w:eastAsia="en-AU"/>
              </w:rPr>
              <w:t xml:space="preserve">Post-sepsis readmissions </w:t>
            </w:r>
            <w:r w:rsidRPr="00831F8F">
              <w:rPr>
                <w:rFonts w:ascii="Calibri" w:eastAsia="Times New Roman" w:hAnsi="Calibri" w:cs="Calibri"/>
                <w:b/>
                <w:bCs/>
                <w:color w:val="auto"/>
                <w:sz w:val="20"/>
                <w:szCs w:val="20"/>
                <w:lang w:eastAsia="en-AU"/>
              </w:rPr>
              <w:br/>
              <w:t>(30 days)</w:t>
            </w:r>
          </w:p>
        </w:tc>
      </w:tr>
      <w:tr w:rsidR="0053555D" w:rsidRPr="00831F8F" w14:paraId="3E48A90F" w14:textId="77777777" w:rsidTr="006F5124">
        <w:trPr>
          <w:trHeight w:val="259"/>
        </w:trPr>
        <w:tc>
          <w:tcPr>
            <w:tcW w:w="5823" w:type="dxa"/>
            <w:tcBorders>
              <w:top w:val="nil"/>
              <w:left w:val="nil"/>
              <w:bottom w:val="nil"/>
              <w:right w:val="nil"/>
            </w:tcBorders>
            <w:shd w:val="clear" w:color="auto" w:fill="auto"/>
            <w:noWrap/>
            <w:hideMark/>
          </w:tcPr>
          <w:p w14:paraId="5E6AA8A5"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w:t>
            </w:r>
          </w:p>
        </w:tc>
        <w:tc>
          <w:tcPr>
            <w:tcW w:w="1707" w:type="dxa"/>
            <w:tcBorders>
              <w:top w:val="nil"/>
              <w:left w:val="nil"/>
              <w:bottom w:val="nil"/>
              <w:right w:val="nil"/>
            </w:tcBorders>
            <w:shd w:val="clear" w:color="auto" w:fill="auto"/>
            <w:noWrap/>
            <w:hideMark/>
          </w:tcPr>
          <w:p w14:paraId="3CD4BD8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24,498</w:t>
            </w:r>
          </w:p>
        </w:tc>
        <w:tc>
          <w:tcPr>
            <w:tcW w:w="1707" w:type="dxa"/>
            <w:tcBorders>
              <w:top w:val="nil"/>
              <w:left w:val="nil"/>
              <w:bottom w:val="nil"/>
              <w:right w:val="nil"/>
            </w:tcBorders>
            <w:shd w:val="clear" w:color="auto" w:fill="auto"/>
            <w:noWrap/>
            <w:hideMark/>
          </w:tcPr>
          <w:p w14:paraId="48769F2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32,608</w:t>
            </w:r>
          </w:p>
        </w:tc>
        <w:tc>
          <w:tcPr>
            <w:tcW w:w="1656" w:type="dxa"/>
            <w:tcBorders>
              <w:top w:val="nil"/>
              <w:left w:val="nil"/>
              <w:bottom w:val="nil"/>
              <w:right w:val="nil"/>
            </w:tcBorders>
            <w:shd w:val="clear" w:color="auto" w:fill="auto"/>
            <w:noWrap/>
            <w:hideMark/>
          </w:tcPr>
          <w:p w14:paraId="09C3A7B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60,258</w:t>
            </w:r>
          </w:p>
        </w:tc>
        <w:tc>
          <w:tcPr>
            <w:tcW w:w="1556" w:type="dxa"/>
            <w:tcBorders>
              <w:top w:val="nil"/>
              <w:left w:val="nil"/>
              <w:bottom w:val="nil"/>
              <w:right w:val="nil"/>
            </w:tcBorders>
            <w:shd w:val="clear" w:color="auto" w:fill="auto"/>
            <w:noWrap/>
            <w:hideMark/>
          </w:tcPr>
          <w:p w14:paraId="320581C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84,382</w:t>
            </w:r>
          </w:p>
        </w:tc>
        <w:tc>
          <w:tcPr>
            <w:tcW w:w="1556" w:type="dxa"/>
            <w:tcBorders>
              <w:top w:val="nil"/>
              <w:left w:val="nil"/>
              <w:bottom w:val="nil"/>
              <w:right w:val="nil"/>
            </w:tcBorders>
            <w:shd w:val="clear" w:color="auto" w:fill="auto"/>
            <w:noWrap/>
            <w:hideMark/>
          </w:tcPr>
          <w:p w14:paraId="184F890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21,434</w:t>
            </w:r>
          </w:p>
        </w:tc>
      </w:tr>
      <w:tr w:rsidR="0053555D" w:rsidRPr="00831F8F" w14:paraId="2EE389FB" w14:textId="77777777" w:rsidTr="006F5124">
        <w:trPr>
          <w:trHeight w:val="259"/>
        </w:trPr>
        <w:tc>
          <w:tcPr>
            <w:tcW w:w="5823" w:type="dxa"/>
            <w:tcBorders>
              <w:top w:val="nil"/>
              <w:left w:val="nil"/>
              <w:bottom w:val="nil"/>
              <w:right w:val="nil"/>
            </w:tcBorders>
            <w:shd w:val="clear" w:color="auto" w:fill="auto"/>
            <w:noWrap/>
            <w:hideMark/>
          </w:tcPr>
          <w:p w14:paraId="048A8449"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Urgency of admission, n(%) </w:t>
            </w:r>
          </w:p>
        </w:tc>
        <w:tc>
          <w:tcPr>
            <w:tcW w:w="1707" w:type="dxa"/>
            <w:tcBorders>
              <w:top w:val="nil"/>
              <w:left w:val="nil"/>
              <w:bottom w:val="nil"/>
              <w:right w:val="nil"/>
            </w:tcBorders>
            <w:shd w:val="clear" w:color="auto" w:fill="auto"/>
            <w:noWrap/>
            <w:hideMark/>
          </w:tcPr>
          <w:p w14:paraId="5101A435"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47056E3A"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36629345"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7EB87CA1"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06922008"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4D4947A5" w14:textId="77777777" w:rsidTr="006F5124">
        <w:trPr>
          <w:trHeight w:val="259"/>
        </w:trPr>
        <w:tc>
          <w:tcPr>
            <w:tcW w:w="5823" w:type="dxa"/>
            <w:tcBorders>
              <w:top w:val="nil"/>
              <w:left w:val="nil"/>
              <w:bottom w:val="nil"/>
              <w:right w:val="nil"/>
            </w:tcBorders>
            <w:shd w:val="clear" w:color="auto" w:fill="auto"/>
            <w:noWrap/>
            <w:hideMark/>
          </w:tcPr>
          <w:p w14:paraId="6A31291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Emergency</w:t>
            </w:r>
          </w:p>
        </w:tc>
        <w:tc>
          <w:tcPr>
            <w:tcW w:w="1707" w:type="dxa"/>
            <w:tcBorders>
              <w:top w:val="nil"/>
              <w:left w:val="nil"/>
              <w:bottom w:val="nil"/>
              <w:right w:val="nil"/>
            </w:tcBorders>
            <w:shd w:val="clear" w:color="auto" w:fill="auto"/>
            <w:noWrap/>
            <w:hideMark/>
          </w:tcPr>
          <w:p w14:paraId="7B01449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15,083 (61.6%)</w:t>
            </w:r>
          </w:p>
        </w:tc>
        <w:tc>
          <w:tcPr>
            <w:tcW w:w="1707" w:type="dxa"/>
            <w:tcBorders>
              <w:top w:val="nil"/>
              <w:left w:val="nil"/>
              <w:bottom w:val="nil"/>
              <w:right w:val="nil"/>
            </w:tcBorders>
            <w:shd w:val="clear" w:color="auto" w:fill="auto"/>
            <w:noWrap/>
            <w:hideMark/>
          </w:tcPr>
          <w:p w14:paraId="7AB0753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26,491 (81.2%)</w:t>
            </w:r>
          </w:p>
        </w:tc>
        <w:tc>
          <w:tcPr>
            <w:tcW w:w="1656" w:type="dxa"/>
            <w:tcBorders>
              <w:top w:val="nil"/>
              <w:left w:val="nil"/>
              <w:bottom w:val="nil"/>
              <w:right w:val="nil"/>
            </w:tcBorders>
            <w:shd w:val="clear" w:color="auto" w:fill="auto"/>
            <w:noWrap/>
            <w:hideMark/>
          </w:tcPr>
          <w:p w14:paraId="5E8ED46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46,448 (77.1%)</w:t>
            </w:r>
          </w:p>
        </w:tc>
        <w:tc>
          <w:tcPr>
            <w:tcW w:w="1556" w:type="dxa"/>
            <w:tcBorders>
              <w:top w:val="nil"/>
              <w:left w:val="nil"/>
              <w:bottom w:val="nil"/>
              <w:right w:val="nil"/>
            </w:tcBorders>
            <w:shd w:val="clear" w:color="auto" w:fill="auto"/>
            <w:noWrap/>
            <w:hideMark/>
          </w:tcPr>
          <w:p w14:paraId="2877E15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65,742 (77.9%)</w:t>
            </w:r>
          </w:p>
        </w:tc>
        <w:tc>
          <w:tcPr>
            <w:tcW w:w="1556" w:type="dxa"/>
            <w:tcBorders>
              <w:top w:val="nil"/>
              <w:left w:val="nil"/>
              <w:bottom w:val="nil"/>
              <w:right w:val="nil"/>
            </w:tcBorders>
            <w:shd w:val="clear" w:color="auto" w:fill="auto"/>
            <w:noWrap/>
            <w:hideMark/>
          </w:tcPr>
          <w:p w14:paraId="1A0BAF1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13,168 (61.4%)</w:t>
            </w:r>
          </w:p>
        </w:tc>
      </w:tr>
      <w:tr w:rsidR="0053555D" w:rsidRPr="00831F8F" w14:paraId="04268951" w14:textId="77777777" w:rsidTr="006F5124">
        <w:trPr>
          <w:trHeight w:val="259"/>
        </w:trPr>
        <w:tc>
          <w:tcPr>
            <w:tcW w:w="5823" w:type="dxa"/>
            <w:tcBorders>
              <w:top w:val="nil"/>
              <w:left w:val="nil"/>
              <w:bottom w:val="nil"/>
              <w:right w:val="nil"/>
            </w:tcBorders>
            <w:shd w:val="clear" w:color="auto" w:fill="auto"/>
            <w:noWrap/>
            <w:hideMark/>
          </w:tcPr>
          <w:p w14:paraId="0F4E5E8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Elective</w:t>
            </w:r>
          </w:p>
        </w:tc>
        <w:tc>
          <w:tcPr>
            <w:tcW w:w="1707" w:type="dxa"/>
            <w:tcBorders>
              <w:top w:val="nil"/>
              <w:left w:val="nil"/>
              <w:bottom w:val="nil"/>
              <w:right w:val="nil"/>
            </w:tcBorders>
            <w:shd w:val="clear" w:color="auto" w:fill="auto"/>
            <w:noWrap/>
            <w:hideMark/>
          </w:tcPr>
          <w:p w14:paraId="4C8E50B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5,124 (20.9%)</w:t>
            </w:r>
          </w:p>
        </w:tc>
        <w:tc>
          <w:tcPr>
            <w:tcW w:w="1707" w:type="dxa"/>
            <w:tcBorders>
              <w:top w:val="nil"/>
              <w:left w:val="nil"/>
              <w:bottom w:val="nil"/>
              <w:right w:val="nil"/>
            </w:tcBorders>
            <w:shd w:val="clear" w:color="auto" w:fill="auto"/>
            <w:noWrap/>
            <w:hideMark/>
          </w:tcPr>
          <w:p w14:paraId="0ABB623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1,805 (5.5%)</w:t>
            </w:r>
          </w:p>
        </w:tc>
        <w:tc>
          <w:tcPr>
            <w:tcW w:w="1656" w:type="dxa"/>
            <w:tcBorders>
              <w:top w:val="nil"/>
              <w:left w:val="nil"/>
              <w:bottom w:val="nil"/>
              <w:right w:val="nil"/>
            </w:tcBorders>
            <w:shd w:val="clear" w:color="auto" w:fill="auto"/>
            <w:noWrap/>
            <w:hideMark/>
          </w:tcPr>
          <w:p w14:paraId="51B464E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5,192 (8.6%)</w:t>
            </w:r>
          </w:p>
        </w:tc>
        <w:tc>
          <w:tcPr>
            <w:tcW w:w="1556" w:type="dxa"/>
            <w:tcBorders>
              <w:top w:val="nil"/>
              <w:left w:val="nil"/>
              <w:bottom w:val="nil"/>
              <w:right w:val="nil"/>
            </w:tcBorders>
            <w:shd w:val="clear" w:color="auto" w:fill="auto"/>
            <w:noWrap/>
            <w:hideMark/>
          </w:tcPr>
          <w:p w14:paraId="108FA1E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6,560 (7.8%)</w:t>
            </w:r>
          </w:p>
        </w:tc>
        <w:tc>
          <w:tcPr>
            <w:tcW w:w="1556" w:type="dxa"/>
            <w:tcBorders>
              <w:top w:val="nil"/>
              <w:left w:val="nil"/>
              <w:bottom w:val="nil"/>
              <w:right w:val="nil"/>
            </w:tcBorders>
            <w:shd w:val="clear" w:color="auto" w:fill="auto"/>
            <w:noWrap/>
            <w:hideMark/>
          </w:tcPr>
          <w:p w14:paraId="7141CB7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5,429 (25.3%)</w:t>
            </w:r>
          </w:p>
        </w:tc>
      </w:tr>
      <w:tr w:rsidR="0053555D" w:rsidRPr="00831F8F" w14:paraId="135C04F6" w14:textId="77777777" w:rsidTr="006F5124">
        <w:trPr>
          <w:trHeight w:val="259"/>
        </w:trPr>
        <w:tc>
          <w:tcPr>
            <w:tcW w:w="5823" w:type="dxa"/>
            <w:tcBorders>
              <w:top w:val="nil"/>
              <w:left w:val="nil"/>
              <w:bottom w:val="nil"/>
              <w:right w:val="nil"/>
            </w:tcBorders>
            <w:shd w:val="clear" w:color="auto" w:fill="auto"/>
            <w:noWrap/>
            <w:hideMark/>
          </w:tcPr>
          <w:p w14:paraId="556EA53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Not assigned</w:t>
            </w:r>
          </w:p>
        </w:tc>
        <w:tc>
          <w:tcPr>
            <w:tcW w:w="1707" w:type="dxa"/>
            <w:tcBorders>
              <w:top w:val="nil"/>
              <w:left w:val="nil"/>
              <w:bottom w:val="nil"/>
              <w:right w:val="nil"/>
            </w:tcBorders>
            <w:shd w:val="clear" w:color="auto" w:fill="auto"/>
            <w:noWrap/>
            <w:hideMark/>
          </w:tcPr>
          <w:p w14:paraId="10C42E8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4,270 (17.4%)</w:t>
            </w:r>
          </w:p>
        </w:tc>
        <w:tc>
          <w:tcPr>
            <w:tcW w:w="1707" w:type="dxa"/>
            <w:tcBorders>
              <w:top w:val="nil"/>
              <w:left w:val="nil"/>
              <w:bottom w:val="nil"/>
              <w:right w:val="nil"/>
            </w:tcBorders>
            <w:shd w:val="clear" w:color="auto" w:fill="auto"/>
            <w:noWrap/>
            <w:hideMark/>
          </w:tcPr>
          <w:p w14:paraId="513ACAB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4,282 (13.1%)</w:t>
            </w:r>
          </w:p>
        </w:tc>
        <w:tc>
          <w:tcPr>
            <w:tcW w:w="1656" w:type="dxa"/>
            <w:tcBorders>
              <w:top w:val="nil"/>
              <w:left w:val="nil"/>
              <w:bottom w:val="nil"/>
              <w:right w:val="nil"/>
            </w:tcBorders>
            <w:shd w:val="clear" w:color="auto" w:fill="auto"/>
            <w:noWrap/>
            <w:hideMark/>
          </w:tcPr>
          <w:p w14:paraId="577E984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8,541 (14.2%)</w:t>
            </w:r>
          </w:p>
        </w:tc>
        <w:tc>
          <w:tcPr>
            <w:tcW w:w="1556" w:type="dxa"/>
            <w:tcBorders>
              <w:top w:val="nil"/>
              <w:left w:val="nil"/>
              <w:bottom w:val="nil"/>
              <w:right w:val="nil"/>
            </w:tcBorders>
            <w:shd w:val="clear" w:color="auto" w:fill="auto"/>
            <w:noWrap/>
            <w:hideMark/>
          </w:tcPr>
          <w:p w14:paraId="2EA3D90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11,980 (14.2%)</w:t>
            </w:r>
          </w:p>
        </w:tc>
        <w:tc>
          <w:tcPr>
            <w:tcW w:w="1556" w:type="dxa"/>
            <w:tcBorders>
              <w:top w:val="nil"/>
              <w:left w:val="nil"/>
              <w:bottom w:val="nil"/>
              <w:right w:val="nil"/>
            </w:tcBorders>
            <w:shd w:val="clear" w:color="auto" w:fill="auto"/>
            <w:noWrap/>
            <w:hideMark/>
          </w:tcPr>
          <w:p w14:paraId="5ECA564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2,820 (13.2%)</w:t>
            </w:r>
          </w:p>
        </w:tc>
      </w:tr>
      <w:tr w:rsidR="0053555D" w:rsidRPr="00831F8F" w14:paraId="6F08C776" w14:textId="77777777" w:rsidTr="006F5124">
        <w:trPr>
          <w:trHeight w:val="259"/>
        </w:trPr>
        <w:tc>
          <w:tcPr>
            <w:tcW w:w="5823" w:type="dxa"/>
            <w:tcBorders>
              <w:top w:val="nil"/>
              <w:left w:val="nil"/>
              <w:bottom w:val="nil"/>
              <w:right w:val="nil"/>
            </w:tcBorders>
            <w:shd w:val="clear" w:color="auto" w:fill="auto"/>
            <w:noWrap/>
            <w:hideMark/>
          </w:tcPr>
          <w:p w14:paraId="4C3702D2"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Transferred from another hospital, n(%)</w:t>
            </w:r>
          </w:p>
        </w:tc>
        <w:tc>
          <w:tcPr>
            <w:tcW w:w="1707" w:type="dxa"/>
            <w:tcBorders>
              <w:top w:val="nil"/>
              <w:left w:val="nil"/>
              <w:bottom w:val="nil"/>
              <w:right w:val="nil"/>
            </w:tcBorders>
            <w:shd w:val="clear" w:color="auto" w:fill="auto"/>
            <w:noWrap/>
            <w:hideMark/>
          </w:tcPr>
          <w:p w14:paraId="757407A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2,853 (11.6%)</w:t>
            </w:r>
          </w:p>
        </w:tc>
        <w:tc>
          <w:tcPr>
            <w:tcW w:w="1707" w:type="dxa"/>
            <w:tcBorders>
              <w:top w:val="nil"/>
              <w:left w:val="nil"/>
              <w:bottom w:val="nil"/>
              <w:right w:val="nil"/>
            </w:tcBorders>
            <w:shd w:val="clear" w:color="auto" w:fill="auto"/>
            <w:noWrap/>
            <w:hideMark/>
          </w:tcPr>
          <w:p w14:paraId="7F55A76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3,327 (10.2%)</w:t>
            </w:r>
          </w:p>
        </w:tc>
        <w:tc>
          <w:tcPr>
            <w:tcW w:w="1656" w:type="dxa"/>
            <w:tcBorders>
              <w:top w:val="nil"/>
              <w:left w:val="nil"/>
              <w:bottom w:val="nil"/>
              <w:right w:val="nil"/>
            </w:tcBorders>
            <w:shd w:val="clear" w:color="auto" w:fill="auto"/>
            <w:noWrap/>
            <w:hideMark/>
          </w:tcPr>
          <w:p w14:paraId="14049E7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8,109 (13.5%)</w:t>
            </w:r>
          </w:p>
        </w:tc>
        <w:tc>
          <w:tcPr>
            <w:tcW w:w="1556" w:type="dxa"/>
            <w:tcBorders>
              <w:top w:val="nil"/>
              <w:left w:val="nil"/>
              <w:bottom w:val="nil"/>
              <w:right w:val="nil"/>
            </w:tcBorders>
            <w:shd w:val="clear" w:color="auto" w:fill="auto"/>
            <w:noWrap/>
            <w:hideMark/>
          </w:tcPr>
          <w:p w14:paraId="104133E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10,260 (12.2%)</w:t>
            </w:r>
          </w:p>
        </w:tc>
        <w:tc>
          <w:tcPr>
            <w:tcW w:w="1556" w:type="dxa"/>
            <w:tcBorders>
              <w:top w:val="nil"/>
              <w:left w:val="nil"/>
              <w:bottom w:val="nil"/>
              <w:right w:val="nil"/>
            </w:tcBorders>
            <w:shd w:val="clear" w:color="auto" w:fill="auto"/>
            <w:noWrap/>
            <w:hideMark/>
          </w:tcPr>
          <w:p w14:paraId="3070B62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6,534 (30.5%)</w:t>
            </w:r>
          </w:p>
        </w:tc>
      </w:tr>
      <w:tr w:rsidR="0053555D" w:rsidRPr="00831F8F" w14:paraId="0225443B" w14:textId="77777777" w:rsidTr="006F5124">
        <w:trPr>
          <w:trHeight w:val="259"/>
        </w:trPr>
        <w:tc>
          <w:tcPr>
            <w:tcW w:w="5823" w:type="dxa"/>
            <w:tcBorders>
              <w:top w:val="nil"/>
              <w:left w:val="nil"/>
              <w:bottom w:val="nil"/>
              <w:right w:val="nil"/>
            </w:tcBorders>
            <w:shd w:val="clear" w:color="auto" w:fill="auto"/>
            <w:noWrap/>
            <w:hideMark/>
          </w:tcPr>
          <w:p w14:paraId="3ED8FD24"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Length of stay (days)</w:t>
            </w:r>
          </w:p>
        </w:tc>
        <w:tc>
          <w:tcPr>
            <w:tcW w:w="1707" w:type="dxa"/>
            <w:tcBorders>
              <w:top w:val="nil"/>
              <w:left w:val="nil"/>
              <w:bottom w:val="nil"/>
              <w:right w:val="nil"/>
            </w:tcBorders>
            <w:shd w:val="clear" w:color="auto" w:fill="auto"/>
            <w:noWrap/>
            <w:hideMark/>
          </w:tcPr>
          <w:p w14:paraId="257430E9"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75852485"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0FD70645"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47183399"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068046B5"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43F50774" w14:textId="77777777" w:rsidTr="006F5124">
        <w:trPr>
          <w:trHeight w:val="259"/>
        </w:trPr>
        <w:tc>
          <w:tcPr>
            <w:tcW w:w="5823" w:type="dxa"/>
            <w:tcBorders>
              <w:top w:val="nil"/>
              <w:left w:val="nil"/>
              <w:bottom w:val="nil"/>
              <w:right w:val="nil"/>
            </w:tcBorders>
            <w:shd w:val="clear" w:color="auto" w:fill="auto"/>
            <w:noWrap/>
            <w:hideMark/>
          </w:tcPr>
          <w:p w14:paraId="6AB740E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mean (SD)</w:t>
            </w:r>
          </w:p>
        </w:tc>
        <w:tc>
          <w:tcPr>
            <w:tcW w:w="1707" w:type="dxa"/>
            <w:tcBorders>
              <w:top w:val="nil"/>
              <w:left w:val="nil"/>
              <w:bottom w:val="nil"/>
              <w:right w:val="nil"/>
            </w:tcBorders>
            <w:shd w:val="clear" w:color="auto" w:fill="auto"/>
            <w:noWrap/>
            <w:hideMark/>
          </w:tcPr>
          <w:p w14:paraId="1342DED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7 (15.0)</w:t>
            </w:r>
          </w:p>
        </w:tc>
        <w:tc>
          <w:tcPr>
            <w:tcW w:w="1707" w:type="dxa"/>
            <w:tcBorders>
              <w:top w:val="nil"/>
              <w:left w:val="nil"/>
              <w:bottom w:val="nil"/>
              <w:right w:val="nil"/>
            </w:tcBorders>
            <w:shd w:val="clear" w:color="auto" w:fill="auto"/>
            <w:noWrap/>
            <w:hideMark/>
          </w:tcPr>
          <w:p w14:paraId="076B38DF" w14:textId="1BDFDF53"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8 </w:t>
            </w:r>
            <w:r w:rsidR="00E7181E" w:rsidRPr="00831F8F">
              <w:rPr>
                <w:rFonts w:ascii="Calibri" w:eastAsia="Times New Roman" w:hAnsi="Calibri" w:cs="Calibri"/>
                <w:color w:val="auto"/>
                <w:sz w:val="20"/>
                <w:szCs w:val="20"/>
                <w:lang w:eastAsia="en-AU"/>
              </w:rPr>
              <w:t>(11.5</w:t>
            </w:r>
            <w:r w:rsidRPr="00831F8F">
              <w:rPr>
                <w:rFonts w:ascii="Calibri" w:eastAsia="Times New Roman" w:hAnsi="Calibri" w:cs="Calibri"/>
                <w:color w:val="auto"/>
                <w:sz w:val="20"/>
                <w:szCs w:val="20"/>
                <w:lang w:eastAsia="en-AU"/>
              </w:rPr>
              <w:t>)</w:t>
            </w:r>
          </w:p>
        </w:tc>
        <w:tc>
          <w:tcPr>
            <w:tcW w:w="1656" w:type="dxa"/>
            <w:tcBorders>
              <w:top w:val="nil"/>
              <w:left w:val="nil"/>
              <w:bottom w:val="nil"/>
              <w:right w:val="nil"/>
            </w:tcBorders>
            <w:shd w:val="clear" w:color="auto" w:fill="auto"/>
            <w:noWrap/>
            <w:hideMark/>
          </w:tcPr>
          <w:p w14:paraId="37716BE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15 (25.3)</w:t>
            </w:r>
          </w:p>
        </w:tc>
        <w:tc>
          <w:tcPr>
            <w:tcW w:w="1556" w:type="dxa"/>
            <w:tcBorders>
              <w:top w:val="nil"/>
              <w:left w:val="nil"/>
              <w:bottom w:val="nil"/>
              <w:right w:val="nil"/>
            </w:tcBorders>
            <w:shd w:val="clear" w:color="auto" w:fill="auto"/>
            <w:noWrap/>
            <w:hideMark/>
          </w:tcPr>
          <w:p w14:paraId="15461D52" w14:textId="3E0C302E"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13 </w:t>
            </w:r>
            <w:r w:rsidR="00E7181E" w:rsidRPr="00831F8F">
              <w:rPr>
                <w:rFonts w:ascii="Calibri" w:eastAsia="Times New Roman" w:hAnsi="Calibri" w:cs="Calibri"/>
                <w:color w:val="auto"/>
                <w:sz w:val="20"/>
                <w:szCs w:val="20"/>
                <w:lang w:eastAsia="en-AU"/>
              </w:rPr>
              <w:t>(22.2</w:t>
            </w:r>
            <w:r w:rsidRPr="00831F8F">
              <w:rPr>
                <w:rFonts w:ascii="Calibri" w:eastAsia="Times New Roman" w:hAnsi="Calibri" w:cs="Calibri"/>
                <w:color w:val="auto"/>
                <w:sz w:val="20"/>
                <w:szCs w:val="20"/>
                <w:lang w:eastAsia="en-AU"/>
              </w:rPr>
              <w:t>)</w:t>
            </w:r>
          </w:p>
        </w:tc>
        <w:tc>
          <w:tcPr>
            <w:tcW w:w="1556" w:type="dxa"/>
            <w:tcBorders>
              <w:top w:val="nil"/>
              <w:left w:val="nil"/>
              <w:bottom w:val="nil"/>
              <w:right w:val="nil"/>
            </w:tcBorders>
            <w:shd w:val="clear" w:color="auto" w:fill="auto"/>
            <w:noWrap/>
            <w:hideMark/>
          </w:tcPr>
          <w:p w14:paraId="3DDF8B6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8 (12.0)</w:t>
            </w:r>
          </w:p>
        </w:tc>
      </w:tr>
      <w:tr w:rsidR="0053555D" w:rsidRPr="00831F8F" w14:paraId="6B958550" w14:textId="77777777" w:rsidTr="006F5124">
        <w:trPr>
          <w:trHeight w:val="259"/>
        </w:trPr>
        <w:tc>
          <w:tcPr>
            <w:tcW w:w="5823" w:type="dxa"/>
            <w:tcBorders>
              <w:top w:val="nil"/>
              <w:left w:val="nil"/>
              <w:bottom w:val="nil"/>
              <w:right w:val="nil"/>
            </w:tcBorders>
            <w:shd w:val="clear" w:color="auto" w:fill="auto"/>
            <w:noWrap/>
            <w:hideMark/>
          </w:tcPr>
          <w:p w14:paraId="2A2BB6B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median (IQR)</w:t>
            </w:r>
          </w:p>
        </w:tc>
        <w:tc>
          <w:tcPr>
            <w:tcW w:w="1707" w:type="dxa"/>
            <w:tcBorders>
              <w:top w:val="nil"/>
              <w:left w:val="nil"/>
              <w:bottom w:val="nil"/>
              <w:right w:val="nil"/>
            </w:tcBorders>
            <w:shd w:val="clear" w:color="auto" w:fill="auto"/>
            <w:noWrap/>
            <w:hideMark/>
          </w:tcPr>
          <w:p w14:paraId="6A0D98E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3 (1-7)</w:t>
            </w:r>
          </w:p>
        </w:tc>
        <w:tc>
          <w:tcPr>
            <w:tcW w:w="1707" w:type="dxa"/>
            <w:tcBorders>
              <w:top w:val="nil"/>
              <w:left w:val="nil"/>
              <w:bottom w:val="nil"/>
              <w:right w:val="nil"/>
            </w:tcBorders>
            <w:shd w:val="clear" w:color="auto" w:fill="auto"/>
            <w:noWrap/>
            <w:hideMark/>
          </w:tcPr>
          <w:p w14:paraId="26B054A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5 (2-10)</w:t>
            </w:r>
          </w:p>
        </w:tc>
        <w:tc>
          <w:tcPr>
            <w:tcW w:w="1656" w:type="dxa"/>
            <w:tcBorders>
              <w:top w:val="nil"/>
              <w:left w:val="nil"/>
              <w:bottom w:val="nil"/>
              <w:right w:val="nil"/>
            </w:tcBorders>
            <w:shd w:val="clear" w:color="auto" w:fill="auto"/>
            <w:noWrap/>
            <w:hideMark/>
          </w:tcPr>
          <w:p w14:paraId="55AD3A8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8 (4-17)</w:t>
            </w:r>
          </w:p>
        </w:tc>
        <w:tc>
          <w:tcPr>
            <w:tcW w:w="1556" w:type="dxa"/>
            <w:tcBorders>
              <w:top w:val="nil"/>
              <w:left w:val="nil"/>
              <w:bottom w:val="nil"/>
              <w:right w:val="nil"/>
            </w:tcBorders>
            <w:shd w:val="clear" w:color="auto" w:fill="auto"/>
            <w:noWrap/>
            <w:hideMark/>
          </w:tcPr>
          <w:p w14:paraId="71AA2F8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7 (3-14)</w:t>
            </w:r>
          </w:p>
        </w:tc>
        <w:tc>
          <w:tcPr>
            <w:tcW w:w="1556" w:type="dxa"/>
            <w:tcBorders>
              <w:top w:val="nil"/>
              <w:left w:val="nil"/>
              <w:bottom w:val="nil"/>
              <w:right w:val="nil"/>
            </w:tcBorders>
            <w:shd w:val="clear" w:color="auto" w:fill="auto"/>
            <w:noWrap/>
            <w:hideMark/>
          </w:tcPr>
          <w:p w14:paraId="28EEC8A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4 (1-10)</w:t>
            </w:r>
          </w:p>
        </w:tc>
      </w:tr>
      <w:tr w:rsidR="0053555D" w:rsidRPr="00831F8F" w14:paraId="5ED8909E" w14:textId="77777777" w:rsidTr="006F5124">
        <w:trPr>
          <w:trHeight w:val="259"/>
        </w:trPr>
        <w:tc>
          <w:tcPr>
            <w:tcW w:w="5823" w:type="dxa"/>
            <w:tcBorders>
              <w:top w:val="nil"/>
              <w:left w:val="nil"/>
              <w:bottom w:val="nil"/>
              <w:right w:val="nil"/>
            </w:tcBorders>
            <w:shd w:val="clear" w:color="auto" w:fill="auto"/>
            <w:noWrap/>
            <w:hideMark/>
          </w:tcPr>
          <w:p w14:paraId="6228408D"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Admission to ICU, n(%)</w:t>
            </w:r>
          </w:p>
        </w:tc>
        <w:tc>
          <w:tcPr>
            <w:tcW w:w="1707" w:type="dxa"/>
            <w:tcBorders>
              <w:top w:val="nil"/>
              <w:left w:val="nil"/>
              <w:bottom w:val="nil"/>
              <w:right w:val="nil"/>
            </w:tcBorders>
            <w:shd w:val="clear" w:color="auto" w:fill="auto"/>
            <w:noWrap/>
            <w:hideMark/>
          </w:tcPr>
          <w:p w14:paraId="3D41500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2,314 (9.4%)</w:t>
            </w:r>
          </w:p>
        </w:tc>
        <w:tc>
          <w:tcPr>
            <w:tcW w:w="1707" w:type="dxa"/>
            <w:tcBorders>
              <w:top w:val="nil"/>
              <w:left w:val="nil"/>
              <w:bottom w:val="nil"/>
              <w:right w:val="nil"/>
            </w:tcBorders>
            <w:shd w:val="clear" w:color="auto" w:fill="auto"/>
            <w:noWrap/>
            <w:hideMark/>
          </w:tcPr>
          <w:p w14:paraId="0DA8824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7,096 (21.8%)</w:t>
            </w:r>
          </w:p>
        </w:tc>
        <w:tc>
          <w:tcPr>
            <w:tcW w:w="1656" w:type="dxa"/>
            <w:tcBorders>
              <w:top w:val="nil"/>
              <w:left w:val="nil"/>
              <w:bottom w:val="nil"/>
              <w:right w:val="nil"/>
            </w:tcBorders>
            <w:shd w:val="clear" w:color="auto" w:fill="auto"/>
            <w:noWrap/>
            <w:hideMark/>
          </w:tcPr>
          <w:p w14:paraId="149A8DD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21,223 (35.2%)</w:t>
            </w:r>
          </w:p>
        </w:tc>
        <w:tc>
          <w:tcPr>
            <w:tcW w:w="1556" w:type="dxa"/>
            <w:tcBorders>
              <w:top w:val="nil"/>
              <w:left w:val="nil"/>
              <w:bottom w:val="nil"/>
              <w:right w:val="nil"/>
            </w:tcBorders>
            <w:shd w:val="clear" w:color="auto" w:fill="auto"/>
            <w:noWrap/>
            <w:hideMark/>
          </w:tcPr>
          <w:p w14:paraId="083F9BB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23,422 (27.8%)</w:t>
            </w:r>
          </w:p>
        </w:tc>
        <w:tc>
          <w:tcPr>
            <w:tcW w:w="1556" w:type="dxa"/>
            <w:tcBorders>
              <w:top w:val="nil"/>
              <w:left w:val="nil"/>
              <w:bottom w:val="nil"/>
              <w:right w:val="nil"/>
            </w:tcBorders>
            <w:shd w:val="clear" w:color="auto" w:fill="auto"/>
            <w:noWrap/>
            <w:hideMark/>
          </w:tcPr>
          <w:p w14:paraId="0B44861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2,572 (12.0%)</w:t>
            </w:r>
          </w:p>
        </w:tc>
      </w:tr>
      <w:tr w:rsidR="0053555D" w:rsidRPr="00831F8F" w14:paraId="10AE40BB" w14:textId="77777777" w:rsidTr="006F5124">
        <w:trPr>
          <w:trHeight w:val="259"/>
        </w:trPr>
        <w:tc>
          <w:tcPr>
            <w:tcW w:w="5823" w:type="dxa"/>
            <w:tcBorders>
              <w:top w:val="nil"/>
              <w:left w:val="nil"/>
              <w:bottom w:val="nil"/>
              <w:right w:val="nil"/>
            </w:tcBorders>
            <w:shd w:val="clear" w:color="auto" w:fill="auto"/>
            <w:noWrap/>
            <w:hideMark/>
          </w:tcPr>
          <w:p w14:paraId="3530F80F"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ICU length of stay (hrs)</w:t>
            </w:r>
          </w:p>
        </w:tc>
        <w:tc>
          <w:tcPr>
            <w:tcW w:w="1707" w:type="dxa"/>
            <w:tcBorders>
              <w:top w:val="nil"/>
              <w:left w:val="nil"/>
              <w:bottom w:val="nil"/>
              <w:right w:val="nil"/>
            </w:tcBorders>
            <w:shd w:val="clear" w:color="auto" w:fill="auto"/>
            <w:noWrap/>
            <w:hideMark/>
          </w:tcPr>
          <w:p w14:paraId="32A91830"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1C11C0E2"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7021509A"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491E0E1E"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21107D93"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3973E688" w14:textId="77777777" w:rsidTr="006F5124">
        <w:trPr>
          <w:trHeight w:val="259"/>
        </w:trPr>
        <w:tc>
          <w:tcPr>
            <w:tcW w:w="5823" w:type="dxa"/>
            <w:tcBorders>
              <w:top w:val="nil"/>
              <w:left w:val="nil"/>
              <w:bottom w:val="nil"/>
              <w:right w:val="nil"/>
            </w:tcBorders>
            <w:shd w:val="clear" w:color="auto" w:fill="auto"/>
            <w:noWrap/>
            <w:hideMark/>
          </w:tcPr>
          <w:p w14:paraId="07F5EEA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mean (SD)</w:t>
            </w:r>
          </w:p>
        </w:tc>
        <w:tc>
          <w:tcPr>
            <w:tcW w:w="1707" w:type="dxa"/>
            <w:tcBorders>
              <w:top w:val="nil"/>
              <w:left w:val="nil"/>
              <w:bottom w:val="nil"/>
              <w:right w:val="nil"/>
            </w:tcBorders>
            <w:shd w:val="clear" w:color="auto" w:fill="auto"/>
            <w:noWrap/>
            <w:hideMark/>
          </w:tcPr>
          <w:p w14:paraId="00D0157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103 (157.4)</w:t>
            </w:r>
          </w:p>
        </w:tc>
        <w:tc>
          <w:tcPr>
            <w:tcW w:w="1707" w:type="dxa"/>
            <w:tcBorders>
              <w:top w:val="nil"/>
              <w:left w:val="nil"/>
              <w:bottom w:val="nil"/>
              <w:right w:val="nil"/>
            </w:tcBorders>
            <w:shd w:val="clear" w:color="auto" w:fill="auto"/>
            <w:noWrap/>
            <w:hideMark/>
          </w:tcPr>
          <w:p w14:paraId="49D3550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104 (125.2)</w:t>
            </w:r>
          </w:p>
        </w:tc>
        <w:tc>
          <w:tcPr>
            <w:tcW w:w="1656" w:type="dxa"/>
            <w:tcBorders>
              <w:top w:val="nil"/>
              <w:left w:val="nil"/>
              <w:bottom w:val="nil"/>
              <w:right w:val="nil"/>
            </w:tcBorders>
            <w:shd w:val="clear" w:color="auto" w:fill="auto"/>
            <w:noWrap/>
            <w:hideMark/>
          </w:tcPr>
          <w:p w14:paraId="4B73057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176 (306.4)</w:t>
            </w:r>
          </w:p>
        </w:tc>
        <w:tc>
          <w:tcPr>
            <w:tcW w:w="1556" w:type="dxa"/>
            <w:tcBorders>
              <w:top w:val="nil"/>
              <w:left w:val="nil"/>
              <w:bottom w:val="nil"/>
              <w:right w:val="nil"/>
            </w:tcBorders>
            <w:shd w:val="clear" w:color="auto" w:fill="auto"/>
            <w:noWrap/>
            <w:hideMark/>
          </w:tcPr>
          <w:p w14:paraId="16A512C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168 (294.5)</w:t>
            </w:r>
          </w:p>
        </w:tc>
        <w:tc>
          <w:tcPr>
            <w:tcW w:w="1556" w:type="dxa"/>
            <w:tcBorders>
              <w:top w:val="nil"/>
              <w:left w:val="nil"/>
              <w:bottom w:val="nil"/>
              <w:right w:val="nil"/>
            </w:tcBorders>
            <w:shd w:val="clear" w:color="auto" w:fill="auto"/>
            <w:noWrap/>
            <w:hideMark/>
          </w:tcPr>
          <w:p w14:paraId="55CD20E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129 (168.6)</w:t>
            </w:r>
          </w:p>
        </w:tc>
      </w:tr>
      <w:tr w:rsidR="0053555D" w:rsidRPr="00831F8F" w14:paraId="339033D8" w14:textId="77777777" w:rsidTr="006F5124">
        <w:trPr>
          <w:trHeight w:val="259"/>
        </w:trPr>
        <w:tc>
          <w:tcPr>
            <w:tcW w:w="5823" w:type="dxa"/>
            <w:tcBorders>
              <w:top w:val="nil"/>
              <w:left w:val="nil"/>
              <w:bottom w:val="nil"/>
              <w:right w:val="nil"/>
            </w:tcBorders>
            <w:shd w:val="clear" w:color="auto" w:fill="auto"/>
            <w:noWrap/>
            <w:hideMark/>
          </w:tcPr>
          <w:p w14:paraId="2E5FB41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median (IQR)</w:t>
            </w:r>
          </w:p>
        </w:tc>
        <w:tc>
          <w:tcPr>
            <w:tcW w:w="1707" w:type="dxa"/>
            <w:tcBorders>
              <w:top w:val="nil"/>
              <w:left w:val="nil"/>
              <w:bottom w:val="nil"/>
              <w:right w:val="nil"/>
            </w:tcBorders>
            <w:shd w:val="clear" w:color="auto" w:fill="auto"/>
            <w:noWrap/>
            <w:hideMark/>
          </w:tcPr>
          <w:p w14:paraId="288DAC0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60 (24-115)</w:t>
            </w:r>
          </w:p>
        </w:tc>
        <w:tc>
          <w:tcPr>
            <w:tcW w:w="1707" w:type="dxa"/>
            <w:tcBorders>
              <w:top w:val="nil"/>
              <w:left w:val="nil"/>
              <w:bottom w:val="nil"/>
              <w:right w:val="nil"/>
            </w:tcBorders>
            <w:shd w:val="clear" w:color="auto" w:fill="auto"/>
            <w:noWrap/>
            <w:hideMark/>
          </w:tcPr>
          <w:p w14:paraId="5E0D6D2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70 (38-122)</w:t>
            </w:r>
          </w:p>
        </w:tc>
        <w:tc>
          <w:tcPr>
            <w:tcW w:w="1656" w:type="dxa"/>
            <w:tcBorders>
              <w:top w:val="nil"/>
              <w:left w:val="nil"/>
              <w:bottom w:val="nil"/>
              <w:right w:val="nil"/>
            </w:tcBorders>
            <w:shd w:val="clear" w:color="auto" w:fill="auto"/>
            <w:noWrap/>
            <w:hideMark/>
          </w:tcPr>
          <w:p w14:paraId="442208A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89 (45-184)</w:t>
            </w:r>
          </w:p>
        </w:tc>
        <w:tc>
          <w:tcPr>
            <w:tcW w:w="1556" w:type="dxa"/>
            <w:tcBorders>
              <w:top w:val="nil"/>
              <w:left w:val="nil"/>
              <w:bottom w:val="nil"/>
              <w:right w:val="nil"/>
            </w:tcBorders>
            <w:shd w:val="clear" w:color="auto" w:fill="auto"/>
            <w:noWrap/>
            <w:hideMark/>
          </w:tcPr>
          <w:p w14:paraId="68B2B61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85 (44-174)</w:t>
            </w:r>
          </w:p>
        </w:tc>
        <w:tc>
          <w:tcPr>
            <w:tcW w:w="1556" w:type="dxa"/>
            <w:tcBorders>
              <w:top w:val="nil"/>
              <w:left w:val="nil"/>
              <w:bottom w:val="nil"/>
              <w:right w:val="nil"/>
            </w:tcBorders>
            <w:shd w:val="clear" w:color="auto" w:fill="auto"/>
            <w:noWrap/>
            <w:hideMark/>
          </w:tcPr>
          <w:p w14:paraId="2AFFD4B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          73 (37-151)</w:t>
            </w:r>
          </w:p>
        </w:tc>
      </w:tr>
      <w:tr w:rsidR="0053555D" w:rsidRPr="00831F8F" w14:paraId="7056EF33" w14:textId="77777777" w:rsidTr="006F5124">
        <w:trPr>
          <w:trHeight w:val="259"/>
        </w:trPr>
        <w:tc>
          <w:tcPr>
            <w:tcW w:w="5823" w:type="dxa"/>
            <w:tcBorders>
              <w:top w:val="nil"/>
              <w:left w:val="nil"/>
              <w:bottom w:val="nil"/>
              <w:right w:val="nil"/>
            </w:tcBorders>
            <w:shd w:val="clear" w:color="auto" w:fill="auto"/>
            <w:noWrap/>
            <w:hideMark/>
          </w:tcPr>
          <w:p w14:paraId="3E21A442"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Hospital remoteness, n(%)</w:t>
            </w:r>
          </w:p>
        </w:tc>
        <w:tc>
          <w:tcPr>
            <w:tcW w:w="1707" w:type="dxa"/>
            <w:tcBorders>
              <w:top w:val="nil"/>
              <w:left w:val="nil"/>
              <w:bottom w:val="nil"/>
              <w:right w:val="nil"/>
            </w:tcBorders>
            <w:shd w:val="clear" w:color="auto" w:fill="auto"/>
            <w:noWrap/>
            <w:hideMark/>
          </w:tcPr>
          <w:p w14:paraId="2BA75A0F"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4E36C25F"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25CB96F2"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0E6A92FD"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2995BBEB"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64A3C945" w14:textId="77777777" w:rsidTr="006F5124">
        <w:trPr>
          <w:trHeight w:val="259"/>
        </w:trPr>
        <w:tc>
          <w:tcPr>
            <w:tcW w:w="5823" w:type="dxa"/>
            <w:tcBorders>
              <w:top w:val="nil"/>
              <w:left w:val="nil"/>
              <w:bottom w:val="nil"/>
              <w:right w:val="nil"/>
            </w:tcBorders>
            <w:shd w:val="clear" w:color="auto" w:fill="auto"/>
            <w:noWrap/>
            <w:hideMark/>
          </w:tcPr>
          <w:p w14:paraId="522366A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Major cities</w:t>
            </w:r>
          </w:p>
        </w:tc>
        <w:tc>
          <w:tcPr>
            <w:tcW w:w="1707" w:type="dxa"/>
            <w:tcBorders>
              <w:top w:val="nil"/>
              <w:left w:val="nil"/>
              <w:bottom w:val="nil"/>
              <w:right w:val="nil"/>
            </w:tcBorders>
            <w:shd w:val="clear" w:color="auto" w:fill="auto"/>
            <w:noWrap/>
            <w:hideMark/>
          </w:tcPr>
          <w:p w14:paraId="3325B02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15,209 (62.1%)</w:t>
            </w:r>
          </w:p>
        </w:tc>
        <w:tc>
          <w:tcPr>
            <w:tcW w:w="1707" w:type="dxa"/>
            <w:tcBorders>
              <w:top w:val="nil"/>
              <w:left w:val="nil"/>
              <w:bottom w:val="nil"/>
              <w:right w:val="nil"/>
            </w:tcBorders>
            <w:shd w:val="clear" w:color="auto" w:fill="auto"/>
            <w:noWrap/>
            <w:hideMark/>
          </w:tcPr>
          <w:p w14:paraId="47E42E7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20,242 (62.1%)</w:t>
            </w:r>
          </w:p>
        </w:tc>
        <w:tc>
          <w:tcPr>
            <w:tcW w:w="1656" w:type="dxa"/>
            <w:tcBorders>
              <w:top w:val="nil"/>
              <w:left w:val="nil"/>
              <w:bottom w:val="nil"/>
              <w:right w:val="nil"/>
            </w:tcBorders>
            <w:shd w:val="clear" w:color="auto" w:fill="auto"/>
            <w:noWrap/>
            <w:hideMark/>
          </w:tcPr>
          <w:p w14:paraId="17D8A5E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42,514 (70.6%)</w:t>
            </w:r>
          </w:p>
        </w:tc>
        <w:tc>
          <w:tcPr>
            <w:tcW w:w="1556" w:type="dxa"/>
            <w:tcBorders>
              <w:top w:val="nil"/>
              <w:left w:val="nil"/>
              <w:bottom w:val="nil"/>
              <w:right w:val="nil"/>
            </w:tcBorders>
            <w:shd w:val="clear" w:color="auto" w:fill="auto"/>
            <w:noWrap/>
            <w:hideMark/>
          </w:tcPr>
          <w:p w14:paraId="6D61CB6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56,969 (67.5%)</w:t>
            </w:r>
          </w:p>
        </w:tc>
        <w:tc>
          <w:tcPr>
            <w:tcW w:w="1556" w:type="dxa"/>
            <w:tcBorders>
              <w:top w:val="nil"/>
              <w:left w:val="nil"/>
              <w:bottom w:val="nil"/>
              <w:right w:val="nil"/>
            </w:tcBorders>
            <w:shd w:val="clear" w:color="auto" w:fill="auto"/>
            <w:noWrap/>
            <w:hideMark/>
          </w:tcPr>
          <w:p w14:paraId="5BC661D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13,837 (64.6%)</w:t>
            </w:r>
          </w:p>
        </w:tc>
      </w:tr>
      <w:tr w:rsidR="0053555D" w:rsidRPr="00831F8F" w14:paraId="7C2B1DCF" w14:textId="77777777" w:rsidTr="006F5124">
        <w:trPr>
          <w:trHeight w:val="259"/>
        </w:trPr>
        <w:tc>
          <w:tcPr>
            <w:tcW w:w="5823" w:type="dxa"/>
            <w:tcBorders>
              <w:top w:val="nil"/>
              <w:left w:val="nil"/>
              <w:bottom w:val="nil"/>
              <w:right w:val="nil"/>
            </w:tcBorders>
            <w:shd w:val="clear" w:color="auto" w:fill="auto"/>
            <w:noWrap/>
            <w:hideMark/>
          </w:tcPr>
          <w:p w14:paraId="7A6D524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Inner regional</w:t>
            </w:r>
          </w:p>
        </w:tc>
        <w:tc>
          <w:tcPr>
            <w:tcW w:w="1707" w:type="dxa"/>
            <w:tcBorders>
              <w:top w:val="nil"/>
              <w:left w:val="nil"/>
              <w:bottom w:val="nil"/>
              <w:right w:val="nil"/>
            </w:tcBorders>
            <w:shd w:val="clear" w:color="auto" w:fill="auto"/>
            <w:noWrap/>
            <w:hideMark/>
          </w:tcPr>
          <w:p w14:paraId="4EFB45F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5,360 (21.9%)</w:t>
            </w:r>
          </w:p>
        </w:tc>
        <w:tc>
          <w:tcPr>
            <w:tcW w:w="1707" w:type="dxa"/>
            <w:tcBorders>
              <w:top w:val="nil"/>
              <w:left w:val="nil"/>
              <w:bottom w:val="nil"/>
              <w:right w:val="nil"/>
            </w:tcBorders>
            <w:shd w:val="clear" w:color="auto" w:fill="auto"/>
            <w:noWrap/>
            <w:hideMark/>
          </w:tcPr>
          <w:p w14:paraId="18B6ECA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7,765 (23.8%)</w:t>
            </w:r>
          </w:p>
        </w:tc>
        <w:tc>
          <w:tcPr>
            <w:tcW w:w="1656" w:type="dxa"/>
            <w:tcBorders>
              <w:top w:val="nil"/>
              <w:left w:val="nil"/>
              <w:bottom w:val="nil"/>
              <w:right w:val="nil"/>
            </w:tcBorders>
            <w:shd w:val="clear" w:color="auto" w:fill="auto"/>
            <w:noWrap/>
            <w:hideMark/>
          </w:tcPr>
          <w:p w14:paraId="3CA225D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11,264 (18.7%)</w:t>
            </w:r>
          </w:p>
        </w:tc>
        <w:tc>
          <w:tcPr>
            <w:tcW w:w="1556" w:type="dxa"/>
            <w:tcBorders>
              <w:top w:val="nil"/>
              <w:left w:val="nil"/>
              <w:bottom w:val="nil"/>
              <w:right w:val="nil"/>
            </w:tcBorders>
            <w:shd w:val="clear" w:color="auto" w:fill="auto"/>
            <w:noWrap/>
            <w:hideMark/>
          </w:tcPr>
          <w:p w14:paraId="3392EBD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17,254 (20.4%)</w:t>
            </w:r>
          </w:p>
        </w:tc>
        <w:tc>
          <w:tcPr>
            <w:tcW w:w="1556" w:type="dxa"/>
            <w:tcBorders>
              <w:top w:val="nil"/>
              <w:left w:val="nil"/>
              <w:bottom w:val="nil"/>
              <w:right w:val="nil"/>
            </w:tcBorders>
            <w:shd w:val="clear" w:color="auto" w:fill="auto"/>
            <w:noWrap/>
            <w:hideMark/>
          </w:tcPr>
          <w:p w14:paraId="266E9A8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4,648 (21.7%)</w:t>
            </w:r>
          </w:p>
        </w:tc>
      </w:tr>
      <w:tr w:rsidR="0053555D" w:rsidRPr="00831F8F" w14:paraId="32ECCED2" w14:textId="77777777" w:rsidTr="006F5124">
        <w:trPr>
          <w:trHeight w:val="259"/>
        </w:trPr>
        <w:tc>
          <w:tcPr>
            <w:tcW w:w="5823" w:type="dxa"/>
            <w:tcBorders>
              <w:top w:val="nil"/>
              <w:left w:val="nil"/>
              <w:bottom w:val="nil"/>
              <w:right w:val="nil"/>
            </w:tcBorders>
            <w:shd w:val="clear" w:color="auto" w:fill="auto"/>
            <w:noWrap/>
            <w:hideMark/>
          </w:tcPr>
          <w:p w14:paraId="1D23763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Outer regional</w:t>
            </w:r>
          </w:p>
        </w:tc>
        <w:tc>
          <w:tcPr>
            <w:tcW w:w="1707" w:type="dxa"/>
            <w:tcBorders>
              <w:top w:val="nil"/>
              <w:left w:val="nil"/>
              <w:bottom w:val="nil"/>
              <w:right w:val="nil"/>
            </w:tcBorders>
            <w:shd w:val="clear" w:color="auto" w:fill="auto"/>
            <w:noWrap/>
            <w:hideMark/>
          </w:tcPr>
          <w:p w14:paraId="747A60D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2,759 (11.3%)</w:t>
            </w:r>
          </w:p>
        </w:tc>
        <w:tc>
          <w:tcPr>
            <w:tcW w:w="1707" w:type="dxa"/>
            <w:tcBorders>
              <w:top w:val="nil"/>
              <w:left w:val="nil"/>
              <w:bottom w:val="nil"/>
              <w:right w:val="nil"/>
            </w:tcBorders>
            <w:shd w:val="clear" w:color="auto" w:fill="auto"/>
            <w:noWrap/>
            <w:hideMark/>
          </w:tcPr>
          <w:p w14:paraId="15E2CC1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3,274 (10.0%)</w:t>
            </w:r>
          </w:p>
        </w:tc>
        <w:tc>
          <w:tcPr>
            <w:tcW w:w="1656" w:type="dxa"/>
            <w:tcBorders>
              <w:top w:val="nil"/>
              <w:left w:val="nil"/>
              <w:bottom w:val="nil"/>
              <w:right w:val="nil"/>
            </w:tcBorders>
            <w:shd w:val="clear" w:color="auto" w:fill="auto"/>
            <w:noWrap/>
            <w:hideMark/>
          </w:tcPr>
          <w:p w14:paraId="38BB4A4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4,654 (7.7%)</w:t>
            </w:r>
          </w:p>
        </w:tc>
        <w:tc>
          <w:tcPr>
            <w:tcW w:w="1556" w:type="dxa"/>
            <w:tcBorders>
              <w:top w:val="nil"/>
              <w:left w:val="nil"/>
              <w:bottom w:val="nil"/>
              <w:right w:val="nil"/>
            </w:tcBorders>
            <w:shd w:val="clear" w:color="auto" w:fill="auto"/>
            <w:noWrap/>
            <w:hideMark/>
          </w:tcPr>
          <w:p w14:paraId="041D055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7,291 (8.6%)</w:t>
            </w:r>
          </w:p>
        </w:tc>
        <w:tc>
          <w:tcPr>
            <w:tcW w:w="1556" w:type="dxa"/>
            <w:tcBorders>
              <w:top w:val="nil"/>
              <w:left w:val="nil"/>
              <w:bottom w:val="nil"/>
              <w:right w:val="nil"/>
            </w:tcBorders>
            <w:shd w:val="clear" w:color="auto" w:fill="auto"/>
            <w:noWrap/>
            <w:hideMark/>
          </w:tcPr>
          <w:p w14:paraId="6862D75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2,250 (10.5%)</w:t>
            </w:r>
          </w:p>
        </w:tc>
      </w:tr>
      <w:tr w:rsidR="0053555D" w:rsidRPr="00831F8F" w14:paraId="3F1ABDE8" w14:textId="77777777" w:rsidTr="006F5124">
        <w:trPr>
          <w:trHeight w:val="259"/>
        </w:trPr>
        <w:tc>
          <w:tcPr>
            <w:tcW w:w="5823" w:type="dxa"/>
            <w:tcBorders>
              <w:top w:val="nil"/>
              <w:left w:val="nil"/>
              <w:bottom w:val="nil"/>
              <w:right w:val="nil"/>
            </w:tcBorders>
            <w:shd w:val="clear" w:color="auto" w:fill="auto"/>
            <w:noWrap/>
            <w:hideMark/>
          </w:tcPr>
          <w:p w14:paraId="41C7256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Remote</w:t>
            </w:r>
          </w:p>
        </w:tc>
        <w:tc>
          <w:tcPr>
            <w:tcW w:w="1707" w:type="dxa"/>
            <w:tcBorders>
              <w:top w:val="nil"/>
              <w:left w:val="nil"/>
              <w:bottom w:val="nil"/>
              <w:right w:val="nil"/>
            </w:tcBorders>
            <w:shd w:val="clear" w:color="auto" w:fill="auto"/>
            <w:noWrap/>
            <w:hideMark/>
          </w:tcPr>
          <w:p w14:paraId="0FF3D05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798 (3.3%)</w:t>
            </w:r>
          </w:p>
        </w:tc>
        <w:tc>
          <w:tcPr>
            <w:tcW w:w="1707" w:type="dxa"/>
            <w:tcBorders>
              <w:top w:val="nil"/>
              <w:left w:val="nil"/>
              <w:bottom w:val="nil"/>
              <w:right w:val="nil"/>
            </w:tcBorders>
            <w:shd w:val="clear" w:color="auto" w:fill="auto"/>
            <w:noWrap/>
            <w:hideMark/>
          </w:tcPr>
          <w:p w14:paraId="178B87B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950 (2.9%)</w:t>
            </w:r>
          </w:p>
        </w:tc>
        <w:tc>
          <w:tcPr>
            <w:tcW w:w="1656" w:type="dxa"/>
            <w:tcBorders>
              <w:top w:val="nil"/>
              <w:left w:val="nil"/>
              <w:bottom w:val="nil"/>
              <w:right w:val="nil"/>
            </w:tcBorders>
            <w:shd w:val="clear" w:color="auto" w:fill="auto"/>
            <w:noWrap/>
            <w:hideMark/>
          </w:tcPr>
          <w:p w14:paraId="5EE284F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985 (1.6%)</w:t>
            </w:r>
          </w:p>
        </w:tc>
        <w:tc>
          <w:tcPr>
            <w:tcW w:w="1556" w:type="dxa"/>
            <w:tcBorders>
              <w:top w:val="nil"/>
              <w:left w:val="nil"/>
              <w:bottom w:val="nil"/>
              <w:right w:val="nil"/>
            </w:tcBorders>
            <w:shd w:val="clear" w:color="auto" w:fill="auto"/>
            <w:noWrap/>
            <w:hideMark/>
          </w:tcPr>
          <w:p w14:paraId="33130F5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1,759 (2.1%)</w:t>
            </w:r>
          </w:p>
        </w:tc>
        <w:tc>
          <w:tcPr>
            <w:tcW w:w="1556" w:type="dxa"/>
            <w:tcBorders>
              <w:top w:val="nil"/>
              <w:left w:val="nil"/>
              <w:bottom w:val="nil"/>
              <w:right w:val="nil"/>
            </w:tcBorders>
            <w:shd w:val="clear" w:color="auto" w:fill="auto"/>
            <w:noWrap/>
            <w:hideMark/>
          </w:tcPr>
          <w:p w14:paraId="7D40EEE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476 (2.2%)</w:t>
            </w:r>
          </w:p>
        </w:tc>
      </w:tr>
      <w:tr w:rsidR="0053555D" w:rsidRPr="00831F8F" w14:paraId="7D9EC8DA" w14:textId="77777777" w:rsidTr="006F5124">
        <w:trPr>
          <w:trHeight w:val="259"/>
        </w:trPr>
        <w:tc>
          <w:tcPr>
            <w:tcW w:w="5823" w:type="dxa"/>
            <w:tcBorders>
              <w:top w:val="nil"/>
              <w:left w:val="nil"/>
              <w:bottom w:val="nil"/>
              <w:right w:val="nil"/>
            </w:tcBorders>
            <w:shd w:val="clear" w:color="auto" w:fill="auto"/>
            <w:noWrap/>
            <w:hideMark/>
          </w:tcPr>
          <w:p w14:paraId="7FF455F4"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Sepsis onset, n(%)</w:t>
            </w:r>
          </w:p>
        </w:tc>
        <w:tc>
          <w:tcPr>
            <w:tcW w:w="1707" w:type="dxa"/>
            <w:tcBorders>
              <w:top w:val="nil"/>
              <w:left w:val="nil"/>
              <w:bottom w:val="nil"/>
              <w:right w:val="nil"/>
            </w:tcBorders>
            <w:shd w:val="clear" w:color="auto" w:fill="auto"/>
            <w:noWrap/>
            <w:hideMark/>
          </w:tcPr>
          <w:p w14:paraId="5B926853"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1AB92D91"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4D15DF5A"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5B266B11"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6BE6502D"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00084EE2" w14:textId="77777777" w:rsidTr="006F5124">
        <w:trPr>
          <w:trHeight w:val="259"/>
        </w:trPr>
        <w:tc>
          <w:tcPr>
            <w:tcW w:w="5823" w:type="dxa"/>
            <w:tcBorders>
              <w:top w:val="nil"/>
              <w:left w:val="nil"/>
              <w:bottom w:val="nil"/>
              <w:right w:val="nil"/>
            </w:tcBorders>
            <w:shd w:val="clear" w:color="auto" w:fill="auto"/>
            <w:noWrap/>
            <w:hideMark/>
          </w:tcPr>
          <w:p w14:paraId="4F8C52C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present on admission</w:t>
            </w:r>
          </w:p>
        </w:tc>
        <w:tc>
          <w:tcPr>
            <w:tcW w:w="1707" w:type="dxa"/>
            <w:tcBorders>
              <w:top w:val="nil"/>
              <w:left w:val="nil"/>
              <w:bottom w:val="nil"/>
              <w:right w:val="nil"/>
            </w:tcBorders>
            <w:shd w:val="clear" w:color="auto" w:fill="auto"/>
            <w:noWrap/>
            <w:hideMark/>
          </w:tcPr>
          <w:p w14:paraId="555142D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4,620 (18.9%)</w:t>
            </w:r>
          </w:p>
        </w:tc>
        <w:tc>
          <w:tcPr>
            <w:tcW w:w="1707" w:type="dxa"/>
            <w:tcBorders>
              <w:top w:val="nil"/>
              <w:left w:val="nil"/>
              <w:bottom w:val="nil"/>
              <w:right w:val="nil"/>
            </w:tcBorders>
            <w:shd w:val="clear" w:color="auto" w:fill="auto"/>
            <w:noWrap/>
            <w:hideMark/>
          </w:tcPr>
          <w:p w14:paraId="297DE6B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32,145 (98.6%)</w:t>
            </w:r>
          </w:p>
        </w:tc>
        <w:tc>
          <w:tcPr>
            <w:tcW w:w="1656" w:type="dxa"/>
            <w:tcBorders>
              <w:top w:val="nil"/>
              <w:left w:val="nil"/>
              <w:bottom w:val="nil"/>
              <w:right w:val="nil"/>
            </w:tcBorders>
            <w:shd w:val="clear" w:color="auto" w:fill="auto"/>
            <w:noWrap/>
            <w:hideMark/>
          </w:tcPr>
          <w:p w14:paraId="5E0874D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52,242 (86.7%)</w:t>
            </w:r>
          </w:p>
        </w:tc>
        <w:tc>
          <w:tcPr>
            <w:tcW w:w="1556" w:type="dxa"/>
            <w:tcBorders>
              <w:top w:val="nil"/>
              <w:left w:val="nil"/>
              <w:bottom w:val="nil"/>
              <w:right w:val="nil"/>
            </w:tcBorders>
            <w:shd w:val="clear" w:color="auto" w:fill="auto"/>
            <w:noWrap/>
            <w:hideMark/>
          </w:tcPr>
          <w:p w14:paraId="0578043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75,935 (90.0%)</w:t>
            </w:r>
          </w:p>
        </w:tc>
        <w:tc>
          <w:tcPr>
            <w:tcW w:w="1556" w:type="dxa"/>
            <w:tcBorders>
              <w:top w:val="nil"/>
              <w:left w:val="nil"/>
              <w:bottom w:val="nil"/>
              <w:right w:val="nil"/>
            </w:tcBorders>
            <w:shd w:val="clear" w:color="auto" w:fill="auto"/>
            <w:noWrap/>
            <w:hideMark/>
          </w:tcPr>
          <w:p w14:paraId="6846D28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4,985 (23.3%)</w:t>
            </w:r>
          </w:p>
        </w:tc>
      </w:tr>
      <w:tr w:rsidR="0053555D" w:rsidRPr="00831F8F" w14:paraId="1F4C61F4" w14:textId="77777777" w:rsidTr="006F5124">
        <w:trPr>
          <w:trHeight w:val="259"/>
        </w:trPr>
        <w:tc>
          <w:tcPr>
            <w:tcW w:w="5823" w:type="dxa"/>
            <w:tcBorders>
              <w:top w:val="nil"/>
              <w:left w:val="nil"/>
              <w:bottom w:val="nil"/>
              <w:right w:val="nil"/>
            </w:tcBorders>
            <w:shd w:val="clear" w:color="auto" w:fill="auto"/>
            <w:noWrap/>
            <w:hideMark/>
          </w:tcPr>
          <w:p w14:paraId="59C6D78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lastRenderedPageBreak/>
              <w:t>hospital acquired</w:t>
            </w:r>
          </w:p>
        </w:tc>
        <w:tc>
          <w:tcPr>
            <w:tcW w:w="1707" w:type="dxa"/>
            <w:tcBorders>
              <w:top w:val="nil"/>
              <w:left w:val="nil"/>
              <w:bottom w:val="nil"/>
              <w:right w:val="nil"/>
            </w:tcBorders>
            <w:shd w:val="clear" w:color="auto" w:fill="auto"/>
            <w:noWrap/>
            <w:hideMark/>
          </w:tcPr>
          <w:p w14:paraId="3C47C61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433 (1.8%)</w:t>
            </w:r>
          </w:p>
        </w:tc>
        <w:tc>
          <w:tcPr>
            <w:tcW w:w="1707" w:type="dxa"/>
            <w:tcBorders>
              <w:top w:val="nil"/>
              <w:left w:val="nil"/>
              <w:bottom w:val="nil"/>
              <w:right w:val="nil"/>
            </w:tcBorders>
            <w:shd w:val="clear" w:color="auto" w:fill="auto"/>
            <w:noWrap/>
            <w:hideMark/>
          </w:tcPr>
          <w:p w14:paraId="28882D1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550 (1.7%)</w:t>
            </w:r>
          </w:p>
        </w:tc>
        <w:tc>
          <w:tcPr>
            <w:tcW w:w="1656" w:type="dxa"/>
            <w:tcBorders>
              <w:top w:val="nil"/>
              <w:left w:val="nil"/>
              <w:bottom w:val="nil"/>
              <w:right w:val="nil"/>
            </w:tcBorders>
            <w:shd w:val="clear" w:color="auto" w:fill="auto"/>
            <w:noWrap/>
            <w:hideMark/>
          </w:tcPr>
          <w:p w14:paraId="0B377E9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8,369 (13.9%)</w:t>
            </w:r>
          </w:p>
        </w:tc>
        <w:tc>
          <w:tcPr>
            <w:tcW w:w="1556" w:type="dxa"/>
            <w:tcBorders>
              <w:top w:val="nil"/>
              <w:left w:val="nil"/>
              <w:bottom w:val="nil"/>
              <w:right w:val="nil"/>
            </w:tcBorders>
            <w:shd w:val="clear" w:color="auto" w:fill="auto"/>
            <w:noWrap/>
            <w:hideMark/>
          </w:tcPr>
          <w:p w14:paraId="6AFF29A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8,800 (10.4%)</w:t>
            </w:r>
          </w:p>
        </w:tc>
        <w:tc>
          <w:tcPr>
            <w:tcW w:w="1556" w:type="dxa"/>
            <w:tcBorders>
              <w:top w:val="nil"/>
              <w:left w:val="nil"/>
              <w:bottom w:val="nil"/>
              <w:right w:val="nil"/>
            </w:tcBorders>
            <w:shd w:val="clear" w:color="auto" w:fill="auto"/>
            <w:noWrap/>
            <w:hideMark/>
          </w:tcPr>
          <w:p w14:paraId="59EE1FF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142 (0.7%)</w:t>
            </w:r>
          </w:p>
        </w:tc>
      </w:tr>
      <w:tr w:rsidR="0053555D" w:rsidRPr="00831F8F" w14:paraId="778A7B01" w14:textId="77777777" w:rsidTr="006F5124">
        <w:trPr>
          <w:trHeight w:val="259"/>
        </w:trPr>
        <w:tc>
          <w:tcPr>
            <w:tcW w:w="5823" w:type="dxa"/>
            <w:tcBorders>
              <w:top w:val="nil"/>
              <w:left w:val="nil"/>
              <w:bottom w:val="nil"/>
              <w:right w:val="nil"/>
            </w:tcBorders>
            <w:shd w:val="clear" w:color="auto" w:fill="auto"/>
            <w:noWrap/>
            <w:hideMark/>
          </w:tcPr>
          <w:p w14:paraId="50569BB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both</w:t>
            </w:r>
          </w:p>
        </w:tc>
        <w:tc>
          <w:tcPr>
            <w:tcW w:w="1707" w:type="dxa"/>
            <w:tcBorders>
              <w:top w:val="nil"/>
              <w:left w:val="nil"/>
              <w:bottom w:val="nil"/>
              <w:right w:val="nil"/>
            </w:tcBorders>
            <w:shd w:val="clear" w:color="auto" w:fill="auto"/>
            <w:noWrap/>
            <w:hideMark/>
          </w:tcPr>
          <w:p w14:paraId="25A09FA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14 (0.1%)</w:t>
            </w:r>
          </w:p>
        </w:tc>
        <w:tc>
          <w:tcPr>
            <w:tcW w:w="1707" w:type="dxa"/>
            <w:tcBorders>
              <w:top w:val="nil"/>
              <w:left w:val="nil"/>
              <w:bottom w:val="nil"/>
              <w:right w:val="nil"/>
            </w:tcBorders>
            <w:shd w:val="clear" w:color="auto" w:fill="auto"/>
            <w:noWrap/>
            <w:hideMark/>
          </w:tcPr>
          <w:p w14:paraId="1E19EA9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87 (0.3%)</w:t>
            </w:r>
          </w:p>
        </w:tc>
        <w:tc>
          <w:tcPr>
            <w:tcW w:w="1656" w:type="dxa"/>
            <w:tcBorders>
              <w:top w:val="nil"/>
              <w:left w:val="nil"/>
              <w:bottom w:val="nil"/>
              <w:right w:val="nil"/>
            </w:tcBorders>
            <w:shd w:val="clear" w:color="auto" w:fill="auto"/>
            <w:noWrap/>
            <w:hideMark/>
          </w:tcPr>
          <w:p w14:paraId="634A692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353 (0.6%)</w:t>
            </w:r>
          </w:p>
        </w:tc>
        <w:tc>
          <w:tcPr>
            <w:tcW w:w="1556" w:type="dxa"/>
            <w:tcBorders>
              <w:top w:val="nil"/>
              <w:left w:val="nil"/>
              <w:bottom w:val="nil"/>
              <w:right w:val="nil"/>
            </w:tcBorders>
            <w:shd w:val="clear" w:color="auto" w:fill="auto"/>
            <w:noWrap/>
            <w:hideMark/>
          </w:tcPr>
          <w:p w14:paraId="38B1722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353 (0.4%)</w:t>
            </w:r>
          </w:p>
        </w:tc>
        <w:tc>
          <w:tcPr>
            <w:tcW w:w="1556" w:type="dxa"/>
            <w:tcBorders>
              <w:top w:val="nil"/>
              <w:left w:val="nil"/>
              <w:bottom w:val="nil"/>
              <w:right w:val="nil"/>
            </w:tcBorders>
            <w:shd w:val="clear" w:color="auto" w:fill="auto"/>
            <w:noWrap/>
            <w:hideMark/>
          </w:tcPr>
          <w:p w14:paraId="0A764D9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 (0.1%)</w:t>
            </w:r>
          </w:p>
        </w:tc>
      </w:tr>
      <w:tr w:rsidR="0053555D" w:rsidRPr="00831F8F" w14:paraId="2C3FF023" w14:textId="77777777" w:rsidTr="006F5124">
        <w:trPr>
          <w:trHeight w:val="259"/>
        </w:trPr>
        <w:tc>
          <w:tcPr>
            <w:tcW w:w="5823" w:type="dxa"/>
            <w:tcBorders>
              <w:top w:val="nil"/>
              <w:left w:val="nil"/>
              <w:bottom w:val="nil"/>
              <w:right w:val="nil"/>
            </w:tcBorders>
            <w:shd w:val="clear" w:color="auto" w:fill="auto"/>
            <w:noWrap/>
            <w:hideMark/>
          </w:tcPr>
          <w:p w14:paraId="169DD292"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Maternal sepsis, n(%)</w:t>
            </w:r>
          </w:p>
        </w:tc>
        <w:tc>
          <w:tcPr>
            <w:tcW w:w="1707" w:type="dxa"/>
            <w:tcBorders>
              <w:top w:val="nil"/>
              <w:left w:val="nil"/>
              <w:bottom w:val="nil"/>
              <w:right w:val="nil"/>
            </w:tcBorders>
            <w:shd w:val="clear" w:color="auto" w:fill="auto"/>
            <w:noWrap/>
            <w:hideMark/>
          </w:tcPr>
          <w:p w14:paraId="3FA3F29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133 (1.2%)</w:t>
            </w:r>
          </w:p>
        </w:tc>
        <w:tc>
          <w:tcPr>
            <w:tcW w:w="1707" w:type="dxa"/>
            <w:tcBorders>
              <w:top w:val="nil"/>
              <w:left w:val="nil"/>
              <w:bottom w:val="nil"/>
              <w:right w:val="nil"/>
            </w:tcBorders>
            <w:shd w:val="clear" w:color="auto" w:fill="auto"/>
            <w:noWrap/>
            <w:hideMark/>
          </w:tcPr>
          <w:p w14:paraId="0F9E9CF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1,342 (8.8%)</w:t>
            </w:r>
          </w:p>
        </w:tc>
        <w:tc>
          <w:tcPr>
            <w:tcW w:w="1656" w:type="dxa"/>
            <w:tcBorders>
              <w:top w:val="nil"/>
              <w:left w:val="nil"/>
              <w:bottom w:val="nil"/>
              <w:right w:val="nil"/>
            </w:tcBorders>
            <w:shd w:val="clear" w:color="auto" w:fill="auto"/>
            <w:noWrap/>
            <w:hideMark/>
          </w:tcPr>
          <w:p w14:paraId="52F89136" w14:textId="674CDFD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1,720 </w:t>
            </w:r>
            <w:r w:rsidR="00E7181E" w:rsidRPr="00831F8F">
              <w:rPr>
                <w:rFonts w:ascii="Calibri" w:eastAsia="Times New Roman" w:hAnsi="Calibri" w:cs="Calibri"/>
                <w:color w:val="auto"/>
                <w:sz w:val="20"/>
                <w:szCs w:val="20"/>
                <w:lang w:eastAsia="en-AU"/>
              </w:rPr>
              <w:t>(6.4</w:t>
            </w:r>
            <w:r w:rsidRPr="00831F8F">
              <w:rPr>
                <w:rFonts w:ascii="Calibri" w:eastAsia="Times New Roman" w:hAnsi="Calibri" w:cs="Calibri"/>
                <w:color w:val="auto"/>
                <w:sz w:val="20"/>
                <w:szCs w:val="20"/>
                <w:lang w:eastAsia="en-AU"/>
              </w:rPr>
              <w:t>%)</w:t>
            </w:r>
          </w:p>
        </w:tc>
        <w:tc>
          <w:tcPr>
            <w:tcW w:w="1556" w:type="dxa"/>
            <w:tcBorders>
              <w:top w:val="nil"/>
              <w:left w:val="nil"/>
              <w:bottom w:val="nil"/>
              <w:right w:val="nil"/>
            </w:tcBorders>
            <w:shd w:val="clear" w:color="auto" w:fill="auto"/>
            <w:noWrap/>
            <w:hideMark/>
          </w:tcPr>
          <w:p w14:paraId="24E7AA8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2,952 (7.7%)</w:t>
            </w:r>
          </w:p>
        </w:tc>
        <w:tc>
          <w:tcPr>
            <w:tcW w:w="1556" w:type="dxa"/>
            <w:tcBorders>
              <w:top w:val="nil"/>
              <w:left w:val="nil"/>
              <w:bottom w:val="nil"/>
              <w:right w:val="nil"/>
            </w:tcBorders>
            <w:shd w:val="clear" w:color="auto" w:fill="auto"/>
            <w:noWrap/>
            <w:hideMark/>
          </w:tcPr>
          <w:p w14:paraId="66858B5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134 (1.5%)</w:t>
            </w:r>
          </w:p>
        </w:tc>
      </w:tr>
      <w:tr w:rsidR="0053555D" w:rsidRPr="00831F8F" w14:paraId="7A51A437" w14:textId="77777777" w:rsidTr="006F5124">
        <w:trPr>
          <w:trHeight w:val="259"/>
        </w:trPr>
        <w:tc>
          <w:tcPr>
            <w:tcW w:w="5823" w:type="dxa"/>
            <w:tcBorders>
              <w:top w:val="nil"/>
              <w:left w:val="nil"/>
              <w:bottom w:val="nil"/>
              <w:right w:val="nil"/>
            </w:tcBorders>
            <w:shd w:val="clear" w:color="auto" w:fill="auto"/>
            <w:noWrap/>
            <w:hideMark/>
          </w:tcPr>
          <w:p w14:paraId="2BEC2C88"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Sepsis as principal diagnosis, n(%)</w:t>
            </w:r>
          </w:p>
        </w:tc>
        <w:tc>
          <w:tcPr>
            <w:tcW w:w="1707" w:type="dxa"/>
            <w:tcBorders>
              <w:top w:val="nil"/>
              <w:left w:val="nil"/>
              <w:bottom w:val="nil"/>
              <w:right w:val="nil"/>
            </w:tcBorders>
            <w:shd w:val="clear" w:color="auto" w:fill="auto"/>
            <w:noWrap/>
            <w:hideMark/>
          </w:tcPr>
          <w:p w14:paraId="1E7531A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2,430 (9.9%)</w:t>
            </w:r>
          </w:p>
        </w:tc>
        <w:tc>
          <w:tcPr>
            <w:tcW w:w="1707" w:type="dxa"/>
            <w:tcBorders>
              <w:top w:val="nil"/>
              <w:left w:val="nil"/>
              <w:bottom w:val="nil"/>
              <w:right w:val="nil"/>
            </w:tcBorders>
            <w:shd w:val="clear" w:color="auto" w:fill="auto"/>
            <w:noWrap/>
            <w:hideMark/>
          </w:tcPr>
          <w:p w14:paraId="10FDA74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32,608 (100%)</w:t>
            </w:r>
          </w:p>
        </w:tc>
        <w:tc>
          <w:tcPr>
            <w:tcW w:w="1656" w:type="dxa"/>
            <w:tcBorders>
              <w:top w:val="nil"/>
              <w:left w:val="nil"/>
              <w:bottom w:val="nil"/>
              <w:right w:val="nil"/>
            </w:tcBorders>
            <w:shd w:val="clear" w:color="auto" w:fill="auto"/>
            <w:noWrap/>
            <w:hideMark/>
          </w:tcPr>
          <w:p w14:paraId="6E066A8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8,484 (14.1%)</w:t>
            </w:r>
          </w:p>
        </w:tc>
        <w:tc>
          <w:tcPr>
            <w:tcW w:w="1556" w:type="dxa"/>
            <w:tcBorders>
              <w:top w:val="nil"/>
              <w:left w:val="nil"/>
              <w:bottom w:val="nil"/>
              <w:right w:val="nil"/>
            </w:tcBorders>
            <w:shd w:val="clear" w:color="auto" w:fill="auto"/>
            <w:noWrap/>
            <w:hideMark/>
          </w:tcPr>
          <w:p w14:paraId="073208A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32,608 (38.6%)</w:t>
            </w:r>
          </w:p>
        </w:tc>
        <w:tc>
          <w:tcPr>
            <w:tcW w:w="1556" w:type="dxa"/>
            <w:tcBorders>
              <w:top w:val="nil"/>
              <w:left w:val="nil"/>
              <w:bottom w:val="nil"/>
              <w:right w:val="nil"/>
            </w:tcBorders>
            <w:shd w:val="clear" w:color="auto" w:fill="auto"/>
            <w:noWrap/>
            <w:hideMark/>
          </w:tcPr>
          <w:p w14:paraId="2581A98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2,349 (11.0%)</w:t>
            </w:r>
          </w:p>
        </w:tc>
      </w:tr>
      <w:tr w:rsidR="0053555D" w:rsidRPr="00831F8F" w14:paraId="1C3AD37B" w14:textId="77777777" w:rsidTr="006F5124">
        <w:trPr>
          <w:trHeight w:val="259"/>
        </w:trPr>
        <w:tc>
          <w:tcPr>
            <w:tcW w:w="5823" w:type="dxa"/>
            <w:tcBorders>
              <w:top w:val="nil"/>
              <w:left w:val="nil"/>
              <w:bottom w:val="nil"/>
              <w:right w:val="nil"/>
            </w:tcBorders>
            <w:shd w:val="clear" w:color="auto" w:fill="auto"/>
            <w:noWrap/>
            <w:hideMark/>
          </w:tcPr>
          <w:p w14:paraId="2915BBB5" w14:textId="77777777" w:rsidR="0053555D" w:rsidRPr="00831F8F" w:rsidRDefault="0053555D" w:rsidP="006F5124">
            <w:pPr>
              <w:keepNext/>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Top 3 non-sepsis principal diagnoses, n(%)</w:t>
            </w:r>
          </w:p>
        </w:tc>
        <w:tc>
          <w:tcPr>
            <w:tcW w:w="1707" w:type="dxa"/>
            <w:tcBorders>
              <w:top w:val="nil"/>
              <w:left w:val="nil"/>
              <w:bottom w:val="nil"/>
              <w:right w:val="nil"/>
            </w:tcBorders>
            <w:shd w:val="clear" w:color="auto" w:fill="auto"/>
            <w:noWrap/>
            <w:hideMark/>
          </w:tcPr>
          <w:p w14:paraId="41CECD9E"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35B30F73"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31647B94"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76E5BD92"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66A67DF3"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r>
      <w:tr w:rsidR="0053555D" w:rsidRPr="00831F8F" w14:paraId="30CCE563" w14:textId="77777777" w:rsidTr="006F5124">
        <w:trPr>
          <w:trHeight w:val="259"/>
        </w:trPr>
        <w:tc>
          <w:tcPr>
            <w:tcW w:w="5823" w:type="dxa"/>
            <w:tcBorders>
              <w:top w:val="nil"/>
              <w:left w:val="nil"/>
              <w:bottom w:val="nil"/>
              <w:right w:val="nil"/>
            </w:tcBorders>
            <w:shd w:val="clear" w:color="auto" w:fill="auto"/>
            <w:noWrap/>
            <w:hideMark/>
          </w:tcPr>
          <w:p w14:paraId="17CFE75C"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Cellulitis of lower limb (L0313)</w:t>
            </w:r>
          </w:p>
        </w:tc>
        <w:tc>
          <w:tcPr>
            <w:tcW w:w="1707" w:type="dxa"/>
            <w:tcBorders>
              <w:top w:val="nil"/>
              <w:left w:val="nil"/>
              <w:bottom w:val="nil"/>
              <w:right w:val="nil"/>
            </w:tcBorders>
            <w:shd w:val="clear" w:color="auto" w:fill="auto"/>
            <w:noWrap/>
            <w:hideMark/>
          </w:tcPr>
          <w:p w14:paraId="1DEB677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707" w:type="dxa"/>
            <w:tcBorders>
              <w:top w:val="nil"/>
              <w:left w:val="nil"/>
              <w:bottom w:val="nil"/>
              <w:right w:val="nil"/>
            </w:tcBorders>
            <w:shd w:val="clear" w:color="auto" w:fill="auto"/>
            <w:noWrap/>
            <w:hideMark/>
          </w:tcPr>
          <w:p w14:paraId="6AEC750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0C51731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1,426 (2.4%)</w:t>
            </w:r>
          </w:p>
        </w:tc>
        <w:tc>
          <w:tcPr>
            <w:tcW w:w="1556" w:type="dxa"/>
            <w:tcBorders>
              <w:top w:val="nil"/>
              <w:left w:val="nil"/>
              <w:bottom w:val="nil"/>
              <w:right w:val="nil"/>
            </w:tcBorders>
            <w:shd w:val="clear" w:color="auto" w:fill="auto"/>
            <w:noWrap/>
            <w:hideMark/>
          </w:tcPr>
          <w:p w14:paraId="2BBA11F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1,426 (1.7%)</w:t>
            </w:r>
          </w:p>
        </w:tc>
        <w:tc>
          <w:tcPr>
            <w:tcW w:w="1556" w:type="dxa"/>
            <w:tcBorders>
              <w:top w:val="nil"/>
              <w:left w:val="nil"/>
              <w:bottom w:val="nil"/>
              <w:right w:val="nil"/>
            </w:tcBorders>
            <w:shd w:val="clear" w:color="auto" w:fill="auto"/>
            <w:noWrap/>
            <w:hideMark/>
          </w:tcPr>
          <w:p w14:paraId="1C4F7F2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400 (1.9%)</w:t>
            </w:r>
          </w:p>
        </w:tc>
      </w:tr>
      <w:tr w:rsidR="0053555D" w:rsidRPr="00831F8F" w14:paraId="23F322C5" w14:textId="77777777" w:rsidTr="006F5124">
        <w:trPr>
          <w:trHeight w:val="259"/>
        </w:trPr>
        <w:tc>
          <w:tcPr>
            <w:tcW w:w="5823" w:type="dxa"/>
            <w:tcBorders>
              <w:top w:val="nil"/>
              <w:left w:val="nil"/>
              <w:bottom w:val="nil"/>
              <w:right w:val="nil"/>
            </w:tcBorders>
            <w:shd w:val="clear" w:color="auto" w:fill="auto"/>
            <w:noWrap/>
            <w:hideMark/>
          </w:tcPr>
          <w:p w14:paraId="3F88DCFC"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Pneumonia, unspecified (J189)</w:t>
            </w:r>
          </w:p>
        </w:tc>
        <w:tc>
          <w:tcPr>
            <w:tcW w:w="1707" w:type="dxa"/>
            <w:tcBorders>
              <w:top w:val="nil"/>
              <w:left w:val="nil"/>
              <w:bottom w:val="nil"/>
              <w:right w:val="nil"/>
            </w:tcBorders>
            <w:shd w:val="clear" w:color="auto" w:fill="auto"/>
            <w:noWrap/>
            <w:hideMark/>
          </w:tcPr>
          <w:p w14:paraId="0092771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471 (1.9%)</w:t>
            </w:r>
          </w:p>
        </w:tc>
        <w:tc>
          <w:tcPr>
            <w:tcW w:w="1707" w:type="dxa"/>
            <w:tcBorders>
              <w:top w:val="nil"/>
              <w:left w:val="nil"/>
              <w:bottom w:val="nil"/>
              <w:right w:val="nil"/>
            </w:tcBorders>
            <w:shd w:val="clear" w:color="auto" w:fill="auto"/>
            <w:noWrap/>
            <w:hideMark/>
          </w:tcPr>
          <w:p w14:paraId="0DF00C3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4D10954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2,623 (4.4%)</w:t>
            </w:r>
          </w:p>
        </w:tc>
        <w:tc>
          <w:tcPr>
            <w:tcW w:w="1556" w:type="dxa"/>
            <w:tcBorders>
              <w:top w:val="nil"/>
              <w:left w:val="nil"/>
              <w:bottom w:val="nil"/>
              <w:right w:val="nil"/>
            </w:tcBorders>
            <w:shd w:val="clear" w:color="auto" w:fill="auto"/>
            <w:noWrap/>
            <w:hideMark/>
          </w:tcPr>
          <w:p w14:paraId="103BDC9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2,623 (3.1%)</w:t>
            </w:r>
          </w:p>
        </w:tc>
        <w:tc>
          <w:tcPr>
            <w:tcW w:w="1556" w:type="dxa"/>
            <w:tcBorders>
              <w:top w:val="nil"/>
              <w:left w:val="nil"/>
              <w:bottom w:val="nil"/>
              <w:right w:val="nil"/>
            </w:tcBorders>
            <w:shd w:val="clear" w:color="auto" w:fill="auto"/>
            <w:noWrap/>
            <w:hideMark/>
          </w:tcPr>
          <w:p w14:paraId="6389439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525 (2.4%)</w:t>
            </w:r>
          </w:p>
        </w:tc>
      </w:tr>
      <w:tr w:rsidR="0053555D" w:rsidRPr="00831F8F" w14:paraId="56D22DCE" w14:textId="77777777" w:rsidTr="006F5124">
        <w:trPr>
          <w:trHeight w:val="259"/>
        </w:trPr>
        <w:tc>
          <w:tcPr>
            <w:tcW w:w="5823" w:type="dxa"/>
            <w:tcBorders>
              <w:top w:val="nil"/>
              <w:left w:val="nil"/>
              <w:bottom w:val="nil"/>
              <w:right w:val="nil"/>
            </w:tcBorders>
            <w:shd w:val="clear" w:color="auto" w:fill="auto"/>
            <w:noWrap/>
            <w:hideMark/>
          </w:tcPr>
          <w:p w14:paraId="41899F68"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Single spontaneous delivery (O80)</w:t>
            </w:r>
          </w:p>
        </w:tc>
        <w:tc>
          <w:tcPr>
            <w:tcW w:w="1707" w:type="dxa"/>
            <w:tcBorders>
              <w:top w:val="nil"/>
              <w:left w:val="nil"/>
              <w:bottom w:val="nil"/>
              <w:right w:val="nil"/>
            </w:tcBorders>
            <w:shd w:val="clear" w:color="auto" w:fill="auto"/>
            <w:noWrap/>
            <w:hideMark/>
          </w:tcPr>
          <w:p w14:paraId="57B5295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515 (2.1%)</w:t>
            </w:r>
          </w:p>
        </w:tc>
        <w:tc>
          <w:tcPr>
            <w:tcW w:w="1707" w:type="dxa"/>
            <w:tcBorders>
              <w:top w:val="nil"/>
              <w:left w:val="nil"/>
              <w:bottom w:val="nil"/>
              <w:right w:val="nil"/>
            </w:tcBorders>
            <w:shd w:val="clear" w:color="auto" w:fill="auto"/>
            <w:noWrap/>
            <w:hideMark/>
          </w:tcPr>
          <w:p w14:paraId="5BFF5F7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6EFE644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3059979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N/A</w:t>
            </w:r>
          </w:p>
        </w:tc>
        <w:tc>
          <w:tcPr>
            <w:tcW w:w="1556" w:type="dxa"/>
            <w:tcBorders>
              <w:top w:val="nil"/>
              <w:left w:val="nil"/>
              <w:bottom w:val="nil"/>
              <w:right w:val="nil"/>
            </w:tcBorders>
            <w:shd w:val="clear" w:color="auto" w:fill="auto"/>
            <w:noWrap/>
            <w:hideMark/>
          </w:tcPr>
          <w:p w14:paraId="781849B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N/A</w:t>
            </w:r>
          </w:p>
        </w:tc>
      </w:tr>
      <w:tr w:rsidR="0053555D" w:rsidRPr="00831F8F" w14:paraId="53A95CA4" w14:textId="77777777" w:rsidTr="006F5124">
        <w:trPr>
          <w:trHeight w:val="259"/>
        </w:trPr>
        <w:tc>
          <w:tcPr>
            <w:tcW w:w="5823" w:type="dxa"/>
            <w:tcBorders>
              <w:top w:val="nil"/>
              <w:left w:val="nil"/>
              <w:bottom w:val="nil"/>
              <w:right w:val="nil"/>
            </w:tcBorders>
            <w:shd w:val="clear" w:color="auto" w:fill="auto"/>
            <w:noWrap/>
            <w:hideMark/>
          </w:tcPr>
          <w:p w14:paraId="583416C5"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Urinary tract infection, site not specified (N390)</w:t>
            </w:r>
          </w:p>
        </w:tc>
        <w:tc>
          <w:tcPr>
            <w:tcW w:w="1707" w:type="dxa"/>
            <w:tcBorders>
              <w:top w:val="nil"/>
              <w:left w:val="nil"/>
              <w:bottom w:val="nil"/>
              <w:right w:val="nil"/>
            </w:tcBorders>
            <w:shd w:val="clear" w:color="auto" w:fill="auto"/>
            <w:noWrap/>
            <w:hideMark/>
          </w:tcPr>
          <w:p w14:paraId="615A62B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588 (2.4%)</w:t>
            </w:r>
          </w:p>
        </w:tc>
        <w:tc>
          <w:tcPr>
            <w:tcW w:w="1707" w:type="dxa"/>
            <w:tcBorders>
              <w:top w:val="nil"/>
              <w:left w:val="nil"/>
              <w:bottom w:val="nil"/>
              <w:right w:val="nil"/>
            </w:tcBorders>
            <w:shd w:val="clear" w:color="auto" w:fill="auto"/>
            <w:noWrap/>
            <w:hideMark/>
          </w:tcPr>
          <w:p w14:paraId="638A474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4ADD09C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2,631 (4.4%)</w:t>
            </w:r>
          </w:p>
        </w:tc>
        <w:tc>
          <w:tcPr>
            <w:tcW w:w="1556" w:type="dxa"/>
            <w:tcBorders>
              <w:top w:val="nil"/>
              <w:left w:val="nil"/>
              <w:bottom w:val="nil"/>
              <w:right w:val="nil"/>
            </w:tcBorders>
            <w:shd w:val="clear" w:color="auto" w:fill="auto"/>
            <w:noWrap/>
            <w:hideMark/>
          </w:tcPr>
          <w:p w14:paraId="1CCC8D0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2,631 (3.1%)</w:t>
            </w:r>
          </w:p>
        </w:tc>
        <w:tc>
          <w:tcPr>
            <w:tcW w:w="1556" w:type="dxa"/>
            <w:tcBorders>
              <w:top w:val="nil"/>
              <w:left w:val="nil"/>
              <w:bottom w:val="nil"/>
              <w:right w:val="nil"/>
            </w:tcBorders>
            <w:shd w:val="clear" w:color="auto" w:fill="auto"/>
            <w:noWrap/>
            <w:hideMark/>
          </w:tcPr>
          <w:p w14:paraId="6E4B23C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000000"/>
                <w:sz w:val="20"/>
                <w:szCs w:val="20"/>
                <w:lang w:eastAsia="en-AU"/>
              </w:rPr>
              <w:t>659 (3.1%)</w:t>
            </w:r>
          </w:p>
        </w:tc>
      </w:tr>
      <w:tr w:rsidR="0053555D" w:rsidRPr="00831F8F" w14:paraId="0D53E749" w14:textId="77777777" w:rsidTr="006F5124">
        <w:trPr>
          <w:trHeight w:val="259"/>
        </w:trPr>
        <w:tc>
          <w:tcPr>
            <w:tcW w:w="5823" w:type="dxa"/>
            <w:tcBorders>
              <w:top w:val="nil"/>
              <w:left w:val="nil"/>
              <w:bottom w:val="nil"/>
              <w:right w:val="nil"/>
            </w:tcBorders>
            <w:shd w:val="clear" w:color="auto" w:fill="auto"/>
            <w:noWrap/>
            <w:hideMark/>
          </w:tcPr>
          <w:p w14:paraId="2353F272"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Diagnostic Related Group type, n(%)</w:t>
            </w:r>
          </w:p>
        </w:tc>
        <w:tc>
          <w:tcPr>
            <w:tcW w:w="1707" w:type="dxa"/>
            <w:tcBorders>
              <w:top w:val="nil"/>
              <w:left w:val="nil"/>
              <w:bottom w:val="nil"/>
              <w:right w:val="nil"/>
            </w:tcBorders>
            <w:shd w:val="clear" w:color="auto" w:fill="auto"/>
            <w:noWrap/>
            <w:hideMark/>
          </w:tcPr>
          <w:p w14:paraId="6688C459"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27E1685E"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0D6DB66B"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44FBD94C"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0CCC1BD1"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664A9B7A" w14:textId="77777777" w:rsidTr="006F5124">
        <w:trPr>
          <w:trHeight w:val="259"/>
        </w:trPr>
        <w:tc>
          <w:tcPr>
            <w:tcW w:w="5823" w:type="dxa"/>
            <w:tcBorders>
              <w:top w:val="nil"/>
              <w:left w:val="nil"/>
              <w:bottom w:val="nil"/>
              <w:right w:val="nil"/>
            </w:tcBorders>
            <w:shd w:val="clear" w:color="auto" w:fill="auto"/>
            <w:noWrap/>
            <w:hideMark/>
          </w:tcPr>
          <w:p w14:paraId="66DCA47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surgical</w:t>
            </w:r>
          </w:p>
        </w:tc>
        <w:tc>
          <w:tcPr>
            <w:tcW w:w="1707" w:type="dxa"/>
            <w:tcBorders>
              <w:top w:val="nil"/>
              <w:left w:val="nil"/>
              <w:bottom w:val="nil"/>
              <w:right w:val="nil"/>
            </w:tcBorders>
            <w:shd w:val="clear" w:color="auto" w:fill="auto"/>
            <w:noWrap/>
            <w:hideMark/>
          </w:tcPr>
          <w:p w14:paraId="399F993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3,397 (13.9%)</w:t>
            </w:r>
          </w:p>
        </w:tc>
        <w:tc>
          <w:tcPr>
            <w:tcW w:w="1707" w:type="dxa"/>
            <w:tcBorders>
              <w:top w:val="nil"/>
              <w:left w:val="nil"/>
              <w:bottom w:val="nil"/>
              <w:right w:val="nil"/>
            </w:tcBorders>
            <w:shd w:val="clear" w:color="auto" w:fill="auto"/>
            <w:noWrap/>
            <w:hideMark/>
          </w:tcPr>
          <w:p w14:paraId="3AC4CCB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2,267 (7.0%)</w:t>
            </w:r>
          </w:p>
        </w:tc>
        <w:tc>
          <w:tcPr>
            <w:tcW w:w="1656" w:type="dxa"/>
            <w:tcBorders>
              <w:top w:val="nil"/>
              <w:left w:val="nil"/>
              <w:bottom w:val="nil"/>
              <w:right w:val="nil"/>
            </w:tcBorders>
            <w:shd w:val="clear" w:color="auto" w:fill="auto"/>
            <w:noWrap/>
            <w:hideMark/>
          </w:tcPr>
          <w:p w14:paraId="2AEE28C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14,197 (23.6%)</w:t>
            </w:r>
          </w:p>
        </w:tc>
        <w:tc>
          <w:tcPr>
            <w:tcW w:w="1556" w:type="dxa"/>
            <w:tcBorders>
              <w:top w:val="nil"/>
              <w:left w:val="nil"/>
              <w:bottom w:val="nil"/>
              <w:right w:val="nil"/>
            </w:tcBorders>
            <w:shd w:val="clear" w:color="auto" w:fill="auto"/>
            <w:noWrap/>
            <w:hideMark/>
          </w:tcPr>
          <w:p w14:paraId="0D9F18C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15,308 (18.1%)</w:t>
            </w:r>
          </w:p>
        </w:tc>
        <w:tc>
          <w:tcPr>
            <w:tcW w:w="1556" w:type="dxa"/>
            <w:tcBorders>
              <w:top w:val="nil"/>
              <w:left w:val="nil"/>
              <w:bottom w:val="nil"/>
              <w:right w:val="nil"/>
            </w:tcBorders>
            <w:shd w:val="clear" w:color="auto" w:fill="auto"/>
            <w:noWrap/>
            <w:hideMark/>
          </w:tcPr>
          <w:p w14:paraId="2B869D3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3,246 (15.1%)</w:t>
            </w:r>
          </w:p>
        </w:tc>
      </w:tr>
      <w:tr w:rsidR="0053555D" w:rsidRPr="00831F8F" w14:paraId="24626FC1" w14:textId="77777777" w:rsidTr="006F5124">
        <w:trPr>
          <w:trHeight w:val="259"/>
        </w:trPr>
        <w:tc>
          <w:tcPr>
            <w:tcW w:w="5823" w:type="dxa"/>
            <w:tcBorders>
              <w:top w:val="nil"/>
              <w:left w:val="nil"/>
              <w:bottom w:val="nil"/>
              <w:right w:val="nil"/>
            </w:tcBorders>
            <w:shd w:val="clear" w:color="auto" w:fill="auto"/>
            <w:noWrap/>
            <w:hideMark/>
          </w:tcPr>
          <w:p w14:paraId="573B764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non-surgical</w:t>
            </w:r>
          </w:p>
        </w:tc>
        <w:tc>
          <w:tcPr>
            <w:tcW w:w="1707" w:type="dxa"/>
            <w:tcBorders>
              <w:top w:val="nil"/>
              <w:left w:val="nil"/>
              <w:bottom w:val="nil"/>
              <w:right w:val="nil"/>
            </w:tcBorders>
            <w:shd w:val="clear" w:color="auto" w:fill="auto"/>
            <w:noWrap/>
            <w:hideMark/>
          </w:tcPr>
          <w:p w14:paraId="1F347AC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21,101 (86.1%)</w:t>
            </w:r>
          </w:p>
        </w:tc>
        <w:tc>
          <w:tcPr>
            <w:tcW w:w="1707" w:type="dxa"/>
            <w:tcBorders>
              <w:top w:val="nil"/>
              <w:left w:val="nil"/>
              <w:bottom w:val="nil"/>
              <w:right w:val="nil"/>
            </w:tcBorders>
            <w:shd w:val="clear" w:color="auto" w:fill="auto"/>
            <w:noWrap/>
            <w:hideMark/>
          </w:tcPr>
          <w:p w14:paraId="3B56CBA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30,341 (93.0%)</w:t>
            </w:r>
          </w:p>
        </w:tc>
        <w:tc>
          <w:tcPr>
            <w:tcW w:w="1656" w:type="dxa"/>
            <w:tcBorders>
              <w:top w:val="nil"/>
              <w:left w:val="nil"/>
              <w:bottom w:val="nil"/>
              <w:right w:val="nil"/>
            </w:tcBorders>
            <w:shd w:val="clear" w:color="auto" w:fill="auto"/>
            <w:noWrap/>
            <w:hideMark/>
          </w:tcPr>
          <w:p w14:paraId="0BCEC73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46,061 (76.4%)</w:t>
            </w:r>
          </w:p>
        </w:tc>
        <w:tc>
          <w:tcPr>
            <w:tcW w:w="1556" w:type="dxa"/>
            <w:tcBorders>
              <w:top w:val="nil"/>
              <w:left w:val="nil"/>
              <w:bottom w:val="nil"/>
              <w:right w:val="nil"/>
            </w:tcBorders>
            <w:shd w:val="clear" w:color="auto" w:fill="auto"/>
            <w:noWrap/>
            <w:hideMark/>
          </w:tcPr>
          <w:p w14:paraId="16BC654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69,074 (81.9%)</w:t>
            </w:r>
          </w:p>
        </w:tc>
        <w:tc>
          <w:tcPr>
            <w:tcW w:w="1556" w:type="dxa"/>
            <w:tcBorders>
              <w:top w:val="nil"/>
              <w:left w:val="nil"/>
              <w:bottom w:val="nil"/>
              <w:right w:val="nil"/>
            </w:tcBorders>
            <w:shd w:val="clear" w:color="auto" w:fill="auto"/>
            <w:noWrap/>
            <w:hideMark/>
          </w:tcPr>
          <w:p w14:paraId="5485999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18,188 (84.9%)</w:t>
            </w:r>
          </w:p>
        </w:tc>
      </w:tr>
      <w:tr w:rsidR="0053555D" w:rsidRPr="00831F8F" w14:paraId="3B83E786" w14:textId="77777777" w:rsidTr="006F5124">
        <w:trPr>
          <w:trHeight w:val="259"/>
        </w:trPr>
        <w:tc>
          <w:tcPr>
            <w:tcW w:w="5823" w:type="dxa"/>
            <w:tcBorders>
              <w:top w:val="nil"/>
              <w:left w:val="nil"/>
              <w:bottom w:val="nil"/>
              <w:right w:val="nil"/>
            </w:tcBorders>
            <w:shd w:val="clear" w:color="auto" w:fill="auto"/>
            <w:noWrap/>
            <w:hideMark/>
          </w:tcPr>
          <w:p w14:paraId="6F660B8A"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Sepsis Diagnosis Related Group, n(%)</w:t>
            </w:r>
          </w:p>
        </w:tc>
        <w:tc>
          <w:tcPr>
            <w:tcW w:w="1707" w:type="dxa"/>
            <w:tcBorders>
              <w:top w:val="nil"/>
              <w:left w:val="nil"/>
              <w:bottom w:val="nil"/>
              <w:right w:val="nil"/>
            </w:tcBorders>
            <w:shd w:val="clear" w:color="auto" w:fill="auto"/>
            <w:noWrap/>
            <w:hideMark/>
          </w:tcPr>
          <w:p w14:paraId="38D59176"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743A3E18"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796D23F0"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6B08ACE4"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46DD86A9"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3C7374CB" w14:textId="77777777" w:rsidTr="006F5124">
        <w:trPr>
          <w:trHeight w:val="259"/>
        </w:trPr>
        <w:tc>
          <w:tcPr>
            <w:tcW w:w="5823" w:type="dxa"/>
            <w:tcBorders>
              <w:top w:val="nil"/>
              <w:left w:val="nil"/>
              <w:bottom w:val="nil"/>
              <w:right w:val="nil"/>
            </w:tcBorders>
            <w:shd w:val="clear" w:color="auto" w:fill="auto"/>
            <w:noWrap/>
            <w:hideMark/>
          </w:tcPr>
          <w:p w14:paraId="4E55C94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T60A Septicaemia, Major Complexity</w:t>
            </w:r>
          </w:p>
        </w:tc>
        <w:tc>
          <w:tcPr>
            <w:tcW w:w="1707" w:type="dxa"/>
            <w:tcBorders>
              <w:top w:val="nil"/>
              <w:left w:val="nil"/>
              <w:bottom w:val="nil"/>
              <w:right w:val="nil"/>
            </w:tcBorders>
            <w:shd w:val="clear" w:color="auto" w:fill="auto"/>
            <w:noWrap/>
            <w:hideMark/>
          </w:tcPr>
          <w:p w14:paraId="4C16D10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601 (2.5%)</w:t>
            </w:r>
          </w:p>
        </w:tc>
        <w:tc>
          <w:tcPr>
            <w:tcW w:w="1707" w:type="dxa"/>
            <w:tcBorders>
              <w:top w:val="nil"/>
              <w:left w:val="nil"/>
              <w:bottom w:val="nil"/>
              <w:right w:val="nil"/>
            </w:tcBorders>
            <w:shd w:val="clear" w:color="auto" w:fill="auto"/>
            <w:noWrap/>
            <w:hideMark/>
          </w:tcPr>
          <w:p w14:paraId="225EC50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7,857 (24.1%)</w:t>
            </w:r>
          </w:p>
        </w:tc>
        <w:tc>
          <w:tcPr>
            <w:tcW w:w="1656" w:type="dxa"/>
            <w:tcBorders>
              <w:top w:val="nil"/>
              <w:left w:val="nil"/>
              <w:bottom w:val="nil"/>
              <w:right w:val="nil"/>
            </w:tcBorders>
            <w:shd w:val="clear" w:color="auto" w:fill="auto"/>
            <w:noWrap/>
            <w:hideMark/>
          </w:tcPr>
          <w:p w14:paraId="28B9673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2,753 (4.6%)</w:t>
            </w:r>
          </w:p>
        </w:tc>
        <w:tc>
          <w:tcPr>
            <w:tcW w:w="1556" w:type="dxa"/>
            <w:tcBorders>
              <w:top w:val="nil"/>
              <w:left w:val="nil"/>
              <w:bottom w:val="nil"/>
              <w:right w:val="nil"/>
            </w:tcBorders>
            <w:shd w:val="clear" w:color="auto" w:fill="auto"/>
            <w:noWrap/>
            <w:hideMark/>
          </w:tcPr>
          <w:p w14:paraId="6BB8D83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7,879 (9.3%)</w:t>
            </w:r>
          </w:p>
        </w:tc>
        <w:tc>
          <w:tcPr>
            <w:tcW w:w="1556" w:type="dxa"/>
            <w:tcBorders>
              <w:top w:val="nil"/>
              <w:left w:val="nil"/>
              <w:bottom w:val="nil"/>
              <w:right w:val="nil"/>
            </w:tcBorders>
            <w:shd w:val="clear" w:color="auto" w:fill="auto"/>
            <w:noWrap/>
            <w:hideMark/>
          </w:tcPr>
          <w:p w14:paraId="2D4B4A7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768 (3.6%)</w:t>
            </w:r>
          </w:p>
        </w:tc>
      </w:tr>
      <w:tr w:rsidR="0053555D" w:rsidRPr="00831F8F" w14:paraId="44F3E721" w14:textId="77777777" w:rsidTr="006F5124">
        <w:trPr>
          <w:trHeight w:val="259"/>
        </w:trPr>
        <w:tc>
          <w:tcPr>
            <w:tcW w:w="5823" w:type="dxa"/>
            <w:tcBorders>
              <w:top w:val="nil"/>
              <w:left w:val="nil"/>
              <w:bottom w:val="nil"/>
              <w:right w:val="nil"/>
            </w:tcBorders>
            <w:shd w:val="clear" w:color="auto" w:fill="auto"/>
            <w:noWrap/>
            <w:hideMark/>
          </w:tcPr>
          <w:p w14:paraId="34545BE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T60B Septicaemia, Intermediate Complexity</w:t>
            </w:r>
          </w:p>
        </w:tc>
        <w:tc>
          <w:tcPr>
            <w:tcW w:w="1707" w:type="dxa"/>
            <w:tcBorders>
              <w:top w:val="nil"/>
              <w:left w:val="nil"/>
              <w:bottom w:val="nil"/>
              <w:right w:val="nil"/>
            </w:tcBorders>
            <w:shd w:val="clear" w:color="auto" w:fill="auto"/>
            <w:noWrap/>
            <w:hideMark/>
          </w:tcPr>
          <w:p w14:paraId="235568D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728 (3.0%)</w:t>
            </w:r>
          </w:p>
        </w:tc>
        <w:tc>
          <w:tcPr>
            <w:tcW w:w="1707" w:type="dxa"/>
            <w:tcBorders>
              <w:top w:val="nil"/>
              <w:left w:val="nil"/>
              <w:bottom w:val="nil"/>
              <w:right w:val="nil"/>
            </w:tcBorders>
            <w:shd w:val="clear" w:color="auto" w:fill="auto"/>
            <w:noWrap/>
            <w:hideMark/>
          </w:tcPr>
          <w:p w14:paraId="1EA37FA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10,102 (31.0%)</w:t>
            </w:r>
          </w:p>
        </w:tc>
        <w:tc>
          <w:tcPr>
            <w:tcW w:w="1656" w:type="dxa"/>
            <w:tcBorders>
              <w:top w:val="nil"/>
              <w:left w:val="nil"/>
              <w:bottom w:val="nil"/>
              <w:right w:val="nil"/>
            </w:tcBorders>
            <w:shd w:val="clear" w:color="auto" w:fill="auto"/>
            <w:noWrap/>
            <w:hideMark/>
          </w:tcPr>
          <w:p w14:paraId="0165266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2,385 (4.0%)</w:t>
            </w:r>
          </w:p>
        </w:tc>
        <w:tc>
          <w:tcPr>
            <w:tcW w:w="1556" w:type="dxa"/>
            <w:tcBorders>
              <w:top w:val="nil"/>
              <w:left w:val="nil"/>
              <w:bottom w:val="nil"/>
              <w:right w:val="nil"/>
            </w:tcBorders>
            <w:shd w:val="clear" w:color="auto" w:fill="auto"/>
            <w:noWrap/>
            <w:hideMark/>
          </w:tcPr>
          <w:p w14:paraId="207FE7A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10,116 (12.0%)</w:t>
            </w:r>
          </w:p>
        </w:tc>
        <w:tc>
          <w:tcPr>
            <w:tcW w:w="1556" w:type="dxa"/>
            <w:tcBorders>
              <w:top w:val="nil"/>
              <w:left w:val="nil"/>
              <w:bottom w:val="nil"/>
              <w:right w:val="nil"/>
            </w:tcBorders>
            <w:shd w:val="clear" w:color="auto" w:fill="auto"/>
            <w:noWrap/>
            <w:hideMark/>
          </w:tcPr>
          <w:p w14:paraId="65E608F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682 (3.2%)</w:t>
            </w:r>
          </w:p>
        </w:tc>
      </w:tr>
      <w:tr w:rsidR="0053555D" w:rsidRPr="00831F8F" w14:paraId="3469F5A4" w14:textId="77777777" w:rsidTr="006F5124">
        <w:trPr>
          <w:trHeight w:val="259"/>
        </w:trPr>
        <w:tc>
          <w:tcPr>
            <w:tcW w:w="5823" w:type="dxa"/>
            <w:tcBorders>
              <w:top w:val="nil"/>
              <w:left w:val="nil"/>
              <w:bottom w:val="nil"/>
              <w:right w:val="nil"/>
            </w:tcBorders>
            <w:shd w:val="clear" w:color="auto" w:fill="auto"/>
            <w:noWrap/>
            <w:hideMark/>
          </w:tcPr>
          <w:p w14:paraId="5BF6BFE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T60C Septicaemia, Minor Complexity</w:t>
            </w:r>
          </w:p>
        </w:tc>
        <w:tc>
          <w:tcPr>
            <w:tcW w:w="1707" w:type="dxa"/>
            <w:tcBorders>
              <w:top w:val="nil"/>
              <w:left w:val="nil"/>
              <w:bottom w:val="nil"/>
              <w:right w:val="nil"/>
            </w:tcBorders>
            <w:shd w:val="clear" w:color="auto" w:fill="auto"/>
            <w:noWrap/>
            <w:hideMark/>
          </w:tcPr>
          <w:p w14:paraId="242C850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839 (3.4%)</w:t>
            </w:r>
          </w:p>
        </w:tc>
        <w:tc>
          <w:tcPr>
            <w:tcW w:w="1707" w:type="dxa"/>
            <w:tcBorders>
              <w:top w:val="nil"/>
              <w:left w:val="nil"/>
              <w:bottom w:val="nil"/>
              <w:right w:val="nil"/>
            </w:tcBorders>
            <w:shd w:val="clear" w:color="auto" w:fill="auto"/>
            <w:noWrap/>
            <w:hideMark/>
          </w:tcPr>
          <w:p w14:paraId="5AF8AA1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9,428 (28.9%)</w:t>
            </w:r>
          </w:p>
        </w:tc>
        <w:tc>
          <w:tcPr>
            <w:tcW w:w="1656" w:type="dxa"/>
            <w:tcBorders>
              <w:top w:val="nil"/>
              <w:left w:val="nil"/>
              <w:bottom w:val="nil"/>
              <w:right w:val="nil"/>
            </w:tcBorders>
            <w:shd w:val="clear" w:color="auto" w:fill="auto"/>
            <w:noWrap/>
            <w:hideMark/>
          </w:tcPr>
          <w:p w14:paraId="10A2564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1,656 (2.7%)</w:t>
            </w:r>
          </w:p>
        </w:tc>
        <w:tc>
          <w:tcPr>
            <w:tcW w:w="1556" w:type="dxa"/>
            <w:tcBorders>
              <w:top w:val="nil"/>
              <w:left w:val="nil"/>
              <w:bottom w:val="nil"/>
              <w:right w:val="nil"/>
            </w:tcBorders>
            <w:shd w:val="clear" w:color="auto" w:fill="auto"/>
            <w:noWrap/>
            <w:hideMark/>
          </w:tcPr>
          <w:p w14:paraId="3ED4A96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9,438 (11.2%)</w:t>
            </w:r>
          </w:p>
        </w:tc>
        <w:tc>
          <w:tcPr>
            <w:tcW w:w="1556" w:type="dxa"/>
            <w:tcBorders>
              <w:top w:val="nil"/>
              <w:left w:val="nil"/>
              <w:bottom w:val="nil"/>
              <w:right w:val="nil"/>
            </w:tcBorders>
            <w:shd w:val="clear" w:color="auto" w:fill="auto"/>
            <w:noWrap/>
            <w:hideMark/>
          </w:tcPr>
          <w:p w14:paraId="7F7486F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525 (2.4%)</w:t>
            </w:r>
          </w:p>
        </w:tc>
      </w:tr>
      <w:tr w:rsidR="0053555D" w:rsidRPr="00831F8F" w14:paraId="73656B6E" w14:textId="77777777" w:rsidTr="006F5124">
        <w:trPr>
          <w:trHeight w:val="259"/>
        </w:trPr>
        <w:tc>
          <w:tcPr>
            <w:tcW w:w="5823" w:type="dxa"/>
            <w:tcBorders>
              <w:top w:val="nil"/>
              <w:left w:val="nil"/>
              <w:bottom w:val="nil"/>
              <w:right w:val="nil"/>
            </w:tcBorders>
            <w:shd w:val="clear" w:color="auto" w:fill="auto"/>
            <w:noWrap/>
            <w:hideMark/>
          </w:tcPr>
          <w:p w14:paraId="600154A4"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Top 3 non-sepsis Diagnosis Related Group, n(%)</w:t>
            </w:r>
          </w:p>
        </w:tc>
        <w:tc>
          <w:tcPr>
            <w:tcW w:w="1707" w:type="dxa"/>
            <w:tcBorders>
              <w:top w:val="nil"/>
              <w:left w:val="nil"/>
              <w:bottom w:val="nil"/>
              <w:right w:val="nil"/>
            </w:tcBorders>
            <w:shd w:val="clear" w:color="auto" w:fill="auto"/>
            <w:noWrap/>
            <w:hideMark/>
          </w:tcPr>
          <w:p w14:paraId="2E18FD08"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0FAFF380"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6C1D35F0"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37AB1A1F"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3A15DA53"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r>
      <w:tr w:rsidR="0053555D" w:rsidRPr="00831F8F" w14:paraId="4B64B625" w14:textId="77777777" w:rsidTr="006F5124">
        <w:trPr>
          <w:trHeight w:val="259"/>
        </w:trPr>
        <w:tc>
          <w:tcPr>
            <w:tcW w:w="5823" w:type="dxa"/>
            <w:tcBorders>
              <w:top w:val="nil"/>
              <w:left w:val="nil"/>
              <w:bottom w:val="nil"/>
              <w:right w:val="nil"/>
            </w:tcBorders>
            <w:shd w:val="clear" w:color="auto" w:fill="auto"/>
            <w:noWrap/>
            <w:hideMark/>
          </w:tcPr>
          <w:p w14:paraId="14D74D8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Cellulitis, Major Complexity (J64A)</w:t>
            </w:r>
          </w:p>
        </w:tc>
        <w:tc>
          <w:tcPr>
            <w:tcW w:w="1707" w:type="dxa"/>
            <w:tcBorders>
              <w:top w:val="nil"/>
              <w:left w:val="nil"/>
              <w:bottom w:val="nil"/>
              <w:right w:val="nil"/>
            </w:tcBorders>
            <w:shd w:val="clear" w:color="auto" w:fill="auto"/>
            <w:noWrap/>
            <w:hideMark/>
          </w:tcPr>
          <w:p w14:paraId="22C6038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707" w:type="dxa"/>
            <w:tcBorders>
              <w:top w:val="nil"/>
              <w:left w:val="nil"/>
              <w:bottom w:val="nil"/>
              <w:right w:val="nil"/>
            </w:tcBorders>
            <w:shd w:val="clear" w:color="auto" w:fill="auto"/>
            <w:noWrap/>
            <w:hideMark/>
          </w:tcPr>
          <w:p w14:paraId="2182BA9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2F3E386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1,775 (2.9%)</w:t>
            </w:r>
          </w:p>
        </w:tc>
        <w:tc>
          <w:tcPr>
            <w:tcW w:w="1556" w:type="dxa"/>
            <w:tcBorders>
              <w:top w:val="nil"/>
              <w:left w:val="nil"/>
              <w:bottom w:val="nil"/>
              <w:right w:val="nil"/>
            </w:tcBorders>
            <w:shd w:val="clear" w:color="auto" w:fill="auto"/>
            <w:noWrap/>
            <w:hideMark/>
          </w:tcPr>
          <w:p w14:paraId="0106D50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1,775 (2.1%)</w:t>
            </w:r>
          </w:p>
        </w:tc>
        <w:tc>
          <w:tcPr>
            <w:tcW w:w="1556" w:type="dxa"/>
            <w:tcBorders>
              <w:top w:val="nil"/>
              <w:left w:val="nil"/>
              <w:bottom w:val="nil"/>
              <w:right w:val="nil"/>
            </w:tcBorders>
            <w:shd w:val="clear" w:color="auto" w:fill="auto"/>
            <w:noWrap/>
            <w:hideMark/>
          </w:tcPr>
          <w:p w14:paraId="7E27794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r>
      <w:tr w:rsidR="0053555D" w:rsidRPr="00831F8F" w14:paraId="6C4A0F77" w14:textId="77777777" w:rsidTr="006F5124">
        <w:trPr>
          <w:trHeight w:val="259"/>
        </w:trPr>
        <w:tc>
          <w:tcPr>
            <w:tcW w:w="5823" w:type="dxa"/>
            <w:tcBorders>
              <w:top w:val="nil"/>
              <w:left w:val="nil"/>
              <w:bottom w:val="nil"/>
              <w:right w:val="nil"/>
            </w:tcBorders>
            <w:shd w:val="clear" w:color="auto" w:fill="auto"/>
            <w:noWrap/>
            <w:hideMark/>
          </w:tcPr>
          <w:p w14:paraId="71AC798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Infectious and Parasitic Diseases W OR Procedures, Major Complexity (T01A)</w:t>
            </w:r>
          </w:p>
        </w:tc>
        <w:tc>
          <w:tcPr>
            <w:tcW w:w="1707" w:type="dxa"/>
            <w:tcBorders>
              <w:top w:val="nil"/>
              <w:left w:val="nil"/>
              <w:bottom w:val="nil"/>
              <w:right w:val="nil"/>
            </w:tcBorders>
            <w:shd w:val="clear" w:color="auto" w:fill="auto"/>
            <w:noWrap/>
            <w:hideMark/>
          </w:tcPr>
          <w:p w14:paraId="00BF83A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707" w:type="dxa"/>
            <w:tcBorders>
              <w:top w:val="nil"/>
              <w:left w:val="nil"/>
              <w:bottom w:val="nil"/>
              <w:right w:val="nil"/>
            </w:tcBorders>
            <w:shd w:val="clear" w:color="auto" w:fill="auto"/>
            <w:noWrap/>
            <w:hideMark/>
          </w:tcPr>
          <w:p w14:paraId="4E2A029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1,100 (3.4%)</w:t>
            </w:r>
          </w:p>
        </w:tc>
        <w:tc>
          <w:tcPr>
            <w:tcW w:w="1656" w:type="dxa"/>
            <w:tcBorders>
              <w:top w:val="nil"/>
              <w:left w:val="nil"/>
              <w:bottom w:val="nil"/>
              <w:right w:val="nil"/>
            </w:tcBorders>
            <w:shd w:val="clear" w:color="auto" w:fill="auto"/>
            <w:noWrap/>
            <w:hideMark/>
          </w:tcPr>
          <w:p w14:paraId="3CB351A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465021F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0B34310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r>
      <w:tr w:rsidR="0053555D" w:rsidRPr="00831F8F" w14:paraId="09EBB76C" w14:textId="77777777" w:rsidTr="006F5124">
        <w:trPr>
          <w:trHeight w:val="259"/>
        </w:trPr>
        <w:tc>
          <w:tcPr>
            <w:tcW w:w="5823" w:type="dxa"/>
            <w:tcBorders>
              <w:top w:val="nil"/>
              <w:left w:val="nil"/>
              <w:bottom w:val="nil"/>
              <w:right w:val="nil"/>
            </w:tcBorders>
            <w:shd w:val="clear" w:color="auto" w:fill="auto"/>
            <w:noWrap/>
            <w:hideMark/>
          </w:tcPr>
          <w:p w14:paraId="7040495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Kidney and Urinary Tract Infections, Major Complexity (L63A)</w:t>
            </w:r>
          </w:p>
        </w:tc>
        <w:tc>
          <w:tcPr>
            <w:tcW w:w="1707" w:type="dxa"/>
            <w:tcBorders>
              <w:top w:val="nil"/>
              <w:left w:val="nil"/>
              <w:bottom w:val="nil"/>
              <w:right w:val="nil"/>
            </w:tcBorders>
            <w:shd w:val="clear" w:color="auto" w:fill="auto"/>
            <w:noWrap/>
            <w:hideMark/>
          </w:tcPr>
          <w:p w14:paraId="6D4A1A8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571 (2.3%)</w:t>
            </w:r>
          </w:p>
        </w:tc>
        <w:tc>
          <w:tcPr>
            <w:tcW w:w="1707" w:type="dxa"/>
            <w:tcBorders>
              <w:top w:val="nil"/>
              <w:left w:val="nil"/>
              <w:bottom w:val="nil"/>
              <w:right w:val="nil"/>
            </w:tcBorders>
            <w:shd w:val="clear" w:color="auto" w:fill="auto"/>
            <w:noWrap/>
            <w:hideMark/>
          </w:tcPr>
          <w:p w14:paraId="4EE835A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3D5F6A0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3,826 (6.3%)</w:t>
            </w:r>
          </w:p>
        </w:tc>
        <w:tc>
          <w:tcPr>
            <w:tcW w:w="1556" w:type="dxa"/>
            <w:tcBorders>
              <w:top w:val="nil"/>
              <w:left w:val="nil"/>
              <w:bottom w:val="nil"/>
              <w:right w:val="nil"/>
            </w:tcBorders>
            <w:shd w:val="clear" w:color="auto" w:fill="auto"/>
            <w:noWrap/>
            <w:hideMark/>
          </w:tcPr>
          <w:p w14:paraId="1073CCB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3,826 (4.5%)</w:t>
            </w:r>
          </w:p>
        </w:tc>
        <w:tc>
          <w:tcPr>
            <w:tcW w:w="1556" w:type="dxa"/>
            <w:tcBorders>
              <w:top w:val="nil"/>
              <w:left w:val="nil"/>
              <w:bottom w:val="nil"/>
              <w:right w:val="nil"/>
            </w:tcBorders>
            <w:shd w:val="clear" w:color="auto" w:fill="auto"/>
            <w:noWrap/>
            <w:hideMark/>
          </w:tcPr>
          <w:p w14:paraId="45813C1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642 (3.0%)</w:t>
            </w:r>
          </w:p>
        </w:tc>
      </w:tr>
      <w:tr w:rsidR="0053555D" w:rsidRPr="00831F8F" w14:paraId="62CEFD1A" w14:textId="77777777" w:rsidTr="006F5124">
        <w:trPr>
          <w:trHeight w:val="259"/>
        </w:trPr>
        <w:tc>
          <w:tcPr>
            <w:tcW w:w="5823" w:type="dxa"/>
            <w:tcBorders>
              <w:top w:val="nil"/>
              <w:left w:val="nil"/>
              <w:bottom w:val="nil"/>
              <w:right w:val="nil"/>
            </w:tcBorders>
            <w:shd w:val="clear" w:color="auto" w:fill="auto"/>
            <w:noWrap/>
            <w:hideMark/>
          </w:tcPr>
          <w:p w14:paraId="32E85505"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Other Factors Influencing Health Status, Major Complexity (Z64A)</w:t>
            </w:r>
          </w:p>
        </w:tc>
        <w:tc>
          <w:tcPr>
            <w:tcW w:w="1707" w:type="dxa"/>
            <w:tcBorders>
              <w:top w:val="nil"/>
              <w:left w:val="nil"/>
              <w:bottom w:val="nil"/>
              <w:right w:val="nil"/>
            </w:tcBorders>
            <w:shd w:val="clear" w:color="auto" w:fill="auto"/>
            <w:noWrap/>
            <w:hideMark/>
          </w:tcPr>
          <w:p w14:paraId="16126FC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474 (1.9%)</w:t>
            </w:r>
          </w:p>
        </w:tc>
        <w:tc>
          <w:tcPr>
            <w:tcW w:w="1707" w:type="dxa"/>
            <w:tcBorders>
              <w:top w:val="nil"/>
              <w:left w:val="nil"/>
              <w:bottom w:val="nil"/>
              <w:right w:val="nil"/>
            </w:tcBorders>
            <w:shd w:val="clear" w:color="auto" w:fill="auto"/>
            <w:noWrap/>
            <w:hideMark/>
          </w:tcPr>
          <w:p w14:paraId="5C57837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245AE8A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4E9B737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3CAA0D5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r>
      <w:tr w:rsidR="0053555D" w:rsidRPr="00831F8F" w14:paraId="6F278F8F" w14:textId="77777777" w:rsidTr="006F5124">
        <w:trPr>
          <w:trHeight w:val="259"/>
        </w:trPr>
        <w:tc>
          <w:tcPr>
            <w:tcW w:w="5823" w:type="dxa"/>
            <w:tcBorders>
              <w:top w:val="nil"/>
              <w:left w:val="nil"/>
              <w:bottom w:val="nil"/>
              <w:right w:val="nil"/>
            </w:tcBorders>
            <w:shd w:val="clear" w:color="auto" w:fill="auto"/>
            <w:noWrap/>
            <w:hideMark/>
          </w:tcPr>
          <w:p w14:paraId="39D0AC4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lastRenderedPageBreak/>
              <w:t>Other Follow Up After Surgery or Medical Care, Major Complexity (Z63A)</w:t>
            </w:r>
          </w:p>
        </w:tc>
        <w:tc>
          <w:tcPr>
            <w:tcW w:w="1707" w:type="dxa"/>
            <w:tcBorders>
              <w:top w:val="nil"/>
              <w:left w:val="nil"/>
              <w:bottom w:val="nil"/>
              <w:right w:val="nil"/>
            </w:tcBorders>
            <w:shd w:val="clear" w:color="auto" w:fill="auto"/>
            <w:noWrap/>
            <w:hideMark/>
          </w:tcPr>
          <w:p w14:paraId="156D2357"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707" w:type="dxa"/>
            <w:tcBorders>
              <w:top w:val="nil"/>
              <w:left w:val="nil"/>
              <w:bottom w:val="nil"/>
              <w:right w:val="nil"/>
            </w:tcBorders>
            <w:shd w:val="clear" w:color="auto" w:fill="auto"/>
            <w:noWrap/>
            <w:hideMark/>
          </w:tcPr>
          <w:p w14:paraId="16F17F6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49B127C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2C4FA7D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06E736A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418 (2.0%)</w:t>
            </w:r>
          </w:p>
        </w:tc>
      </w:tr>
      <w:tr w:rsidR="0053555D" w:rsidRPr="00831F8F" w14:paraId="36B43D17" w14:textId="77777777" w:rsidTr="006F5124">
        <w:trPr>
          <w:trHeight w:val="259"/>
        </w:trPr>
        <w:tc>
          <w:tcPr>
            <w:tcW w:w="5823" w:type="dxa"/>
            <w:tcBorders>
              <w:top w:val="nil"/>
              <w:left w:val="nil"/>
              <w:bottom w:val="nil"/>
              <w:right w:val="nil"/>
            </w:tcBorders>
            <w:shd w:val="clear" w:color="auto" w:fill="auto"/>
            <w:noWrap/>
            <w:hideMark/>
          </w:tcPr>
          <w:p w14:paraId="5BBB4F5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Postpartum and Post Abortion W/O OR Procedures, Major Complexity (O61A)</w:t>
            </w:r>
          </w:p>
        </w:tc>
        <w:tc>
          <w:tcPr>
            <w:tcW w:w="1707" w:type="dxa"/>
            <w:tcBorders>
              <w:top w:val="nil"/>
              <w:left w:val="nil"/>
              <w:bottom w:val="nil"/>
              <w:right w:val="nil"/>
            </w:tcBorders>
            <w:shd w:val="clear" w:color="auto" w:fill="auto"/>
            <w:noWrap/>
            <w:hideMark/>
          </w:tcPr>
          <w:p w14:paraId="3BDEC5B2"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707" w:type="dxa"/>
            <w:tcBorders>
              <w:top w:val="nil"/>
              <w:left w:val="nil"/>
              <w:bottom w:val="nil"/>
              <w:right w:val="nil"/>
            </w:tcBorders>
            <w:shd w:val="clear" w:color="auto" w:fill="auto"/>
            <w:noWrap/>
            <w:hideMark/>
          </w:tcPr>
          <w:p w14:paraId="6C530D63"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481 (1.5%)</w:t>
            </w:r>
          </w:p>
        </w:tc>
        <w:tc>
          <w:tcPr>
            <w:tcW w:w="1656" w:type="dxa"/>
            <w:tcBorders>
              <w:top w:val="nil"/>
              <w:left w:val="nil"/>
              <w:bottom w:val="nil"/>
              <w:right w:val="nil"/>
            </w:tcBorders>
            <w:shd w:val="clear" w:color="auto" w:fill="auto"/>
            <w:noWrap/>
            <w:hideMark/>
          </w:tcPr>
          <w:p w14:paraId="493572F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228966F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0C410D9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r>
      <w:tr w:rsidR="0053555D" w:rsidRPr="00831F8F" w14:paraId="77C05087" w14:textId="77777777" w:rsidTr="006F5124">
        <w:trPr>
          <w:trHeight w:val="259"/>
        </w:trPr>
        <w:tc>
          <w:tcPr>
            <w:tcW w:w="5823" w:type="dxa"/>
            <w:tcBorders>
              <w:top w:val="nil"/>
              <w:left w:val="nil"/>
              <w:bottom w:val="nil"/>
              <w:right w:val="nil"/>
            </w:tcBorders>
            <w:shd w:val="clear" w:color="auto" w:fill="auto"/>
            <w:noWrap/>
            <w:hideMark/>
          </w:tcPr>
          <w:p w14:paraId="3B987B4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Postpartum and Post Abortion W/O OR Procedures, Minor Complexity (O61B)</w:t>
            </w:r>
          </w:p>
        </w:tc>
        <w:tc>
          <w:tcPr>
            <w:tcW w:w="1707" w:type="dxa"/>
            <w:tcBorders>
              <w:top w:val="nil"/>
              <w:left w:val="nil"/>
              <w:bottom w:val="nil"/>
              <w:right w:val="nil"/>
            </w:tcBorders>
            <w:shd w:val="clear" w:color="auto" w:fill="auto"/>
            <w:noWrap/>
            <w:hideMark/>
          </w:tcPr>
          <w:p w14:paraId="63BDA65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707" w:type="dxa"/>
            <w:tcBorders>
              <w:top w:val="nil"/>
              <w:left w:val="nil"/>
              <w:bottom w:val="nil"/>
              <w:right w:val="nil"/>
            </w:tcBorders>
            <w:shd w:val="clear" w:color="auto" w:fill="auto"/>
            <w:noWrap/>
            <w:hideMark/>
          </w:tcPr>
          <w:p w14:paraId="7DA3FC4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734 (2.3%)</w:t>
            </w:r>
          </w:p>
        </w:tc>
        <w:tc>
          <w:tcPr>
            <w:tcW w:w="1656" w:type="dxa"/>
            <w:tcBorders>
              <w:top w:val="nil"/>
              <w:left w:val="nil"/>
              <w:bottom w:val="nil"/>
              <w:right w:val="nil"/>
            </w:tcBorders>
            <w:shd w:val="clear" w:color="auto" w:fill="auto"/>
            <w:noWrap/>
            <w:hideMark/>
          </w:tcPr>
          <w:p w14:paraId="1711F601"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27173F7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556" w:type="dxa"/>
            <w:tcBorders>
              <w:top w:val="nil"/>
              <w:left w:val="nil"/>
              <w:bottom w:val="nil"/>
              <w:right w:val="nil"/>
            </w:tcBorders>
            <w:shd w:val="clear" w:color="auto" w:fill="auto"/>
            <w:noWrap/>
            <w:hideMark/>
          </w:tcPr>
          <w:p w14:paraId="41EB379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r>
      <w:tr w:rsidR="0053555D" w:rsidRPr="00831F8F" w14:paraId="7CBFA8DA" w14:textId="77777777" w:rsidTr="006F5124">
        <w:trPr>
          <w:trHeight w:val="259"/>
        </w:trPr>
        <w:tc>
          <w:tcPr>
            <w:tcW w:w="5823" w:type="dxa"/>
            <w:tcBorders>
              <w:top w:val="nil"/>
              <w:left w:val="nil"/>
              <w:bottom w:val="nil"/>
              <w:right w:val="nil"/>
            </w:tcBorders>
            <w:shd w:val="clear" w:color="auto" w:fill="auto"/>
            <w:noWrap/>
            <w:hideMark/>
          </w:tcPr>
          <w:p w14:paraId="27DE3F7C"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Respiratory Infections and Inflammations, Major Complexity (E62A)</w:t>
            </w:r>
          </w:p>
        </w:tc>
        <w:tc>
          <w:tcPr>
            <w:tcW w:w="1707" w:type="dxa"/>
            <w:tcBorders>
              <w:top w:val="nil"/>
              <w:left w:val="nil"/>
              <w:bottom w:val="nil"/>
              <w:right w:val="nil"/>
            </w:tcBorders>
            <w:shd w:val="clear" w:color="auto" w:fill="auto"/>
            <w:noWrap/>
            <w:hideMark/>
          </w:tcPr>
          <w:p w14:paraId="1436360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696 (2.8%)</w:t>
            </w:r>
          </w:p>
        </w:tc>
        <w:tc>
          <w:tcPr>
            <w:tcW w:w="1707" w:type="dxa"/>
            <w:tcBorders>
              <w:top w:val="nil"/>
              <w:left w:val="nil"/>
              <w:bottom w:val="nil"/>
              <w:right w:val="nil"/>
            </w:tcBorders>
            <w:shd w:val="clear" w:color="auto" w:fill="auto"/>
            <w:noWrap/>
            <w:hideMark/>
          </w:tcPr>
          <w:p w14:paraId="7EC2F33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N/A</w:t>
            </w:r>
          </w:p>
        </w:tc>
        <w:tc>
          <w:tcPr>
            <w:tcW w:w="1656" w:type="dxa"/>
            <w:tcBorders>
              <w:top w:val="nil"/>
              <w:left w:val="nil"/>
              <w:bottom w:val="nil"/>
              <w:right w:val="nil"/>
            </w:tcBorders>
            <w:shd w:val="clear" w:color="auto" w:fill="auto"/>
            <w:noWrap/>
            <w:hideMark/>
          </w:tcPr>
          <w:p w14:paraId="17FA8FC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4,288 (7.1%)</w:t>
            </w:r>
          </w:p>
        </w:tc>
        <w:tc>
          <w:tcPr>
            <w:tcW w:w="1556" w:type="dxa"/>
            <w:tcBorders>
              <w:top w:val="nil"/>
              <w:left w:val="nil"/>
              <w:bottom w:val="nil"/>
              <w:right w:val="nil"/>
            </w:tcBorders>
            <w:shd w:val="clear" w:color="auto" w:fill="auto"/>
            <w:noWrap/>
            <w:hideMark/>
          </w:tcPr>
          <w:p w14:paraId="026AA1A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4,288 (5.1%)</w:t>
            </w:r>
          </w:p>
        </w:tc>
        <w:tc>
          <w:tcPr>
            <w:tcW w:w="1556" w:type="dxa"/>
            <w:tcBorders>
              <w:top w:val="nil"/>
              <w:left w:val="nil"/>
              <w:bottom w:val="nil"/>
              <w:right w:val="nil"/>
            </w:tcBorders>
            <w:shd w:val="clear" w:color="auto" w:fill="auto"/>
            <w:noWrap/>
            <w:hideMark/>
          </w:tcPr>
          <w:p w14:paraId="4FC968A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873 (4.1%)</w:t>
            </w:r>
          </w:p>
        </w:tc>
      </w:tr>
      <w:tr w:rsidR="0053555D" w:rsidRPr="00831F8F" w14:paraId="121A12C5" w14:textId="77777777" w:rsidTr="006F5124">
        <w:trPr>
          <w:trHeight w:val="259"/>
        </w:trPr>
        <w:tc>
          <w:tcPr>
            <w:tcW w:w="5823" w:type="dxa"/>
            <w:tcBorders>
              <w:top w:val="nil"/>
              <w:left w:val="nil"/>
              <w:bottom w:val="nil"/>
              <w:right w:val="nil"/>
            </w:tcBorders>
            <w:shd w:val="clear" w:color="auto" w:fill="auto"/>
            <w:noWrap/>
            <w:hideMark/>
          </w:tcPr>
          <w:p w14:paraId="5FBDA529" w14:textId="77777777" w:rsidR="0053555D" w:rsidRPr="00831F8F" w:rsidRDefault="0053555D" w:rsidP="006F5124">
            <w:pPr>
              <w:keepNext/>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Hospital-Acquired Complications (HACs), n(%) *</w:t>
            </w:r>
          </w:p>
        </w:tc>
        <w:tc>
          <w:tcPr>
            <w:tcW w:w="1707" w:type="dxa"/>
            <w:tcBorders>
              <w:top w:val="nil"/>
              <w:left w:val="nil"/>
              <w:bottom w:val="nil"/>
              <w:right w:val="nil"/>
            </w:tcBorders>
            <w:shd w:val="clear" w:color="auto" w:fill="auto"/>
            <w:noWrap/>
            <w:hideMark/>
          </w:tcPr>
          <w:p w14:paraId="0975FA61" w14:textId="77777777" w:rsidR="0053555D" w:rsidRPr="00831F8F" w:rsidRDefault="0053555D" w:rsidP="006F5124">
            <w:pPr>
              <w:keepNext/>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0E12FE9C" w14:textId="77777777" w:rsidR="0053555D" w:rsidRPr="00831F8F" w:rsidRDefault="0053555D" w:rsidP="006F5124">
            <w:pPr>
              <w:keepNext/>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09BE4FF6" w14:textId="77777777" w:rsidR="0053555D" w:rsidRPr="00831F8F" w:rsidRDefault="0053555D" w:rsidP="006F5124">
            <w:pPr>
              <w:keepNext/>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650E4710" w14:textId="77777777" w:rsidR="0053555D" w:rsidRPr="00831F8F" w:rsidRDefault="0053555D" w:rsidP="006F5124">
            <w:pPr>
              <w:keepNext/>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6FC92194" w14:textId="77777777" w:rsidR="0053555D" w:rsidRPr="00831F8F" w:rsidRDefault="0053555D" w:rsidP="006F5124">
            <w:pPr>
              <w:keepNext/>
              <w:spacing w:after="0" w:line="240" w:lineRule="auto"/>
              <w:rPr>
                <w:rFonts w:ascii="Times New Roman" w:eastAsia="Times New Roman" w:hAnsi="Times New Roman"/>
                <w:color w:val="auto"/>
                <w:sz w:val="20"/>
                <w:szCs w:val="20"/>
                <w:lang w:eastAsia="en-AU"/>
              </w:rPr>
            </w:pPr>
          </w:p>
        </w:tc>
      </w:tr>
      <w:tr w:rsidR="0053555D" w:rsidRPr="00831F8F" w14:paraId="68910D96" w14:textId="77777777" w:rsidTr="006F5124">
        <w:trPr>
          <w:trHeight w:val="259"/>
        </w:trPr>
        <w:tc>
          <w:tcPr>
            <w:tcW w:w="5823" w:type="dxa"/>
            <w:tcBorders>
              <w:top w:val="nil"/>
              <w:left w:val="nil"/>
              <w:bottom w:val="nil"/>
              <w:right w:val="nil"/>
            </w:tcBorders>
            <w:shd w:val="clear" w:color="auto" w:fill="auto"/>
            <w:noWrap/>
            <w:hideMark/>
          </w:tcPr>
          <w:p w14:paraId="0D4EC78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At least one HAC</w:t>
            </w:r>
          </w:p>
        </w:tc>
        <w:tc>
          <w:tcPr>
            <w:tcW w:w="1707" w:type="dxa"/>
            <w:tcBorders>
              <w:top w:val="nil"/>
              <w:left w:val="nil"/>
              <w:bottom w:val="nil"/>
              <w:right w:val="nil"/>
            </w:tcBorders>
            <w:shd w:val="clear" w:color="auto" w:fill="auto"/>
            <w:noWrap/>
            <w:hideMark/>
          </w:tcPr>
          <w:p w14:paraId="2249C6E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1,178 (4.8%)</w:t>
            </w:r>
          </w:p>
        </w:tc>
        <w:tc>
          <w:tcPr>
            <w:tcW w:w="1707" w:type="dxa"/>
            <w:tcBorders>
              <w:top w:val="nil"/>
              <w:left w:val="nil"/>
              <w:bottom w:val="nil"/>
              <w:right w:val="nil"/>
            </w:tcBorders>
            <w:shd w:val="clear" w:color="auto" w:fill="auto"/>
            <w:noWrap/>
            <w:hideMark/>
          </w:tcPr>
          <w:p w14:paraId="0360A0F4"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2,036 (6.2%)</w:t>
            </w:r>
          </w:p>
        </w:tc>
        <w:tc>
          <w:tcPr>
            <w:tcW w:w="1656" w:type="dxa"/>
            <w:tcBorders>
              <w:top w:val="nil"/>
              <w:left w:val="nil"/>
              <w:bottom w:val="nil"/>
              <w:right w:val="nil"/>
            </w:tcBorders>
            <w:shd w:val="clear" w:color="auto" w:fill="auto"/>
            <w:noWrap/>
            <w:hideMark/>
          </w:tcPr>
          <w:p w14:paraId="2D0B6EFC"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9,074 (15.1%)</w:t>
            </w:r>
          </w:p>
        </w:tc>
        <w:tc>
          <w:tcPr>
            <w:tcW w:w="1556" w:type="dxa"/>
            <w:tcBorders>
              <w:top w:val="nil"/>
              <w:left w:val="nil"/>
              <w:bottom w:val="nil"/>
              <w:right w:val="nil"/>
            </w:tcBorders>
            <w:shd w:val="clear" w:color="auto" w:fill="auto"/>
            <w:noWrap/>
            <w:hideMark/>
          </w:tcPr>
          <w:p w14:paraId="2AAD71D2"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10,124 (12.0%)</w:t>
            </w:r>
          </w:p>
        </w:tc>
        <w:tc>
          <w:tcPr>
            <w:tcW w:w="1556" w:type="dxa"/>
            <w:tcBorders>
              <w:top w:val="nil"/>
              <w:left w:val="nil"/>
              <w:bottom w:val="nil"/>
              <w:right w:val="nil"/>
            </w:tcBorders>
            <w:shd w:val="clear" w:color="auto" w:fill="auto"/>
            <w:noWrap/>
            <w:hideMark/>
          </w:tcPr>
          <w:p w14:paraId="5AF44893"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1,178 (5.5%)</w:t>
            </w:r>
          </w:p>
        </w:tc>
      </w:tr>
      <w:tr w:rsidR="0053555D" w:rsidRPr="00831F8F" w14:paraId="2C8688CB" w14:textId="77777777" w:rsidTr="006F5124">
        <w:trPr>
          <w:trHeight w:val="259"/>
        </w:trPr>
        <w:tc>
          <w:tcPr>
            <w:tcW w:w="5823" w:type="dxa"/>
            <w:tcBorders>
              <w:top w:val="nil"/>
              <w:left w:val="nil"/>
              <w:bottom w:val="nil"/>
              <w:right w:val="nil"/>
            </w:tcBorders>
            <w:shd w:val="clear" w:color="auto" w:fill="auto"/>
            <w:noWrap/>
            <w:hideMark/>
          </w:tcPr>
          <w:p w14:paraId="1FC319B2"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Pressure Injury</w:t>
            </w:r>
          </w:p>
        </w:tc>
        <w:tc>
          <w:tcPr>
            <w:tcW w:w="1707" w:type="dxa"/>
            <w:tcBorders>
              <w:top w:val="nil"/>
              <w:left w:val="nil"/>
              <w:bottom w:val="nil"/>
              <w:right w:val="nil"/>
            </w:tcBorders>
            <w:shd w:val="clear" w:color="auto" w:fill="auto"/>
            <w:noWrap/>
            <w:hideMark/>
          </w:tcPr>
          <w:p w14:paraId="1ABD9237"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61 (0.2%)</w:t>
            </w:r>
          </w:p>
        </w:tc>
        <w:tc>
          <w:tcPr>
            <w:tcW w:w="1707" w:type="dxa"/>
            <w:tcBorders>
              <w:top w:val="nil"/>
              <w:left w:val="nil"/>
              <w:bottom w:val="nil"/>
              <w:right w:val="nil"/>
            </w:tcBorders>
            <w:shd w:val="clear" w:color="auto" w:fill="auto"/>
            <w:noWrap/>
            <w:hideMark/>
          </w:tcPr>
          <w:p w14:paraId="759F0592"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112 (0.3%)</w:t>
            </w:r>
          </w:p>
        </w:tc>
        <w:tc>
          <w:tcPr>
            <w:tcW w:w="1656" w:type="dxa"/>
            <w:tcBorders>
              <w:top w:val="nil"/>
              <w:left w:val="nil"/>
              <w:bottom w:val="nil"/>
              <w:right w:val="nil"/>
            </w:tcBorders>
            <w:shd w:val="clear" w:color="auto" w:fill="auto"/>
            <w:noWrap/>
            <w:hideMark/>
          </w:tcPr>
          <w:p w14:paraId="70A597B7"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533 (0.9%)</w:t>
            </w:r>
          </w:p>
        </w:tc>
        <w:tc>
          <w:tcPr>
            <w:tcW w:w="1556" w:type="dxa"/>
            <w:tcBorders>
              <w:top w:val="nil"/>
              <w:left w:val="nil"/>
              <w:bottom w:val="nil"/>
              <w:right w:val="nil"/>
            </w:tcBorders>
            <w:shd w:val="clear" w:color="auto" w:fill="auto"/>
            <w:noWrap/>
            <w:hideMark/>
          </w:tcPr>
          <w:p w14:paraId="1BBA340E"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581 (0.7%)</w:t>
            </w:r>
          </w:p>
        </w:tc>
        <w:tc>
          <w:tcPr>
            <w:tcW w:w="1556" w:type="dxa"/>
            <w:tcBorders>
              <w:top w:val="nil"/>
              <w:left w:val="nil"/>
              <w:bottom w:val="nil"/>
              <w:right w:val="nil"/>
            </w:tcBorders>
            <w:shd w:val="clear" w:color="auto" w:fill="auto"/>
            <w:noWrap/>
            <w:hideMark/>
          </w:tcPr>
          <w:p w14:paraId="516BB834"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63 (0.3%)</w:t>
            </w:r>
          </w:p>
        </w:tc>
      </w:tr>
      <w:tr w:rsidR="0053555D" w:rsidRPr="00831F8F" w14:paraId="06D1DE5E" w14:textId="77777777" w:rsidTr="006F5124">
        <w:trPr>
          <w:trHeight w:val="259"/>
        </w:trPr>
        <w:tc>
          <w:tcPr>
            <w:tcW w:w="5823" w:type="dxa"/>
            <w:tcBorders>
              <w:top w:val="nil"/>
              <w:left w:val="nil"/>
              <w:bottom w:val="nil"/>
              <w:right w:val="nil"/>
            </w:tcBorders>
            <w:shd w:val="clear" w:color="auto" w:fill="auto"/>
            <w:noWrap/>
            <w:hideMark/>
          </w:tcPr>
          <w:p w14:paraId="403AAEC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Falls resulting in fracture or intracranial injury</w:t>
            </w:r>
          </w:p>
        </w:tc>
        <w:tc>
          <w:tcPr>
            <w:tcW w:w="1707" w:type="dxa"/>
            <w:tcBorders>
              <w:top w:val="nil"/>
              <w:left w:val="nil"/>
              <w:bottom w:val="nil"/>
              <w:right w:val="nil"/>
            </w:tcBorders>
            <w:shd w:val="clear" w:color="auto" w:fill="auto"/>
            <w:noWrap/>
            <w:hideMark/>
          </w:tcPr>
          <w:p w14:paraId="2650231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42 (0.2%)</w:t>
            </w:r>
          </w:p>
        </w:tc>
        <w:tc>
          <w:tcPr>
            <w:tcW w:w="1707" w:type="dxa"/>
            <w:tcBorders>
              <w:top w:val="nil"/>
              <w:left w:val="nil"/>
              <w:bottom w:val="nil"/>
              <w:right w:val="nil"/>
            </w:tcBorders>
            <w:shd w:val="clear" w:color="auto" w:fill="auto"/>
            <w:noWrap/>
            <w:hideMark/>
          </w:tcPr>
          <w:p w14:paraId="6B5F33E5"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44 (0.1%)</w:t>
            </w:r>
          </w:p>
        </w:tc>
        <w:tc>
          <w:tcPr>
            <w:tcW w:w="1656" w:type="dxa"/>
            <w:tcBorders>
              <w:top w:val="nil"/>
              <w:left w:val="nil"/>
              <w:bottom w:val="nil"/>
              <w:right w:val="nil"/>
            </w:tcBorders>
            <w:shd w:val="clear" w:color="auto" w:fill="auto"/>
            <w:noWrap/>
            <w:hideMark/>
          </w:tcPr>
          <w:p w14:paraId="3E56D2C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147 (0.2%)</w:t>
            </w:r>
          </w:p>
        </w:tc>
        <w:tc>
          <w:tcPr>
            <w:tcW w:w="1556" w:type="dxa"/>
            <w:tcBorders>
              <w:top w:val="nil"/>
              <w:left w:val="nil"/>
              <w:bottom w:val="nil"/>
              <w:right w:val="nil"/>
            </w:tcBorders>
            <w:shd w:val="clear" w:color="auto" w:fill="auto"/>
            <w:noWrap/>
            <w:hideMark/>
          </w:tcPr>
          <w:p w14:paraId="23E0D611"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182 (0.2%)</w:t>
            </w:r>
          </w:p>
        </w:tc>
        <w:tc>
          <w:tcPr>
            <w:tcW w:w="1556" w:type="dxa"/>
            <w:tcBorders>
              <w:top w:val="nil"/>
              <w:left w:val="nil"/>
              <w:bottom w:val="nil"/>
              <w:right w:val="nil"/>
            </w:tcBorders>
            <w:shd w:val="clear" w:color="auto" w:fill="auto"/>
            <w:noWrap/>
            <w:hideMark/>
          </w:tcPr>
          <w:p w14:paraId="0380FF61"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31 (0.1%)</w:t>
            </w:r>
          </w:p>
        </w:tc>
      </w:tr>
      <w:tr w:rsidR="0053555D" w:rsidRPr="00831F8F" w14:paraId="1096D7CE" w14:textId="77777777" w:rsidTr="006F5124">
        <w:trPr>
          <w:trHeight w:val="259"/>
        </w:trPr>
        <w:tc>
          <w:tcPr>
            <w:tcW w:w="5823" w:type="dxa"/>
            <w:tcBorders>
              <w:top w:val="nil"/>
              <w:left w:val="nil"/>
              <w:bottom w:val="nil"/>
              <w:right w:val="nil"/>
            </w:tcBorders>
            <w:shd w:val="clear" w:color="auto" w:fill="auto"/>
            <w:noWrap/>
            <w:hideMark/>
          </w:tcPr>
          <w:p w14:paraId="3C4C837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Surgical complications</w:t>
            </w:r>
          </w:p>
        </w:tc>
        <w:tc>
          <w:tcPr>
            <w:tcW w:w="1707" w:type="dxa"/>
            <w:tcBorders>
              <w:top w:val="nil"/>
              <w:left w:val="nil"/>
              <w:bottom w:val="nil"/>
              <w:right w:val="nil"/>
            </w:tcBorders>
            <w:shd w:val="clear" w:color="auto" w:fill="auto"/>
            <w:noWrap/>
            <w:hideMark/>
          </w:tcPr>
          <w:p w14:paraId="5E5CDC8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158 (0.6%)</w:t>
            </w:r>
          </w:p>
        </w:tc>
        <w:tc>
          <w:tcPr>
            <w:tcW w:w="1707" w:type="dxa"/>
            <w:tcBorders>
              <w:top w:val="nil"/>
              <w:left w:val="nil"/>
              <w:bottom w:val="nil"/>
              <w:right w:val="nil"/>
            </w:tcBorders>
            <w:shd w:val="clear" w:color="auto" w:fill="auto"/>
            <w:noWrap/>
            <w:hideMark/>
          </w:tcPr>
          <w:p w14:paraId="2B84EE87"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213 (0.7%)</w:t>
            </w:r>
          </w:p>
        </w:tc>
        <w:tc>
          <w:tcPr>
            <w:tcW w:w="1656" w:type="dxa"/>
            <w:tcBorders>
              <w:top w:val="nil"/>
              <w:left w:val="nil"/>
              <w:bottom w:val="nil"/>
              <w:right w:val="nil"/>
            </w:tcBorders>
            <w:shd w:val="clear" w:color="auto" w:fill="auto"/>
            <w:noWrap/>
            <w:hideMark/>
          </w:tcPr>
          <w:p w14:paraId="25BF6F7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1,669 (2.8%)</w:t>
            </w:r>
          </w:p>
        </w:tc>
        <w:tc>
          <w:tcPr>
            <w:tcW w:w="1556" w:type="dxa"/>
            <w:tcBorders>
              <w:top w:val="nil"/>
              <w:left w:val="nil"/>
              <w:bottom w:val="nil"/>
              <w:right w:val="nil"/>
            </w:tcBorders>
            <w:shd w:val="clear" w:color="auto" w:fill="auto"/>
            <w:noWrap/>
            <w:hideMark/>
          </w:tcPr>
          <w:p w14:paraId="3C23C11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1,757 (2.1%)</w:t>
            </w:r>
          </w:p>
        </w:tc>
        <w:tc>
          <w:tcPr>
            <w:tcW w:w="1556" w:type="dxa"/>
            <w:tcBorders>
              <w:top w:val="nil"/>
              <w:left w:val="nil"/>
              <w:bottom w:val="nil"/>
              <w:right w:val="nil"/>
            </w:tcBorders>
            <w:shd w:val="clear" w:color="auto" w:fill="auto"/>
            <w:noWrap/>
            <w:hideMark/>
          </w:tcPr>
          <w:p w14:paraId="42B40E5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209 (1.0%)</w:t>
            </w:r>
          </w:p>
        </w:tc>
      </w:tr>
      <w:tr w:rsidR="0053555D" w:rsidRPr="00831F8F" w14:paraId="21CE8749" w14:textId="77777777" w:rsidTr="006F5124">
        <w:trPr>
          <w:trHeight w:val="259"/>
        </w:trPr>
        <w:tc>
          <w:tcPr>
            <w:tcW w:w="5823" w:type="dxa"/>
            <w:tcBorders>
              <w:top w:val="nil"/>
              <w:left w:val="nil"/>
              <w:bottom w:val="nil"/>
              <w:right w:val="nil"/>
            </w:tcBorders>
            <w:shd w:val="clear" w:color="auto" w:fill="auto"/>
            <w:noWrap/>
            <w:hideMark/>
          </w:tcPr>
          <w:p w14:paraId="05E1B628"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Respiratory complications</w:t>
            </w:r>
          </w:p>
        </w:tc>
        <w:tc>
          <w:tcPr>
            <w:tcW w:w="1707" w:type="dxa"/>
            <w:tcBorders>
              <w:top w:val="nil"/>
              <w:left w:val="nil"/>
              <w:bottom w:val="nil"/>
              <w:right w:val="nil"/>
            </w:tcBorders>
            <w:shd w:val="clear" w:color="auto" w:fill="auto"/>
            <w:noWrap/>
            <w:hideMark/>
          </w:tcPr>
          <w:p w14:paraId="3F15D87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210 (0.9%)</w:t>
            </w:r>
          </w:p>
        </w:tc>
        <w:tc>
          <w:tcPr>
            <w:tcW w:w="1707" w:type="dxa"/>
            <w:tcBorders>
              <w:top w:val="nil"/>
              <w:left w:val="nil"/>
              <w:bottom w:val="nil"/>
              <w:right w:val="nil"/>
            </w:tcBorders>
            <w:shd w:val="clear" w:color="auto" w:fill="auto"/>
            <w:noWrap/>
            <w:hideMark/>
          </w:tcPr>
          <w:p w14:paraId="441E7FC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412 (1.3%)</w:t>
            </w:r>
          </w:p>
        </w:tc>
        <w:tc>
          <w:tcPr>
            <w:tcW w:w="1656" w:type="dxa"/>
            <w:tcBorders>
              <w:top w:val="nil"/>
              <w:left w:val="nil"/>
              <w:bottom w:val="nil"/>
              <w:right w:val="nil"/>
            </w:tcBorders>
            <w:shd w:val="clear" w:color="auto" w:fill="auto"/>
            <w:noWrap/>
            <w:hideMark/>
          </w:tcPr>
          <w:p w14:paraId="6119161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2,841 (4.7%)</w:t>
            </w:r>
          </w:p>
        </w:tc>
        <w:tc>
          <w:tcPr>
            <w:tcW w:w="1556" w:type="dxa"/>
            <w:tcBorders>
              <w:top w:val="nil"/>
              <w:left w:val="nil"/>
              <w:bottom w:val="nil"/>
              <w:right w:val="nil"/>
            </w:tcBorders>
            <w:shd w:val="clear" w:color="auto" w:fill="auto"/>
            <w:noWrap/>
            <w:hideMark/>
          </w:tcPr>
          <w:p w14:paraId="1A71428E"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3,039 (3.6%)</w:t>
            </w:r>
          </w:p>
        </w:tc>
        <w:tc>
          <w:tcPr>
            <w:tcW w:w="1556" w:type="dxa"/>
            <w:tcBorders>
              <w:top w:val="nil"/>
              <w:left w:val="nil"/>
              <w:bottom w:val="nil"/>
              <w:right w:val="nil"/>
            </w:tcBorders>
            <w:shd w:val="clear" w:color="auto" w:fill="auto"/>
            <w:noWrap/>
            <w:hideMark/>
          </w:tcPr>
          <w:p w14:paraId="0612FF08"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249 (1.2%)</w:t>
            </w:r>
          </w:p>
        </w:tc>
      </w:tr>
      <w:tr w:rsidR="0053555D" w:rsidRPr="00831F8F" w14:paraId="098FC69A" w14:textId="77777777" w:rsidTr="006F5124">
        <w:trPr>
          <w:trHeight w:val="259"/>
        </w:trPr>
        <w:tc>
          <w:tcPr>
            <w:tcW w:w="5823" w:type="dxa"/>
            <w:tcBorders>
              <w:top w:val="nil"/>
              <w:left w:val="nil"/>
              <w:bottom w:val="nil"/>
              <w:right w:val="nil"/>
            </w:tcBorders>
            <w:shd w:val="clear" w:color="auto" w:fill="auto"/>
            <w:noWrap/>
            <w:hideMark/>
          </w:tcPr>
          <w:p w14:paraId="0B28C9E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Venous thromboembolism</w:t>
            </w:r>
          </w:p>
        </w:tc>
        <w:tc>
          <w:tcPr>
            <w:tcW w:w="1707" w:type="dxa"/>
            <w:tcBorders>
              <w:top w:val="nil"/>
              <w:left w:val="nil"/>
              <w:bottom w:val="nil"/>
              <w:right w:val="nil"/>
            </w:tcBorders>
            <w:shd w:val="clear" w:color="auto" w:fill="auto"/>
            <w:noWrap/>
            <w:hideMark/>
          </w:tcPr>
          <w:p w14:paraId="36D62FE2"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60 (0.2%)</w:t>
            </w:r>
          </w:p>
        </w:tc>
        <w:tc>
          <w:tcPr>
            <w:tcW w:w="1707" w:type="dxa"/>
            <w:tcBorders>
              <w:top w:val="nil"/>
              <w:left w:val="nil"/>
              <w:bottom w:val="nil"/>
              <w:right w:val="nil"/>
            </w:tcBorders>
            <w:shd w:val="clear" w:color="auto" w:fill="auto"/>
            <w:noWrap/>
            <w:hideMark/>
          </w:tcPr>
          <w:p w14:paraId="51F7B4D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112 (0.3%)</w:t>
            </w:r>
          </w:p>
        </w:tc>
        <w:tc>
          <w:tcPr>
            <w:tcW w:w="1656" w:type="dxa"/>
            <w:tcBorders>
              <w:top w:val="nil"/>
              <w:left w:val="nil"/>
              <w:bottom w:val="nil"/>
              <w:right w:val="nil"/>
            </w:tcBorders>
            <w:shd w:val="clear" w:color="auto" w:fill="auto"/>
            <w:noWrap/>
            <w:hideMark/>
          </w:tcPr>
          <w:p w14:paraId="26E15760"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619 (1.0%)</w:t>
            </w:r>
          </w:p>
        </w:tc>
        <w:tc>
          <w:tcPr>
            <w:tcW w:w="1556" w:type="dxa"/>
            <w:tcBorders>
              <w:top w:val="nil"/>
              <w:left w:val="nil"/>
              <w:bottom w:val="nil"/>
              <w:right w:val="nil"/>
            </w:tcBorders>
            <w:shd w:val="clear" w:color="auto" w:fill="auto"/>
            <w:noWrap/>
            <w:hideMark/>
          </w:tcPr>
          <w:p w14:paraId="2DE1CB5A"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672 (0.8%)</w:t>
            </w:r>
          </w:p>
        </w:tc>
        <w:tc>
          <w:tcPr>
            <w:tcW w:w="1556" w:type="dxa"/>
            <w:tcBorders>
              <w:top w:val="nil"/>
              <w:left w:val="nil"/>
              <w:bottom w:val="nil"/>
              <w:right w:val="nil"/>
            </w:tcBorders>
            <w:shd w:val="clear" w:color="auto" w:fill="auto"/>
            <w:noWrap/>
            <w:hideMark/>
          </w:tcPr>
          <w:p w14:paraId="4A430E7E"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80 (0.4%)</w:t>
            </w:r>
          </w:p>
        </w:tc>
      </w:tr>
      <w:tr w:rsidR="0053555D" w:rsidRPr="00831F8F" w14:paraId="6B2D3553" w14:textId="77777777" w:rsidTr="006F5124">
        <w:trPr>
          <w:trHeight w:val="259"/>
        </w:trPr>
        <w:tc>
          <w:tcPr>
            <w:tcW w:w="5823" w:type="dxa"/>
            <w:tcBorders>
              <w:top w:val="nil"/>
              <w:left w:val="nil"/>
              <w:bottom w:val="nil"/>
              <w:right w:val="nil"/>
            </w:tcBorders>
            <w:shd w:val="clear" w:color="auto" w:fill="auto"/>
            <w:noWrap/>
            <w:hideMark/>
          </w:tcPr>
          <w:p w14:paraId="6BC2B8B7"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Renal failure</w:t>
            </w:r>
          </w:p>
        </w:tc>
        <w:tc>
          <w:tcPr>
            <w:tcW w:w="1707" w:type="dxa"/>
            <w:tcBorders>
              <w:top w:val="nil"/>
              <w:left w:val="nil"/>
              <w:bottom w:val="nil"/>
              <w:right w:val="nil"/>
            </w:tcBorders>
            <w:shd w:val="clear" w:color="auto" w:fill="auto"/>
            <w:noWrap/>
            <w:hideMark/>
          </w:tcPr>
          <w:p w14:paraId="28353C38"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 (0.0%)</w:t>
            </w:r>
          </w:p>
        </w:tc>
        <w:tc>
          <w:tcPr>
            <w:tcW w:w="1707" w:type="dxa"/>
            <w:tcBorders>
              <w:top w:val="nil"/>
              <w:left w:val="nil"/>
              <w:bottom w:val="nil"/>
              <w:right w:val="nil"/>
            </w:tcBorders>
            <w:shd w:val="clear" w:color="auto" w:fill="auto"/>
            <w:noWrap/>
            <w:hideMark/>
          </w:tcPr>
          <w:p w14:paraId="1D53EE03"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 (0.1%)</w:t>
            </w:r>
          </w:p>
        </w:tc>
        <w:tc>
          <w:tcPr>
            <w:tcW w:w="1656" w:type="dxa"/>
            <w:tcBorders>
              <w:top w:val="nil"/>
              <w:left w:val="nil"/>
              <w:bottom w:val="nil"/>
              <w:right w:val="nil"/>
            </w:tcBorders>
            <w:shd w:val="clear" w:color="auto" w:fill="auto"/>
            <w:noWrap/>
            <w:hideMark/>
          </w:tcPr>
          <w:p w14:paraId="37DEAF60"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321 (0.5%)</w:t>
            </w:r>
          </w:p>
        </w:tc>
        <w:tc>
          <w:tcPr>
            <w:tcW w:w="1556" w:type="dxa"/>
            <w:tcBorders>
              <w:top w:val="nil"/>
              <w:left w:val="nil"/>
              <w:bottom w:val="nil"/>
              <w:right w:val="nil"/>
            </w:tcBorders>
            <w:shd w:val="clear" w:color="auto" w:fill="auto"/>
            <w:noWrap/>
            <w:hideMark/>
          </w:tcPr>
          <w:p w14:paraId="74FAB7E2"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331 (0.4%)</w:t>
            </w:r>
          </w:p>
        </w:tc>
        <w:tc>
          <w:tcPr>
            <w:tcW w:w="1556" w:type="dxa"/>
            <w:tcBorders>
              <w:top w:val="nil"/>
              <w:left w:val="nil"/>
              <w:bottom w:val="nil"/>
              <w:right w:val="nil"/>
            </w:tcBorders>
            <w:shd w:val="clear" w:color="auto" w:fill="auto"/>
            <w:noWrap/>
            <w:hideMark/>
          </w:tcPr>
          <w:p w14:paraId="516D5A47"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 (0.1%)</w:t>
            </w:r>
          </w:p>
        </w:tc>
      </w:tr>
      <w:tr w:rsidR="0053555D" w:rsidRPr="00831F8F" w14:paraId="32CBEFAA" w14:textId="77777777" w:rsidTr="006F5124">
        <w:trPr>
          <w:trHeight w:val="259"/>
        </w:trPr>
        <w:tc>
          <w:tcPr>
            <w:tcW w:w="5823" w:type="dxa"/>
            <w:tcBorders>
              <w:top w:val="nil"/>
              <w:left w:val="nil"/>
              <w:bottom w:val="nil"/>
              <w:right w:val="nil"/>
            </w:tcBorders>
            <w:shd w:val="clear" w:color="auto" w:fill="auto"/>
            <w:noWrap/>
            <w:hideMark/>
          </w:tcPr>
          <w:p w14:paraId="4063A1B2"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Gastrointestinal bleeding</w:t>
            </w:r>
          </w:p>
        </w:tc>
        <w:tc>
          <w:tcPr>
            <w:tcW w:w="1707" w:type="dxa"/>
            <w:tcBorders>
              <w:top w:val="nil"/>
              <w:left w:val="nil"/>
              <w:bottom w:val="nil"/>
              <w:right w:val="nil"/>
            </w:tcBorders>
            <w:shd w:val="clear" w:color="auto" w:fill="auto"/>
            <w:noWrap/>
            <w:hideMark/>
          </w:tcPr>
          <w:p w14:paraId="493EFCE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74 (0.3%)</w:t>
            </w:r>
          </w:p>
        </w:tc>
        <w:tc>
          <w:tcPr>
            <w:tcW w:w="1707" w:type="dxa"/>
            <w:tcBorders>
              <w:top w:val="nil"/>
              <w:left w:val="nil"/>
              <w:bottom w:val="nil"/>
              <w:right w:val="nil"/>
            </w:tcBorders>
            <w:shd w:val="clear" w:color="auto" w:fill="auto"/>
            <w:noWrap/>
            <w:hideMark/>
          </w:tcPr>
          <w:p w14:paraId="107948E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177 (0.5%)</w:t>
            </w:r>
          </w:p>
        </w:tc>
        <w:tc>
          <w:tcPr>
            <w:tcW w:w="1656" w:type="dxa"/>
            <w:tcBorders>
              <w:top w:val="nil"/>
              <w:left w:val="nil"/>
              <w:bottom w:val="nil"/>
              <w:right w:val="nil"/>
            </w:tcBorders>
            <w:shd w:val="clear" w:color="auto" w:fill="auto"/>
            <w:noWrap/>
            <w:hideMark/>
          </w:tcPr>
          <w:p w14:paraId="17EF23C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631 (1.0%)</w:t>
            </w:r>
          </w:p>
        </w:tc>
        <w:tc>
          <w:tcPr>
            <w:tcW w:w="1556" w:type="dxa"/>
            <w:tcBorders>
              <w:top w:val="nil"/>
              <w:left w:val="nil"/>
              <w:bottom w:val="nil"/>
              <w:right w:val="nil"/>
            </w:tcBorders>
            <w:shd w:val="clear" w:color="auto" w:fill="auto"/>
            <w:noWrap/>
            <w:hideMark/>
          </w:tcPr>
          <w:p w14:paraId="4C3C8347"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726 (0.9%)</w:t>
            </w:r>
          </w:p>
        </w:tc>
        <w:tc>
          <w:tcPr>
            <w:tcW w:w="1556" w:type="dxa"/>
            <w:tcBorders>
              <w:top w:val="nil"/>
              <w:left w:val="nil"/>
              <w:bottom w:val="nil"/>
              <w:right w:val="nil"/>
            </w:tcBorders>
            <w:shd w:val="clear" w:color="auto" w:fill="auto"/>
            <w:noWrap/>
            <w:hideMark/>
          </w:tcPr>
          <w:p w14:paraId="4885098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85 (0.4%)</w:t>
            </w:r>
          </w:p>
        </w:tc>
      </w:tr>
      <w:tr w:rsidR="0053555D" w:rsidRPr="00831F8F" w14:paraId="07C2943B" w14:textId="77777777" w:rsidTr="006F5124">
        <w:trPr>
          <w:trHeight w:val="259"/>
        </w:trPr>
        <w:tc>
          <w:tcPr>
            <w:tcW w:w="5823" w:type="dxa"/>
            <w:tcBorders>
              <w:top w:val="nil"/>
              <w:left w:val="nil"/>
              <w:bottom w:val="nil"/>
              <w:right w:val="nil"/>
            </w:tcBorders>
            <w:shd w:val="clear" w:color="auto" w:fill="auto"/>
            <w:noWrap/>
            <w:hideMark/>
          </w:tcPr>
          <w:p w14:paraId="54B62240"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Medication complications</w:t>
            </w:r>
          </w:p>
        </w:tc>
        <w:tc>
          <w:tcPr>
            <w:tcW w:w="1707" w:type="dxa"/>
            <w:tcBorders>
              <w:top w:val="nil"/>
              <w:left w:val="nil"/>
              <w:bottom w:val="nil"/>
              <w:right w:val="nil"/>
            </w:tcBorders>
            <w:shd w:val="clear" w:color="auto" w:fill="auto"/>
            <w:noWrap/>
            <w:hideMark/>
          </w:tcPr>
          <w:p w14:paraId="6A4CD4C1"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50 (0.2%)</w:t>
            </w:r>
          </w:p>
        </w:tc>
        <w:tc>
          <w:tcPr>
            <w:tcW w:w="1707" w:type="dxa"/>
            <w:tcBorders>
              <w:top w:val="nil"/>
              <w:left w:val="nil"/>
              <w:bottom w:val="nil"/>
              <w:right w:val="nil"/>
            </w:tcBorders>
            <w:shd w:val="clear" w:color="auto" w:fill="auto"/>
            <w:noWrap/>
            <w:hideMark/>
          </w:tcPr>
          <w:p w14:paraId="208AD259"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94 (0.3%)</w:t>
            </w:r>
          </w:p>
        </w:tc>
        <w:tc>
          <w:tcPr>
            <w:tcW w:w="1656" w:type="dxa"/>
            <w:tcBorders>
              <w:top w:val="nil"/>
              <w:left w:val="nil"/>
              <w:bottom w:val="nil"/>
              <w:right w:val="nil"/>
            </w:tcBorders>
            <w:shd w:val="clear" w:color="auto" w:fill="auto"/>
            <w:noWrap/>
            <w:hideMark/>
          </w:tcPr>
          <w:p w14:paraId="08B458D5"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385 (0.6%)</w:t>
            </w:r>
          </w:p>
        </w:tc>
        <w:tc>
          <w:tcPr>
            <w:tcW w:w="1556" w:type="dxa"/>
            <w:tcBorders>
              <w:top w:val="nil"/>
              <w:left w:val="nil"/>
              <w:bottom w:val="nil"/>
              <w:right w:val="nil"/>
            </w:tcBorders>
            <w:shd w:val="clear" w:color="auto" w:fill="auto"/>
            <w:noWrap/>
            <w:hideMark/>
          </w:tcPr>
          <w:p w14:paraId="09C0953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436 (0.5%)</w:t>
            </w:r>
          </w:p>
        </w:tc>
        <w:tc>
          <w:tcPr>
            <w:tcW w:w="1556" w:type="dxa"/>
            <w:tcBorders>
              <w:top w:val="nil"/>
              <w:left w:val="nil"/>
              <w:bottom w:val="nil"/>
              <w:right w:val="nil"/>
            </w:tcBorders>
            <w:shd w:val="clear" w:color="auto" w:fill="auto"/>
            <w:noWrap/>
            <w:hideMark/>
          </w:tcPr>
          <w:p w14:paraId="3C28E413"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41 (0.2%)</w:t>
            </w:r>
          </w:p>
        </w:tc>
      </w:tr>
      <w:tr w:rsidR="0053555D" w:rsidRPr="00831F8F" w14:paraId="187F7327" w14:textId="77777777" w:rsidTr="006F5124">
        <w:trPr>
          <w:trHeight w:val="259"/>
        </w:trPr>
        <w:tc>
          <w:tcPr>
            <w:tcW w:w="5823" w:type="dxa"/>
            <w:tcBorders>
              <w:top w:val="nil"/>
              <w:left w:val="nil"/>
              <w:bottom w:val="nil"/>
              <w:right w:val="nil"/>
            </w:tcBorders>
            <w:shd w:val="clear" w:color="auto" w:fill="auto"/>
            <w:noWrap/>
            <w:hideMark/>
          </w:tcPr>
          <w:p w14:paraId="4EBD616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Delirium</w:t>
            </w:r>
          </w:p>
        </w:tc>
        <w:tc>
          <w:tcPr>
            <w:tcW w:w="1707" w:type="dxa"/>
            <w:tcBorders>
              <w:top w:val="nil"/>
              <w:left w:val="nil"/>
              <w:bottom w:val="nil"/>
              <w:right w:val="nil"/>
            </w:tcBorders>
            <w:shd w:val="clear" w:color="auto" w:fill="auto"/>
            <w:noWrap/>
            <w:hideMark/>
          </w:tcPr>
          <w:p w14:paraId="524F125F"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282 (1.2%)</w:t>
            </w:r>
          </w:p>
        </w:tc>
        <w:tc>
          <w:tcPr>
            <w:tcW w:w="1707" w:type="dxa"/>
            <w:tcBorders>
              <w:top w:val="nil"/>
              <w:left w:val="nil"/>
              <w:bottom w:val="nil"/>
              <w:right w:val="nil"/>
            </w:tcBorders>
            <w:shd w:val="clear" w:color="auto" w:fill="auto"/>
            <w:noWrap/>
            <w:hideMark/>
          </w:tcPr>
          <w:p w14:paraId="3E80B1CF"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460 (1.4%)</w:t>
            </w:r>
          </w:p>
        </w:tc>
        <w:tc>
          <w:tcPr>
            <w:tcW w:w="1656" w:type="dxa"/>
            <w:tcBorders>
              <w:top w:val="nil"/>
              <w:left w:val="nil"/>
              <w:bottom w:val="nil"/>
              <w:right w:val="nil"/>
            </w:tcBorders>
            <w:shd w:val="clear" w:color="auto" w:fill="auto"/>
            <w:noWrap/>
            <w:hideMark/>
          </w:tcPr>
          <w:p w14:paraId="6A32303B"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2,656 (4.4%)</w:t>
            </w:r>
          </w:p>
        </w:tc>
        <w:tc>
          <w:tcPr>
            <w:tcW w:w="1556" w:type="dxa"/>
            <w:tcBorders>
              <w:top w:val="nil"/>
              <w:left w:val="nil"/>
              <w:bottom w:val="nil"/>
              <w:right w:val="nil"/>
            </w:tcBorders>
            <w:shd w:val="clear" w:color="auto" w:fill="auto"/>
            <w:noWrap/>
            <w:hideMark/>
          </w:tcPr>
          <w:p w14:paraId="22714611"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2,870 (3.4%)</w:t>
            </w:r>
          </w:p>
        </w:tc>
        <w:tc>
          <w:tcPr>
            <w:tcW w:w="1556" w:type="dxa"/>
            <w:tcBorders>
              <w:top w:val="nil"/>
              <w:left w:val="nil"/>
              <w:bottom w:val="nil"/>
              <w:right w:val="nil"/>
            </w:tcBorders>
            <w:shd w:val="clear" w:color="auto" w:fill="auto"/>
            <w:noWrap/>
            <w:hideMark/>
          </w:tcPr>
          <w:p w14:paraId="6E99AC9A"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286 (1.3%)</w:t>
            </w:r>
          </w:p>
        </w:tc>
      </w:tr>
      <w:tr w:rsidR="0053555D" w:rsidRPr="00831F8F" w14:paraId="77720004" w14:textId="77777777" w:rsidTr="006F5124">
        <w:trPr>
          <w:trHeight w:val="259"/>
        </w:trPr>
        <w:tc>
          <w:tcPr>
            <w:tcW w:w="5823" w:type="dxa"/>
            <w:tcBorders>
              <w:top w:val="nil"/>
              <w:left w:val="nil"/>
              <w:bottom w:val="nil"/>
              <w:right w:val="nil"/>
            </w:tcBorders>
            <w:shd w:val="clear" w:color="auto" w:fill="auto"/>
            <w:noWrap/>
            <w:hideMark/>
          </w:tcPr>
          <w:p w14:paraId="6C71658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Incontinence</w:t>
            </w:r>
          </w:p>
        </w:tc>
        <w:tc>
          <w:tcPr>
            <w:tcW w:w="1707" w:type="dxa"/>
            <w:tcBorders>
              <w:top w:val="nil"/>
              <w:left w:val="nil"/>
              <w:bottom w:val="nil"/>
              <w:right w:val="nil"/>
            </w:tcBorders>
            <w:shd w:val="clear" w:color="auto" w:fill="auto"/>
            <w:noWrap/>
            <w:hideMark/>
          </w:tcPr>
          <w:p w14:paraId="5550B50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 (0.1%)</w:t>
            </w:r>
          </w:p>
        </w:tc>
        <w:tc>
          <w:tcPr>
            <w:tcW w:w="1707" w:type="dxa"/>
            <w:tcBorders>
              <w:top w:val="nil"/>
              <w:left w:val="nil"/>
              <w:bottom w:val="nil"/>
              <w:right w:val="nil"/>
            </w:tcBorders>
            <w:shd w:val="clear" w:color="auto" w:fill="auto"/>
            <w:noWrap/>
            <w:hideMark/>
          </w:tcPr>
          <w:p w14:paraId="143D7E0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13 (0.0%)</w:t>
            </w:r>
          </w:p>
        </w:tc>
        <w:tc>
          <w:tcPr>
            <w:tcW w:w="1656" w:type="dxa"/>
            <w:tcBorders>
              <w:top w:val="nil"/>
              <w:left w:val="nil"/>
              <w:bottom w:val="nil"/>
              <w:right w:val="nil"/>
            </w:tcBorders>
            <w:shd w:val="clear" w:color="auto" w:fill="auto"/>
            <w:noWrap/>
            <w:hideMark/>
          </w:tcPr>
          <w:p w14:paraId="161873AA"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70 (0.1%)</w:t>
            </w:r>
          </w:p>
        </w:tc>
        <w:tc>
          <w:tcPr>
            <w:tcW w:w="1556" w:type="dxa"/>
            <w:tcBorders>
              <w:top w:val="nil"/>
              <w:left w:val="nil"/>
              <w:bottom w:val="nil"/>
              <w:right w:val="nil"/>
            </w:tcBorders>
            <w:shd w:val="clear" w:color="auto" w:fill="auto"/>
            <w:noWrap/>
            <w:hideMark/>
          </w:tcPr>
          <w:p w14:paraId="4319FF2C"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78 (0.1%)</w:t>
            </w:r>
          </w:p>
        </w:tc>
        <w:tc>
          <w:tcPr>
            <w:tcW w:w="1556" w:type="dxa"/>
            <w:tcBorders>
              <w:top w:val="nil"/>
              <w:left w:val="nil"/>
              <w:bottom w:val="nil"/>
              <w:right w:val="nil"/>
            </w:tcBorders>
            <w:shd w:val="clear" w:color="auto" w:fill="auto"/>
            <w:noWrap/>
            <w:hideMark/>
          </w:tcPr>
          <w:p w14:paraId="575F2096" w14:textId="7A7F3E02"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10 </w:t>
            </w:r>
            <w:r w:rsidR="00E7181E" w:rsidRPr="00831F8F">
              <w:rPr>
                <w:rFonts w:ascii="Calibri" w:eastAsia="Times New Roman" w:hAnsi="Calibri" w:cs="Calibri"/>
                <w:color w:val="auto"/>
                <w:sz w:val="20"/>
                <w:szCs w:val="20"/>
                <w:lang w:eastAsia="en-AU"/>
              </w:rPr>
              <w:t>(</w:t>
            </w:r>
            <w:r w:rsidR="00E7181E">
              <w:rPr>
                <w:rFonts w:ascii="Calibri" w:eastAsia="Times New Roman" w:hAnsi="Calibri" w:cs="Calibri"/>
                <w:color w:val="auto"/>
                <w:sz w:val="20"/>
                <w:szCs w:val="20"/>
                <w:lang w:eastAsia="en-AU"/>
              </w:rPr>
              <w:t>0</w:t>
            </w:r>
            <w:r w:rsidR="00E7181E" w:rsidRPr="00831F8F">
              <w:rPr>
                <w:rFonts w:ascii="Calibri" w:eastAsia="Times New Roman" w:hAnsi="Calibri" w:cs="Calibri"/>
                <w:color w:val="auto"/>
                <w:sz w:val="20"/>
                <w:szCs w:val="20"/>
                <w:lang w:eastAsia="en-AU"/>
              </w:rPr>
              <w:t>.</w:t>
            </w:r>
            <w:r w:rsidRPr="00831F8F">
              <w:rPr>
                <w:rFonts w:ascii="Calibri" w:eastAsia="Times New Roman" w:hAnsi="Calibri" w:cs="Calibri"/>
                <w:color w:val="auto"/>
                <w:sz w:val="20"/>
                <w:szCs w:val="20"/>
                <w:lang w:eastAsia="en-AU"/>
              </w:rPr>
              <w:t>0%)</w:t>
            </w:r>
          </w:p>
        </w:tc>
      </w:tr>
      <w:tr w:rsidR="0053555D" w:rsidRPr="00831F8F" w14:paraId="6D2A3090" w14:textId="77777777" w:rsidTr="006F5124">
        <w:trPr>
          <w:trHeight w:val="259"/>
        </w:trPr>
        <w:tc>
          <w:tcPr>
            <w:tcW w:w="5823" w:type="dxa"/>
            <w:tcBorders>
              <w:top w:val="nil"/>
              <w:left w:val="nil"/>
              <w:bottom w:val="nil"/>
              <w:right w:val="nil"/>
            </w:tcBorders>
            <w:shd w:val="clear" w:color="auto" w:fill="auto"/>
            <w:noWrap/>
            <w:hideMark/>
          </w:tcPr>
          <w:p w14:paraId="6B779E60"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Endocrine complications</w:t>
            </w:r>
          </w:p>
        </w:tc>
        <w:tc>
          <w:tcPr>
            <w:tcW w:w="1707" w:type="dxa"/>
            <w:tcBorders>
              <w:top w:val="nil"/>
              <w:left w:val="nil"/>
              <w:bottom w:val="nil"/>
              <w:right w:val="nil"/>
            </w:tcBorders>
            <w:shd w:val="clear" w:color="auto" w:fill="auto"/>
            <w:noWrap/>
            <w:hideMark/>
          </w:tcPr>
          <w:p w14:paraId="6703ABB4"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248 (1.0%)</w:t>
            </w:r>
          </w:p>
        </w:tc>
        <w:tc>
          <w:tcPr>
            <w:tcW w:w="1707" w:type="dxa"/>
            <w:tcBorders>
              <w:top w:val="nil"/>
              <w:left w:val="nil"/>
              <w:bottom w:val="nil"/>
              <w:right w:val="nil"/>
            </w:tcBorders>
            <w:shd w:val="clear" w:color="auto" w:fill="auto"/>
            <w:noWrap/>
            <w:hideMark/>
          </w:tcPr>
          <w:p w14:paraId="12DF08B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373 (1.1%)</w:t>
            </w:r>
          </w:p>
        </w:tc>
        <w:tc>
          <w:tcPr>
            <w:tcW w:w="1656" w:type="dxa"/>
            <w:tcBorders>
              <w:top w:val="nil"/>
              <w:left w:val="nil"/>
              <w:bottom w:val="nil"/>
              <w:right w:val="nil"/>
            </w:tcBorders>
            <w:shd w:val="clear" w:color="auto" w:fill="auto"/>
            <w:noWrap/>
            <w:hideMark/>
          </w:tcPr>
          <w:p w14:paraId="115DEC50"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1,547 (2.6%)</w:t>
            </w:r>
          </w:p>
        </w:tc>
        <w:tc>
          <w:tcPr>
            <w:tcW w:w="1556" w:type="dxa"/>
            <w:tcBorders>
              <w:top w:val="nil"/>
              <w:left w:val="nil"/>
              <w:bottom w:val="nil"/>
              <w:right w:val="nil"/>
            </w:tcBorders>
            <w:shd w:val="clear" w:color="auto" w:fill="auto"/>
            <w:noWrap/>
            <w:hideMark/>
          </w:tcPr>
          <w:p w14:paraId="5B3F6365"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1,748 (2.1%)</w:t>
            </w:r>
          </w:p>
        </w:tc>
        <w:tc>
          <w:tcPr>
            <w:tcW w:w="1556" w:type="dxa"/>
            <w:tcBorders>
              <w:top w:val="nil"/>
              <w:left w:val="nil"/>
              <w:bottom w:val="nil"/>
              <w:right w:val="nil"/>
            </w:tcBorders>
            <w:shd w:val="clear" w:color="auto" w:fill="auto"/>
            <w:noWrap/>
            <w:hideMark/>
          </w:tcPr>
          <w:p w14:paraId="29D50B96" w14:textId="77777777" w:rsidR="0053555D" w:rsidRPr="00831F8F" w:rsidRDefault="0053555D" w:rsidP="006F5124">
            <w:pPr>
              <w:keepNext/>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240 (1.1%)</w:t>
            </w:r>
          </w:p>
        </w:tc>
      </w:tr>
      <w:tr w:rsidR="0053555D" w:rsidRPr="00831F8F" w14:paraId="2A0357E0" w14:textId="77777777" w:rsidTr="006F5124">
        <w:trPr>
          <w:trHeight w:val="259"/>
        </w:trPr>
        <w:tc>
          <w:tcPr>
            <w:tcW w:w="5823" w:type="dxa"/>
            <w:tcBorders>
              <w:top w:val="nil"/>
              <w:left w:val="nil"/>
              <w:bottom w:val="nil"/>
              <w:right w:val="nil"/>
            </w:tcBorders>
            <w:shd w:val="clear" w:color="auto" w:fill="auto"/>
            <w:noWrap/>
            <w:hideMark/>
          </w:tcPr>
          <w:p w14:paraId="0695F19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Cardiac complications</w:t>
            </w:r>
          </w:p>
        </w:tc>
        <w:tc>
          <w:tcPr>
            <w:tcW w:w="1707" w:type="dxa"/>
            <w:tcBorders>
              <w:top w:val="nil"/>
              <w:left w:val="nil"/>
              <w:bottom w:val="nil"/>
              <w:right w:val="nil"/>
            </w:tcBorders>
            <w:shd w:val="clear" w:color="auto" w:fill="auto"/>
            <w:noWrap/>
            <w:hideMark/>
          </w:tcPr>
          <w:p w14:paraId="4160CE7F"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247 (1.0%)</w:t>
            </w:r>
          </w:p>
        </w:tc>
        <w:tc>
          <w:tcPr>
            <w:tcW w:w="1707" w:type="dxa"/>
            <w:tcBorders>
              <w:top w:val="nil"/>
              <w:left w:val="nil"/>
              <w:bottom w:val="nil"/>
              <w:right w:val="nil"/>
            </w:tcBorders>
            <w:shd w:val="clear" w:color="auto" w:fill="auto"/>
            <w:noWrap/>
            <w:hideMark/>
          </w:tcPr>
          <w:p w14:paraId="39DEA5E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595 (1.8%)</w:t>
            </w:r>
          </w:p>
        </w:tc>
        <w:tc>
          <w:tcPr>
            <w:tcW w:w="1656" w:type="dxa"/>
            <w:tcBorders>
              <w:top w:val="nil"/>
              <w:left w:val="nil"/>
              <w:bottom w:val="nil"/>
              <w:right w:val="nil"/>
            </w:tcBorders>
            <w:shd w:val="clear" w:color="auto" w:fill="auto"/>
            <w:noWrap/>
            <w:hideMark/>
          </w:tcPr>
          <w:p w14:paraId="2D9002A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2,512 (4.2%)</w:t>
            </w:r>
          </w:p>
        </w:tc>
        <w:tc>
          <w:tcPr>
            <w:tcW w:w="1556" w:type="dxa"/>
            <w:tcBorders>
              <w:top w:val="nil"/>
              <w:left w:val="nil"/>
              <w:bottom w:val="nil"/>
              <w:right w:val="nil"/>
            </w:tcBorders>
            <w:shd w:val="clear" w:color="auto" w:fill="auto"/>
            <w:noWrap/>
            <w:hideMark/>
          </w:tcPr>
          <w:p w14:paraId="08C2E284"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2,791 (3.3%)</w:t>
            </w:r>
          </w:p>
        </w:tc>
        <w:tc>
          <w:tcPr>
            <w:tcW w:w="1556" w:type="dxa"/>
            <w:tcBorders>
              <w:top w:val="nil"/>
              <w:left w:val="nil"/>
              <w:bottom w:val="nil"/>
              <w:right w:val="nil"/>
            </w:tcBorders>
            <w:shd w:val="clear" w:color="auto" w:fill="auto"/>
            <w:noWrap/>
            <w:hideMark/>
          </w:tcPr>
          <w:p w14:paraId="3778A29E"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241 (1.1%)</w:t>
            </w:r>
          </w:p>
        </w:tc>
      </w:tr>
      <w:tr w:rsidR="0053555D" w:rsidRPr="00831F8F" w14:paraId="14118B06" w14:textId="77777777" w:rsidTr="006F5124">
        <w:trPr>
          <w:trHeight w:val="259"/>
        </w:trPr>
        <w:tc>
          <w:tcPr>
            <w:tcW w:w="5823" w:type="dxa"/>
            <w:tcBorders>
              <w:top w:val="nil"/>
              <w:left w:val="nil"/>
              <w:bottom w:val="nil"/>
              <w:right w:val="nil"/>
            </w:tcBorders>
            <w:shd w:val="clear" w:color="auto" w:fill="auto"/>
            <w:noWrap/>
            <w:hideMark/>
          </w:tcPr>
          <w:p w14:paraId="5D4EE2FF"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Discharge/transfer to residential aged care service, n(%)</w:t>
            </w:r>
          </w:p>
        </w:tc>
        <w:tc>
          <w:tcPr>
            <w:tcW w:w="1707" w:type="dxa"/>
            <w:tcBorders>
              <w:top w:val="nil"/>
              <w:left w:val="nil"/>
              <w:bottom w:val="nil"/>
              <w:right w:val="nil"/>
            </w:tcBorders>
            <w:shd w:val="clear" w:color="auto" w:fill="auto"/>
            <w:noWrap/>
            <w:hideMark/>
          </w:tcPr>
          <w:p w14:paraId="36673A70"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p>
        </w:tc>
        <w:tc>
          <w:tcPr>
            <w:tcW w:w="1707" w:type="dxa"/>
            <w:tcBorders>
              <w:top w:val="nil"/>
              <w:left w:val="nil"/>
              <w:bottom w:val="nil"/>
              <w:right w:val="nil"/>
            </w:tcBorders>
            <w:shd w:val="clear" w:color="auto" w:fill="auto"/>
            <w:noWrap/>
            <w:hideMark/>
          </w:tcPr>
          <w:p w14:paraId="3139A072" w14:textId="77777777" w:rsidR="0053555D" w:rsidRPr="00831F8F" w:rsidRDefault="0053555D" w:rsidP="006F5124">
            <w:pPr>
              <w:spacing w:after="0" w:line="240" w:lineRule="auto"/>
              <w:jc w:val="right"/>
              <w:rPr>
                <w:rFonts w:ascii="Times New Roman" w:eastAsia="Times New Roman" w:hAnsi="Times New Roman"/>
                <w:color w:val="auto"/>
                <w:sz w:val="20"/>
                <w:szCs w:val="20"/>
                <w:lang w:eastAsia="en-AU"/>
              </w:rPr>
            </w:pPr>
          </w:p>
        </w:tc>
        <w:tc>
          <w:tcPr>
            <w:tcW w:w="1656" w:type="dxa"/>
            <w:tcBorders>
              <w:top w:val="nil"/>
              <w:left w:val="nil"/>
              <w:bottom w:val="nil"/>
              <w:right w:val="nil"/>
            </w:tcBorders>
            <w:shd w:val="clear" w:color="auto" w:fill="auto"/>
            <w:noWrap/>
            <w:hideMark/>
          </w:tcPr>
          <w:p w14:paraId="0ACD1361"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786D1B2B"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c>
          <w:tcPr>
            <w:tcW w:w="1556" w:type="dxa"/>
            <w:tcBorders>
              <w:top w:val="nil"/>
              <w:left w:val="nil"/>
              <w:bottom w:val="nil"/>
              <w:right w:val="nil"/>
            </w:tcBorders>
            <w:shd w:val="clear" w:color="auto" w:fill="auto"/>
            <w:noWrap/>
            <w:hideMark/>
          </w:tcPr>
          <w:p w14:paraId="0CB843E6" w14:textId="77777777" w:rsidR="0053555D" w:rsidRPr="00831F8F" w:rsidRDefault="0053555D" w:rsidP="006F5124">
            <w:pPr>
              <w:spacing w:after="0" w:line="240" w:lineRule="auto"/>
              <w:rPr>
                <w:rFonts w:ascii="Times New Roman" w:eastAsia="Times New Roman" w:hAnsi="Times New Roman"/>
                <w:color w:val="auto"/>
                <w:sz w:val="20"/>
                <w:szCs w:val="20"/>
                <w:lang w:eastAsia="en-AU"/>
              </w:rPr>
            </w:pPr>
          </w:p>
        </w:tc>
      </w:tr>
      <w:tr w:rsidR="0053555D" w:rsidRPr="00831F8F" w14:paraId="3BD39FE3" w14:textId="77777777" w:rsidTr="006F5124">
        <w:trPr>
          <w:trHeight w:val="259"/>
        </w:trPr>
        <w:tc>
          <w:tcPr>
            <w:tcW w:w="5823" w:type="dxa"/>
            <w:tcBorders>
              <w:top w:val="nil"/>
              <w:left w:val="nil"/>
              <w:bottom w:val="nil"/>
              <w:right w:val="nil"/>
            </w:tcBorders>
            <w:shd w:val="clear" w:color="auto" w:fill="auto"/>
            <w:noWrap/>
            <w:hideMark/>
          </w:tcPr>
          <w:p w14:paraId="000F2F10"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usual place of residence</w:t>
            </w:r>
          </w:p>
        </w:tc>
        <w:tc>
          <w:tcPr>
            <w:tcW w:w="1707" w:type="dxa"/>
            <w:tcBorders>
              <w:top w:val="nil"/>
              <w:left w:val="nil"/>
              <w:bottom w:val="nil"/>
              <w:right w:val="nil"/>
            </w:tcBorders>
            <w:shd w:val="clear" w:color="auto" w:fill="auto"/>
            <w:noWrap/>
            <w:hideMark/>
          </w:tcPr>
          <w:p w14:paraId="618D300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490 (2.0%)</w:t>
            </w:r>
          </w:p>
        </w:tc>
        <w:tc>
          <w:tcPr>
            <w:tcW w:w="1707" w:type="dxa"/>
            <w:tcBorders>
              <w:top w:val="nil"/>
              <w:left w:val="nil"/>
              <w:bottom w:val="nil"/>
              <w:right w:val="nil"/>
            </w:tcBorders>
            <w:shd w:val="clear" w:color="auto" w:fill="auto"/>
            <w:noWrap/>
            <w:hideMark/>
          </w:tcPr>
          <w:p w14:paraId="00789E18" w14:textId="45F868DE"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855 (</w:t>
            </w:r>
            <w:r w:rsidR="00961093">
              <w:rPr>
                <w:rFonts w:ascii="Calibri" w:eastAsia="Times New Roman" w:hAnsi="Calibri" w:cs="Calibri"/>
                <w:color w:val="auto"/>
                <w:sz w:val="20"/>
                <w:szCs w:val="20"/>
                <w:lang w:eastAsia="en-AU"/>
              </w:rPr>
              <w:t>2</w:t>
            </w:r>
            <w:r w:rsidRPr="00831F8F">
              <w:rPr>
                <w:rFonts w:ascii="Calibri" w:eastAsia="Times New Roman" w:hAnsi="Calibri" w:cs="Calibri"/>
                <w:color w:val="auto"/>
                <w:sz w:val="20"/>
                <w:szCs w:val="20"/>
                <w:lang w:eastAsia="en-AU"/>
              </w:rPr>
              <w:t>.6%)</w:t>
            </w:r>
          </w:p>
        </w:tc>
        <w:tc>
          <w:tcPr>
            <w:tcW w:w="1656" w:type="dxa"/>
            <w:tcBorders>
              <w:top w:val="nil"/>
              <w:left w:val="nil"/>
              <w:bottom w:val="nil"/>
              <w:right w:val="nil"/>
            </w:tcBorders>
            <w:shd w:val="clear" w:color="auto" w:fill="auto"/>
            <w:noWrap/>
            <w:hideMark/>
          </w:tcPr>
          <w:p w14:paraId="2E55B12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1,178 (2.0%)</w:t>
            </w:r>
          </w:p>
        </w:tc>
        <w:tc>
          <w:tcPr>
            <w:tcW w:w="1556" w:type="dxa"/>
            <w:tcBorders>
              <w:top w:val="nil"/>
              <w:left w:val="nil"/>
              <w:bottom w:val="nil"/>
              <w:right w:val="nil"/>
            </w:tcBorders>
            <w:shd w:val="clear" w:color="auto" w:fill="auto"/>
            <w:noWrap/>
            <w:hideMark/>
          </w:tcPr>
          <w:p w14:paraId="2879BBA6"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1,875 (2.2%)</w:t>
            </w:r>
          </w:p>
        </w:tc>
        <w:tc>
          <w:tcPr>
            <w:tcW w:w="1556" w:type="dxa"/>
            <w:tcBorders>
              <w:top w:val="nil"/>
              <w:left w:val="nil"/>
              <w:bottom w:val="nil"/>
              <w:right w:val="nil"/>
            </w:tcBorders>
            <w:shd w:val="clear" w:color="auto" w:fill="auto"/>
            <w:noWrap/>
            <w:hideMark/>
          </w:tcPr>
          <w:p w14:paraId="6120A12A"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414 (1.9%)</w:t>
            </w:r>
          </w:p>
        </w:tc>
      </w:tr>
      <w:tr w:rsidR="0053555D" w:rsidRPr="00831F8F" w14:paraId="7AF96325" w14:textId="77777777" w:rsidTr="006F5124">
        <w:trPr>
          <w:trHeight w:val="259"/>
        </w:trPr>
        <w:tc>
          <w:tcPr>
            <w:tcW w:w="5823" w:type="dxa"/>
            <w:tcBorders>
              <w:top w:val="nil"/>
              <w:left w:val="nil"/>
              <w:bottom w:val="nil"/>
              <w:right w:val="nil"/>
            </w:tcBorders>
            <w:shd w:val="clear" w:color="auto" w:fill="auto"/>
            <w:noWrap/>
            <w:hideMark/>
          </w:tcPr>
          <w:p w14:paraId="40A99E88"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lastRenderedPageBreak/>
              <w:t>not the usual place of residence</w:t>
            </w:r>
          </w:p>
        </w:tc>
        <w:tc>
          <w:tcPr>
            <w:tcW w:w="1707" w:type="dxa"/>
            <w:tcBorders>
              <w:top w:val="nil"/>
              <w:left w:val="nil"/>
              <w:bottom w:val="nil"/>
              <w:right w:val="nil"/>
            </w:tcBorders>
            <w:shd w:val="clear" w:color="auto" w:fill="auto"/>
            <w:noWrap/>
            <w:hideMark/>
          </w:tcPr>
          <w:p w14:paraId="4633A3CB"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313 (1.3%)</w:t>
            </w:r>
          </w:p>
        </w:tc>
        <w:tc>
          <w:tcPr>
            <w:tcW w:w="1707" w:type="dxa"/>
            <w:tcBorders>
              <w:top w:val="nil"/>
              <w:left w:val="nil"/>
              <w:bottom w:val="nil"/>
              <w:right w:val="nil"/>
            </w:tcBorders>
            <w:shd w:val="clear" w:color="auto" w:fill="auto"/>
            <w:noWrap/>
            <w:hideMark/>
          </w:tcPr>
          <w:p w14:paraId="461F7B2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333 (1.0%)</w:t>
            </w:r>
          </w:p>
        </w:tc>
        <w:tc>
          <w:tcPr>
            <w:tcW w:w="1656" w:type="dxa"/>
            <w:tcBorders>
              <w:top w:val="nil"/>
              <w:left w:val="nil"/>
              <w:bottom w:val="nil"/>
              <w:right w:val="nil"/>
            </w:tcBorders>
            <w:shd w:val="clear" w:color="auto" w:fill="auto"/>
            <w:noWrap/>
            <w:hideMark/>
          </w:tcPr>
          <w:p w14:paraId="40C4BA9F" w14:textId="3FEC9DAB"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xml:space="preserve">608 </w:t>
            </w:r>
            <w:r w:rsidR="00961093">
              <w:rPr>
                <w:rFonts w:ascii="Calibri" w:eastAsia="Times New Roman" w:hAnsi="Calibri" w:cs="Calibri"/>
                <w:color w:val="auto"/>
                <w:sz w:val="20"/>
                <w:szCs w:val="20"/>
                <w:lang w:eastAsia="en-AU"/>
              </w:rPr>
              <w:t>(</w:t>
            </w:r>
            <w:r w:rsidRPr="00831F8F">
              <w:rPr>
                <w:rFonts w:ascii="Calibri" w:eastAsia="Times New Roman" w:hAnsi="Calibri" w:cs="Calibri"/>
                <w:color w:val="auto"/>
                <w:sz w:val="20"/>
                <w:szCs w:val="20"/>
                <w:lang w:eastAsia="en-AU"/>
              </w:rPr>
              <w:t>1.0%)</w:t>
            </w:r>
          </w:p>
        </w:tc>
        <w:tc>
          <w:tcPr>
            <w:tcW w:w="1556" w:type="dxa"/>
            <w:tcBorders>
              <w:top w:val="nil"/>
              <w:left w:val="nil"/>
              <w:bottom w:val="nil"/>
              <w:right w:val="nil"/>
            </w:tcBorders>
            <w:shd w:val="clear" w:color="auto" w:fill="auto"/>
            <w:noWrap/>
            <w:hideMark/>
          </w:tcPr>
          <w:p w14:paraId="563840B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879 (1.0%)</w:t>
            </w:r>
          </w:p>
        </w:tc>
        <w:tc>
          <w:tcPr>
            <w:tcW w:w="1556" w:type="dxa"/>
            <w:tcBorders>
              <w:top w:val="nil"/>
              <w:left w:val="nil"/>
              <w:bottom w:val="nil"/>
              <w:right w:val="nil"/>
            </w:tcBorders>
            <w:shd w:val="clear" w:color="auto" w:fill="auto"/>
            <w:noWrap/>
            <w:hideMark/>
          </w:tcPr>
          <w:p w14:paraId="4717E6AD"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210 (1.0%)</w:t>
            </w:r>
          </w:p>
        </w:tc>
      </w:tr>
      <w:tr w:rsidR="0053555D" w:rsidRPr="00831F8F" w14:paraId="48BE10E9" w14:textId="77777777" w:rsidTr="006F5124">
        <w:trPr>
          <w:trHeight w:val="259"/>
        </w:trPr>
        <w:tc>
          <w:tcPr>
            <w:tcW w:w="5823" w:type="dxa"/>
            <w:tcBorders>
              <w:top w:val="nil"/>
              <w:left w:val="nil"/>
              <w:bottom w:val="single" w:sz="4" w:space="0" w:color="auto"/>
              <w:right w:val="nil"/>
            </w:tcBorders>
            <w:shd w:val="clear" w:color="auto" w:fill="auto"/>
            <w:noWrap/>
            <w:hideMark/>
          </w:tcPr>
          <w:p w14:paraId="4C5D7CA6"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c>
          <w:tcPr>
            <w:tcW w:w="1707" w:type="dxa"/>
            <w:tcBorders>
              <w:top w:val="nil"/>
              <w:left w:val="nil"/>
              <w:bottom w:val="single" w:sz="4" w:space="0" w:color="auto"/>
              <w:right w:val="nil"/>
            </w:tcBorders>
            <w:shd w:val="clear" w:color="auto" w:fill="auto"/>
            <w:noWrap/>
            <w:hideMark/>
          </w:tcPr>
          <w:p w14:paraId="3983D009" w14:textId="77777777" w:rsidR="0053555D" w:rsidRPr="00831F8F" w:rsidRDefault="0053555D" w:rsidP="006F5124">
            <w:pPr>
              <w:spacing w:after="0" w:line="240" w:lineRule="auto"/>
              <w:jc w:val="right"/>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c>
          <w:tcPr>
            <w:tcW w:w="1707" w:type="dxa"/>
            <w:tcBorders>
              <w:top w:val="nil"/>
              <w:left w:val="nil"/>
              <w:bottom w:val="single" w:sz="4" w:space="0" w:color="auto"/>
              <w:right w:val="nil"/>
            </w:tcBorders>
            <w:shd w:val="clear" w:color="auto" w:fill="auto"/>
            <w:noWrap/>
            <w:hideMark/>
          </w:tcPr>
          <w:p w14:paraId="10D0BA0C"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c>
          <w:tcPr>
            <w:tcW w:w="1656" w:type="dxa"/>
            <w:tcBorders>
              <w:top w:val="nil"/>
              <w:left w:val="nil"/>
              <w:bottom w:val="single" w:sz="4" w:space="0" w:color="auto"/>
              <w:right w:val="nil"/>
            </w:tcBorders>
            <w:shd w:val="clear" w:color="auto" w:fill="auto"/>
            <w:noWrap/>
            <w:hideMark/>
          </w:tcPr>
          <w:p w14:paraId="327E0A7E"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c>
          <w:tcPr>
            <w:tcW w:w="1556" w:type="dxa"/>
            <w:tcBorders>
              <w:top w:val="nil"/>
              <w:left w:val="nil"/>
              <w:bottom w:val="single" w:sz="4" w:space="0" w:color="auto"/>
              <w:right w:val="nil"/>
            </w:tcBorders>
            <w:shd w:val="clear" w:color="auto" w:fill="auto"/>
            <w:noWrap/>
            <w:hideMark/>
          </w:tcPr>
          <w:p w14:paraId="28655D17"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c>
          <w:tcPr>
            <w:tcW w:w="1556" w:type="dxa"/>
            <w:tcBorders>
              <w:top w:val="nil"/>
              <w:left w:val="nil"/>
              <w:bottom w:val="single" w:sz="4" w:space="0" w:color="auto"/>
              <w:right w:val="nil"/>
            </w:tcBorders>
            <w:shd w:val="clear" w:color="auto" w:fill="auto"/>
            <w:noWrap/>
            <w:hideMark/>
          </w:tcPr>
          <w:p w14:paraId="53B1029D" w14:textId="77777777" w:rsidR="0053555D" w:rsidRPr="00831F8F" w:rsidRDefault="0053555D" w:rsidP="006F5124">
            <w:pPr>
              <w:spacing w:after="0" w:line="240" w:lineRule="auto"/>
              <w:rPr>
                <w:rFonts w:ascii="Calibri" w:eastAsia="Times New Roman" w:hAnsi="Calibri" w:cs="Calibri"/>
                <w:color w:val="auto"/>
                <w:sz w:val="20"/>
                <w:szCs w:val="20"/>
                <w:lang w:eastAsia="en-AU"/>
              </w:rPr>
            </w:pPr>
            <w:r w:rsidRPr="00831F8F">
              <w:rPr>
                <w:rFonts w:ascii="Calibri" w:eastAsia="Times New Roman" w:hAnsi="Calibri" w:cs="Calibri"/>
                <w:color w:val="auto"/>
                <w:sz w:val="20"/>
                <w:szCs w:val="20"/>
                <w:lang w:eastAsia="en-AU"/>
              </w:rPr>
              <w:t> </w:t>
            </w:r>
          </w:p>
        </w:tc>
      </w:tr>
    </w:tbl>
    <w:p w14:paraId="3E9B863F" w14:textId="77777777" w:rsidR="0053555D" w:rsidRPr="00591BF6" w:rsidRDefault="0053555D" w:rsidP="0053555D">
      <w:pPr>
        <w:spacing w:before="0" w:after="80" w:line="240" w:lineRule="auto"/>
        <w:rPr>
          <w:rFonts w:ascii="Arial" w:eastAsia="Times New Roman" w:hAnsi="Arial"/>
          <w:color w:val="auto"/>
          <w:sz w:val="20"/>
          <w:szCs w:val="20"/>
          <w:lang w:eastAsia="en-AU"/>
        </w:rPr>
      </w:pPr>
      <w:r w:rsidRPr="00591BF6">
        <w:rPr>
          <w:rFonts w:ascii="Arial" w:eastAsia="Times New Roman" w:hAnsi="Arial"/>
          <w:color w:val="auto"/>
          <w:sz w:val="20"/>
          <w:szCs w:val="20"/>
          <w:lang w:eastAsia="en-AU"/>
        </w:rPr>
        <w:br w:type="page"/>
      </w:r>
    </w:p>
    <w:p w14:paraId="4F3F1A17" w14:textId="77777777" w:rsidR="0055060F" w:rsidRPr="0055060F" w:rsidRDefault="0055060F" w:rsidP="007C0EA9">
      <w:pPr>
        <w:pStyle w:val="Heading3"/>
        <w:rPr>
          <w:lang w:eastAsia="en-AU"/>
        </w:rPr>
      </w:pPr>
      <w:bookmarkStart w:id="124" w:name="_Table_8._Health"/>
      <w:bookmarkStart w:id="125" w:name="_Toc187133226"/>
      <w:bookmarkStart w:id="126" w:name="_Toc187313306"/>
      <w:bookmarkEnd w:id="124"/>
      <w:r w:rsidRPr="0055060F">
        <w:rPr>
          <w:lang w:eastAsia="en-AU"/>
        </w:rPr>
        <w:lastRenderedPageBreak/>
        <w:t>Table 8. Health outcomes for separations with explicit sepsis codes, public hospitals, 2013-24 to 2022-23</w:t>
      </w:r>
      <w:bookmarkEnd w:id="125"/>
      <w:bookmarkEnd w:id="126"/>
    </w:p>
    <w:tbl>
      <w:tblPr>
        <w:tblW w:w="13877" w:type="dxa"/>
        <w:tblInd w:w="-426" w:type="dxa"/>
        <w:tblLayout w:type="fixed"/>
        <w:tblLook w:val="04A0" w:firstRow="1" w:lastRow="0" w:firstColumn="1" w:lastColumn="0" w:noHBand="0" w:noVBand="1"/>
      </w:tblPr>
      <w:tblGrid>
        <w:gridCol w:w="851"/>
        <w:gridCol w:w="4689"/>
        <w:gridCol w:w="1667"/>
        <w:gridCol w:w="1667"/>
        <w:gridCol w:w="1668"/>
        <w:gridCol w:w="1667"/>
        <w:gridCol w:w="1668"/>
      </w:tblGrid>
      <w:tr w:rsidR="0055060F" w:rsidRPr="0055060F" w14:paraId="379E04E6" w14:textId="77777777" w:rsidTr="006F5124">
        <w:trPr>
          <w:trHeight w:val="787"/>
          <w:tblHeader/>
        </w:trPr>
        <w:tc>
          <w:tcPr>
            <w:tcW w:w="851" w:type="dxa"/>
            <w:tcBorders>
              <w:top w:val="single" w:sz="4" w:space="0" w:color="auto"/>
              <w:left w:val="nil"/>
              <w:bottom w:val="single" w:sz="4" w:space="0" w:color="auto"/>
              <w:right w:val="nil"/>
            </w:tcBorders>
            <w:shd w:val="clear" w:color="auto" w:fill="auto"/>
            <w:noWrap/>
            <w:vAlign w:val="bottom"/>
            <w:hideMark/>
          </w:tcPr>
          <w:p w14:paraId="42D8D340" w14:textId="77777777" w:rsidR="0055060F" w:rsidRPr="0055060F" w:rsidRDefault="0055060F" w:rsidP="0055060F">
            <w:pPr>
              <w:spacing w:after="0" w:line="240" w:lineRule="auto"/>
              <w:rPr>
                <w:rFonts w:ascii="Calibri" w:eastAsia="Times New Roman" w:hAnsi="Calibri" w:cs="Calibri"/>
                <w:b/>
                <w:bCs/>
                <w:color w:val="auto"/>
                <w:sz w:val="20"/>
                <w:szCs w:val="20"/>
                <w:lang w:eastAsia="en-AU"/>
              </w:rPr>
            </w:pPr>
            <w:r w:rsidRPr="0055060F">
              <w:rPr>
                <w:rFonts w:ascii="Calibri" w:eastAsia="Times New Roman" w:hAnsi="Calibri" w:cs="Calibri"/>
                <w:b/>
                <w:bCs/>
                <w:color w:val="auto"/>
                <w:sz w:val="20"/>
                <w:szCs w:val="20"/>
                <w:lang w:eastAsia="en-AU"/>
              </w:rPr>
              <w:t>Year</w:t>
            </w:r>
          </w:p>
        </w:tc>
        <w:tc>
          <w:tcPr>
            <w:tcW w:w="4689" w:type="dxa"/>
            <w:tcBorders>
              <w:top w:val="single" w:sz="4" w:space="0" w:color="auto"/>
              <w:left w:val="nil"/>
              <w:bottom w:val="single" w:sz="4" w:space="0" w:color="auto"/>
              <w:right w:val="nil"/>
            </w:tcBorders>
            <w:shd w:val="clear" w:color="auto" w:fill="auto"/>
            <w:noWrap/>
            <w:vAlign w:val="bottom"/>
            <w:hideMark/>
          </w:tcPr>
          <w:p w14:paraId="132D118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w:t>
            </w:r>
          </w:p>
        </w:tc>
        <w:tc>
          <w:tcPr>
            <w:tcW w:w="1667" w:type="dxa"/>
            <w:tcBorders>
              <w:top w:val="single" w:sz="4" w:space="0" w:color="auto"/>
              <w:left w:val="nil"/>
              <w:bottom w:val="single" w:sz="4" w:space="0" w:color="auto"/>
              <w:right w:val="nil"/>
            </w:tcBorders>
            <w:shd w:val="clear" w:color="auto" w:fill="auto"/>
            <w:vAlign w:val="bottom"/>
            <w:hideMark/>
          </w:tcPr>
          <w:p w14:paraId="43050768" w14:textId="77777777" w:rsidR="0055060F" w:rsidRPr="0055060F" w:rsidRDefault="0055060F" w:rsidP="0055060F">
            <w:pPr>
              <w:spacing w:after="0" w:line="240" w:lineRule="auto"/>
              <w:jc w:val="right"/>
              <w:rPr>
                <w:rFonts w:ascii="Calibri" w:eastAsia="Times New Roman" w:hAnsi="Calibri" w:cs="Calibri"/>
                <w:b/>
                <w:bCs/>
                <w:color w:val="auto"/>
                <w:sz w:val="20"/>
                <w:szCs w:val="20"/>
                <w:lang w:eastAsia="en-AU"/>
              </w:rPr>
            </w:pPr>
            <w:r w:rsidRPr="0055060F">
              <w:rPr>
                <w:rFonts w:ascii="Calibri" w:eastAsia="Times New Roman" w:hAnsi="Calibri" w:cs="Calibri"/>
                <w:b/>
                <w:bCs/>
                <w:color w:val="auto"/>
                <w:sz w:val="20"/>
                <w:szCs w:val="20"/>
                <w:lang w:eastAsia="en-AU"/>
              </w:rPr>
              <w:t>Pre-sepsis separations</w:t>
            </w:r>
            <w:r w:rsidRPr="0055060F">
              <w:rPr>
                <w:rFonts w:ascii="Calibri" w:eastAsia="Times New Roman" w:hAnsi="Calibri" w:cs="Calibri"/>
                <w:b/>
                <w:bCs/>
                <w:color w:val="auto"/>
                <w:sz w:val="20"/>
                <w:szCs w:val="20"/>
                <w:lang w:eastAsia="en-AU"/>
              </w:rPr>
              <w:br/>
              <w:t>(30 days)</w:t>
            </w:r>
          </w:p>
        </w:tc>
        <w:tc>
          <w:tcPr>
            <w:tcW w:w="1667" w:type="dxa"/>
            <w:tcBorders>
              <w:top w:val="single" w:sz="4" w:space="0" w:color="auto"/>
              <w:left w:val="nil"/>
              <w:bottom w:val="single" w:sz="4" w:space="0" w:color="auto"/>
              <w:right w:val="nil"/>
            </w:tcBorders>
            <w:shd w:val="clear" w:color="auto" w:fill="auto"/>
            <w:vAlign w:val="bottom"/>
            <w:hideMark/>
          </w:tcPr>
          <w:p w14:paraId="32FA0B8E" w14:textId="77777777" w:rsidR="0055060F" w:rsidRPr="0055060F" w:rsidRDefault="0055060F" w:rsidP="0055060F">
            <w:pPr>
              <w:spacing w:after="0" w:line="240" w:lineRule="auto"/>
              <w:jc w:val="right"/>
              <w:rPr>
                <w:rFonts w:ascii="Calibri" w:eastAsia="Times New Roman" w:hAnsi="Calibri" w:cs="Calibri"/>
                <w:b/>
                <w:bCs/>
                <w:color w:val="auto"/>
                <w:sz w:val="20"/>
                <w:szCs w:val="20"/>
                <w:lang w:eastAsia="en-AU"/>
              </w:rPr>
            </w:pPr>
            <w:r w:rsidRPr="0055060F">
              <w:rPr>
                <w:rFonts w:ascii="Calibri" w:eastAsia="Times New Roman" w:hAnsi="Calibri" w:cs="Calibri"/>
                <w:b/>
                <w:bCs/>
                <w:color w:val="auto"/>
                <w:sz w:val="20"/>
                <w:szCs w:val="20"/>
                <w:lang w:eastAsia="en-AU"/>
              </w:rPr>
              <w:t xml:space="preserve">Sepsis separations </w:t>
            </w:r>
            <w:r w:rsidRPr="0055060F">
              <w:rPr>
                <w:rFonts w:ascii="Calibri" w:eastAsia="Times New Roman" w:hAnsi="Calibri" w:cs="Calibri"/>
                <w:b/>
                <w:bCs/>
                <w:color w:val="auto"/>
                <w:sz w:val="20"/>
                <w:szCs w:val="20"/>
                <w:lang w:eastAsia="en-AU"/>
              </w:rPr>
              <w:br/>
              <w:t>(principal diagnosis)</w:t>
            </w:r>
          </w:p>
        </w:tc>
        <w:tc>
          <w:tcPr>
            <w:tcW w:w="1668" w:type="dxa"/>
            <w:tcBorders>
              <w:top w:val="single" w:sz="4" w:space="0" w:color="auto"/>
              <w:left w:val="nil"/>
              <w:bottom w:val="single" w:sz="4" w:space="0" w:color="auto"/>
              <w:right w:val="nil"/>
            </w:tcBorders>
            <w:shd w:val="clear" w:color="auto" w:fill="auto"/>
            <w:vAlign w:val="bottom"/>
            <w:hideMark/>
          </w:tcPr>
          <w:p w14:paraId="3D9A1A35" w14:textId="77777777" w:rsidR="0055060F" w:rsidRPr="0055060F" w:rsidRDefault="0055060F" w:rsidP="0055060F">
            <w:pPr>
              <w:spacing w:after="0" w:line="240" w:lineRule="auto"/>
              <w:jc w:val="right"/>
              <w:rPr>
                <w:rFonts w:ascii="Calibri" w:eastAsia="Times New Roman" w:hAnsi="Calibri" w:cs="Calibri"/>
                <w:b/>
                <w:bCs/>
                <w:color w:val="auto"/>
                <w:sz w:val="20"/>
                <w:szCs w:val="20"/>
                <w:lang w:eastAsia="en-AU"/>
              </w:rPr>
            </w:pPr>
            <w:r w:rsidRPr="0055060F">
              <w:rPr>
                <w:rFonts w:ascii="Calibri" w:eastAsia="Times New Roman" w:hAnsi="Calibri" w:cs="Calibri"/>
                <w:b/>
                <w:bCs/>
                <w:color w:val="auto"/>
                <w:sz w:val="20"/>
                <w:szCs w:val="20"/>
                <w:lang w:eastAsia="en-AU"/>
              </w:rPr>
              <w:t xml:space="preserve">Sepsis separations </w:t>
            </w:r>
            <w:r w:rsidRPr="0055060F">
              <w:rPr>
                <w:rFonts w:ascii="Calibri" w:eastAsia="Times New Roman" w:hAnsi="Calibri" w:cs="Calibri"/>
                <w:b/>
                <w:bCs/>
                <w:color w:val="auto"/>
                <w:sz w:val="20"/>
                <w:szCs w:val="20"/>
                <w:lang w:eastAsia="en-AU"/>
              </w:rPr>
              <w:br/>
              <w:t>(secondary diagnosis)</w:t>
            </w:r>
          </w:p>
        </w:tc>
        <w:tc>
          <w:tcPr>
            <w:tcW w:w="1667" w:type="dxa"/>
            <w:tcBorders>
              <w:top w:val="single" w:sz="4" w:space="0" w:color="auto"/>
              <w:left w:val="nil"/>
              <w:bottom w:val="single" w:sz="4" w:space="0" w:color="auto"/>
              <w:right w:val="nil"/>
            </w:tcBorders>
            <w:shd w:val="clear" w:color="auto" w:fill="auto"/>
            <w:vAlign w:val="bottom"/>
            <w:hideMark/>
          </w:tcPr>
          <w:p w14:paraId="5BEC3201" w14:textId="77777777" w:rsidR="0055060F" w:rsidRPr="0055060F" w:rsidRDefault="0055060F" w:rsidP="0055060F">
            <w:pPr>
              <w:spacing w:after="0" w:line="240" w:lineRule="auto"/>
              <w:jc w:val="right"/>
              <w:rPr>
                <w:rFonts w:ascii="Calibri" w:eastAsia="Times New Roman" w:hAnsi="Calibri" w:cs="Calibri"/>
                <w:b/>
                <w:bCs/>
                <w:color w:val="auto"/>
                <w:sz w:val="20"/>
                <w:szCs w:val="20"/>
                <w:lang w:eastAsia="en-AU"/>
              </w:rPr>
            </w:pPr>
            <w:r w:rsidRPr="0055060F">
              <w:rPr>
                <w:rFonts w:ascii="Calibri" w:eastAsia="Times New Roman" w:hAnsi="Calibri" w:cs="Calibri"/>
                <w:b/>
                <w:bCs/>
                <w:color w:val="auto"/>
                <w:sz w:val="20"/>
                <w:szCs w:val="20"/>
                <w:lang w:eastAsia="en-AU"/>
              </w:rPr>
              <w:t>Sepsis separations</w:t>
            </w:r>
          </w:p>
        </w:tc>
        <w:tc>
          <w:tcPr>
            <w:tcW w:w="1668" w:type="dxa"/>
            <w:tcBorders>
              <w:top w:val="single" w:sz="4" w:space="0" w:color="auto"/>
              <w:left w:val="nil"/>
              <w:bottom w:val="single" w:sz="4" w:space="0" w:color="auto"/>
              <w:right w:val="nil"/>
            </w:tcBorders>
            <w:shd w:val="clear" w:color="auto" w:fill="auto"/>
            <w:vAlign w:val="bottom"/>
            <w:hideMark/>
          </w:tcPr>
          <w:p w14:paraId="0F472689" w14:textId="77777777" w:rsidR="0055060F" w:rsidRPr="0055060F" w:rsidRDefault="0055060F" w:rsidP="0055060F">
            <w:pPr>
              <w:spacing w:after="0" w:line="240" w:lineRule="auto"/>
              <w:jc w:val="right"/>
              <w:rPr>
                <w:rFonts w:ascii="Calibri" w:eastAsia="Times New Roman" w:hAnsi="Calibri" w:cs="Calibri"/>
                <w:b/>
                <w:bCs/>
                <w:color w:val="auto"/>
                <w:sz w:val="20"/>
                <w:szCs w:val="20"/>
                <w:lang w:eastAsia="en-AU"/>
              </w:rPr>
            </w:pPr>
            <w:r w:rsidRPr="0055060F">
              <w:rPr>
                <w:rFonts w:ascii="Calibri" w:eastAsia="Times New Roman" w:hAnsi="Calibri" w:cs="Calibri"/>
                <w:b/>
                <w:bCs/>
                <w:color w:val="auto"/>
                <w:sz w:val="20"/>
                <w:szCs w:val="20"/>
                <w:lang w:eastAsia="en-AU"/>
              </w:rPr>
              <w:t xml:space="preserve">Post-sepsis readmissions </w:t>
            </w:r>
            <w:r w:rsidRPr="0055060F">
              <w:rPr>
                <w:rFonts w:ascii="Calibri" w:eastAsia="Times New Roman" w:hAnsi="Calibri" w:cs="Calibri"/>
                <w:b/>
                <w:bCs/>
                <w:color w:val="auto"/>
                <w:sz w:val="20"/>
                <w:szCs w:val="20"/>
                <w:lang w:eastAsia="en-AU"/>
              </w:rPr>
              <w:br/>
              <w:t>(30 days)</w:t>
            </w:r>
          </w:p>
        </w:tc>
      </w:tr>
      <w:tr w:rsidR="0055060F" w:rsidRPr="0055060F" w14:paraId="1316ACC6" w14:textId="77777777" w:rsidTr="006F5124">
        <w:trPr>
          <w:trHeight w:val="288"/>
        </w:trPr>
        <w:tc>
          <w:tcPr>
            <w:tcW w:w="851" w:type="dxa"/>
            <w:tcBorders>
              <w:top w:val="nil"/>
              <w:left w:val="nil"/>
              <w:bottom w:val="nil"/>
              <w:right w:val="nil"/>
            </w:tcBorders>
            <w:shd w:val="clear" w:color="auto" w:fill="auto"/>
            <w:noWrap/>
            <w:hideMark/>
          </w:tcPr>
          <w:p w14:paraId="442ECF0F"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2013-14</w:t>
            </w:r>
          </w:p>
        </w:tc>
        <w:tc>
          <w:tcPr>
            <w:tcW w:w="4689" w:type="dxa"/>
            <w:tcBorders>
              <w:top w:val="nil"/>
              <w:left w:val="nil"/>
              <w:bottom w:val="nil"/>
              <w:right w:val="nil"/>
            </w:tcBorders>
            <w:shd w:val="clear" w:color="auto" w:fill="auto"/>
            <w:noWrap/>
            <w:hideMark/>
          </w:tcPr>
          <w:p w14:paraId="52CA54A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371F76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4D0168B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24,594</w:t>
            </w:r>
          </w:p>
        </w:tc>
        <w:tc>
          <w:tcPr>
            <w:tcW w:w="1668" w:type="dxa"/>
            <w:tcBorders>
              <w:top w:val="nil"/>
              <w:left w:val="nil"/>
              <w:bottom w:val="nil"/>
              <w:right w:val="nil"/>
            </w:tcBorders>
            <w:shd w:val="clear" w:color="auto" w:fill="auto"/>
            <w:noWrap/>
            <w:hideMark/>
          </w:tcPr>
          <w:p w14:paraId="4A1B9FC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44,242</w:t>
            </w:r>
          </w:p>
        </w:tc>
        <w:tc>
          <w:tcPr>
            <w:tcW w:w="1667" w:type="dxa"/>
            <w:tcBorders>
              <w:top w:val="nil"/>
              <w:left w:val="nil"/>
              <w:bottom w:val="nil"/>
              <w:right w:val="nil"/>
            </w:tcBorders>
            <w:shd w:val="clear" w:color="auto" w:fill="auto"/>
            <w:noWrap/>
            <w:hideMark/>
          </w:tcPr>
          <w:p w14:paraId="20CC967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65,021</w:t>
            </w:r>
          </w:p>
        </w:tc>
        <w:tc>
          <w:tcPr>
            <w:tcW w:w="1668" w:type="dxa"/>
            <w:tcBorders>
              <w:top w:val="nil"/>
              <w:left w:val="nil"/>
              <w:bottom w:val="nil"/>
              <w:right w:val="nil"/>
            </w:tcBorders>
            <w:shd w:val="clear" w:color="auto" w:fill="auto"/>
            <w:noWrap/>
            <w:hideMark/>
          </w:tcPr>
          <w:p w14:paraId="63B4330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438487F7" w14:textId="77777777" w:rsidTr="006F5124">
        <w:trPr>
          <w:trHeight w:val="288"/>
        </w:trPr>
        <w:tc>
          <w:tcPr>
            <w:tcW w:w="851" w:type="dxa"/>
            <w:tcBorders>
              <w:top w:val="nil"/>
              <w:left w:val="nil"/>
              <w:bottom w:val="nil"/>
              <w:right w:val="nil"/>
            </w:tcBorders>
            <w:shd w:val="clear" w:color="auto" w:fill="auto"/>
            <w:noWrap/>
            <w:hideMark/>
          </w:tcPr>
          <w:p w14:paraId="67EEECD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401B85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6108FA0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306DC3E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c>
          <w:tcPr>
            <w:tcW w:w="1668" w:type="dxa"/>
            <w:tcBorders>
              <w:top w:val="nil"/>
              <w:left w:val="nil"/>
              <w:bottom w:val="nil"/>
              <w:right w:val="nil"/>
            </w:tcBorders>
            <w:shd w:val="clear" w:color="auto" w:fill="auto"/>
            <w:noWrap/>
            <w:hideMark/>
          </w:tcPr>
          <w:p w14:paraId="7E004B9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w:t>
            </w:r>
          </w:p>
        </w:tc>
        <w:tc>
          <w:tcPr>
            <w:tcW w:w="1667" w:type="dxa"/>
            <w:tcBorders>
              <w:top w:val="nil"/>
              <w:left w:val="nil"/>
              <w:bottom w:val="nil"/>
              <w:right w:val="nil"/>
            </w:tcBorders>
            <w:shd w:val="clear" w:color="auto" w:fill="auto"/>
            <w:noWrap/>
            <w:hideMark/>
          </w:tcPr>
          <w:p w14:paraId="6C60597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w:t>
            </w:r>
          </w:p>
        </w:tc>
        <w:tc>
          <w:tcPr>
            <w:tcW w:w="1668" w:type="dxa"/>
            <w:tcBorders>
              <w:top w:val="nil"/>
              <w:left w:val="nil"/>
              <w:bottom w:val="nil"/>
              <w:right w:val="nil"/>
            </w:tcBorders>
            <w:shd w:val="clear" w:color="auto" w:fill="auto"/>
            <w:noWrap/>
            <w:hideMark/>
          </w:tcPr>
          <w:p w14:paraId="4755D97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3EF1B13B" w14:textId="77777777" w:rsidTr="006F5124">
        <w:trPr>
          <w:trHeight w:val="288"/>
        </w:trPr>
        <w:tc>
          <w:tcPr>
            <w:tcW w:w="851" w:type="dxa"/>
            <w:tcBorders>
              <w:top w:val="nil"/>
              <w:left w:val="nil"/>
              <w:bottom w:val="nil"/>
              <w:right w:val="nil"/>
            </w:tcBorders>
            <w:shd w:val="clear" w:color="auto" w:fill="auto"/>
            <w:noWrap/>
            <w:hideMark/>
          </w:tcPr>
          <w:p w14:paraId="4E60F17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81D0B51"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0D482A8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4931E9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(9.6)</w:t>
            </w:r>
          </w:p>
        </w:tc>
        <w:tc>
          <w:tcPr>
            <w:tcW w:w="1668" w:type="dxa"/>
            <w:tcBorders>
              <w:top w:val="nil"/>
              <w:left w:val="nil"/>
              <w:bottom w:val="nil"/>
              <w:right w:val="nil"/>
            </w:tcBorders>
            <w:shd w:val="clear" w:color="auto" w:fill="auto"/>
            <w:noWrap/>
            <w:hideMark/>
          </w:tcPr>
          <w:p w14:paraId="3B0908C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 (23.5)</w:t>
            </w:r>
          </w:p>
        </w:tc>
        <w:tc>
          <w:tcPr>
            <w:tcW w:w="1667" w:type="dxa"/>
            <w:tcBorders>
              <w:top w:val="nil"/>
              <w:left w:val="nil"/>
              <w:bottom w:val="nil"/>
              <w:right w:val="nil"/>
            </w:tcBorders>
            <w:shd w:val="clear" w:color="auto" w:fill="auto"/>
            <w:noWrap/>
            <w:hideMark/>
          </w:tcPr>
          <w:p w14:paraId="64A3960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 (20.4)</w:t>
            </w:r>
          </w:p>
        </w:tc>
        <w:tc>
          <w:tcPr>
            <w:tcW w:w="1668" w:type="dxa"/>
            <w:tcBorders>
              <w:top w:val="nil"/>
              <w:left w:val="nil"/>
              <w:bottom w:val="nil"/>
              <w:right w:val="nil"/>
            </w:tcBorders>
            <w:shd w:val="clear" w:color="auto" w:fill="auto"/>
            <w:noWrap/>
            <w:hideMark/>
          </w:tcPr>
          <w:p w14:paraId="72BFB0E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1390B6D9" w14:textId="77777777" w:rsidTr="006F5124">
        <w:trPr>
          <w:trHeight w:val="288"/>
        </w:trPr>
        <w:tc>
          <w:tcPr>
            <w:tcW w:w="851" w:type="dxa"/>
            <w:tcBorders>
              <w:top w:val="nil"/>
              <w:left w:val="nil"/>
              <w:bottom w:val="nil"/>
              <w:right w:val="nil"/>
            </w:tcBorders>
            <w:shd w:val="clear" w:color="auto" w:fill="auto"/>
            <w:noWrap/>
            <w:hideMark/>
          </w:tcPr>
          <w:p w14:paraId="59290A4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67B806A"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1AFA0E5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0605036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3,527 (14.3%)</w:t>
            </w:r>
          </w:p>
        </w:tc>
        <w:tc>
          <w:tcPr>
            <w:tcW w:w="1668" w:type="dxa"/>
            <w:tcBorders>
              <w:top w:val="nil"/>
              <w:left w:val="nil"/>
              <w:bottom w:val="nil"/>
              <w:right w:val="nil"/>
            </w:tcBorders>
            <w:shd w:val="clear" w:color="auto" w:fill="auto"/>
            <w:noWrap/>
            <w:hideMark/>
          </w:tcPr>
          <w:p w14:paraId="0960AAE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13,768 (31.1%)</w:t>
            </w:r>
          </w:p>
        </w:tc>
        <w:tc>
          <w:tcPr>
            <w:tcW w:w="1667" w:type="dxa"/>
            <w:tcBorders>
              <w:top w:val="nil"/>
              <w:left w:val="nil"/>
              <w:bottom w:val="nil"/>
              <w:right w:val="nil"/>
            </w:tcBorders>
            <w:shd w:val="clear" w:color="auto" w:fill="auto"/>
            <w:noWrap/>
            <w:hideMark/>
          </w:tcPr>
          <w:p w14:paraId="5C8894D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15,576 (24.0%)</w:t>
            </w:r>
          </w:p>
        </w:tc>
        <w:tc>
          <w:tcPr>
            <w:tcW w:w="1668" w:type="dxa"/>
            <w:tcBorders>
              <w:top w:val="nil"/>
              <w:left w:val="nil"/>
              <w:bottom w:val="nil"/>
              <w:right w:val="nil"/>
            </w:tcBorders>
            <w:shd w:val="clear" w:color="auto" w:fill="auto"/>
            <w:noWrap/>
            <w:hideMark/>
          </w:tcPr>
          <w:p w14:paraId="7EC2D5C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0376E2E5" w14:textId="77777777" w:rsidTr="006F5124">
        <w:trPr>
          <w:trHeight w:val="288"/>
        </w:trPr>
        <w:tc>
          <w:tcPr>
            <w:tcW w:w="851" w:type="dxa"/>
            <w:tcBorders>
              <w:top w:val="nil"/>
              <w:left w:val="nil"/>
              <w:bottom w:val="nil"/>
              <w:right w:val="nil"/>
            </w:tcBorders>
            <w:shd w:val="clear" w:color="auto" w:fill="auto"/>
            <w:noWrap/>
            <w:hideMark/>
          </w:tcPr>
          <w:p w14:paraId="31C35E1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EFDD8EC"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5B77A88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1889383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93 (133.2)</w:t>
            </w:r>
          </w:p>
        </w:tc>
        <w:tc>
          <w:tcPr>
            <w:tcW w:w="1668" w:type="dxa"/>
            <w:tcBorders>
              <w:top w:val="nil"/>
              <w:left w:val="nil"/>
              <w:bottom w:val="nil"/>
              <w:right w:val="nil"/>
            </w:tcBorders>
            <w:shd w:val="clear" w:color="auto" w:fill="auto"/>
            <w:noWrap/>
            <w:hideMark/>
          </w:tcPr>
          <w:p w14:paraId="633F0C9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207 (369.3)</w:t>
            </w:r>
          </w:p>
        </w:tc>
        <w:tc>
          <w:tcPr>
            <w:tcW w:w="1667" w:type="dxa"/>
            <w:tcBorders>
              <w:top w:val="nil"/>
              <w:left w:val="nil"/>
              <w:bottom w:val="nil"/>
              <w:right w:val="nil"/>
            </w:tcBorders>
            <w:shd w:val="clear" w:color="auto" w:fill="auto"/>
            <w:noWrap/>
            <w:hideMark/>
          </w:tcPr>
          <w:p w14:paraId="04D20E6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191 (351.4)</w:t>
            </w:r>
          </w:p>
        </w:tc>
        <w:tc>
          <w:tcPr>
            <w:tcW w:w="1668" w:type="dxa"/>
            <w:tcBorders>
              <w:top w:val="nil"/>
              <w:left w:val="nil"/>
              <w:bottom w:val="nil"/>
              <w:right w:val="nil"/>
            </w:tcBorders>
            <w:shd w:val="clear" w:color="auto" w:fill="auto"/>
            <w:noWrap/>
            <w:hideMark/>
          </w:tcPr>
          <w:p w14:paraId="097FB60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54591C94" w14:textId="77777777" w:rsidTr="006F5124">
        <w:trPr>
          <w:trHeight w:val="284"/>
        </w:trPr>
        <w:tc>
          <w:tcPr>
            <w:tcW w:w="851" w:type="dxa"/>
            <w:tcBorders>
              <w:top w:val="nil"/>
              <w:left w:val="nil"/>
              <w:bottom w:val="nil"/>
              <w:right w:val="nil"/>
            </w:tcBorders>
            <w:shd w:val="clear" w:color="auto" w:fill="auto"/>
            <w:noWrap/>
            <w:hideMark/>
          </w:tcPr>
          <w:p w14:paraId="02EB0F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EAE72B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5572D6E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31AA59C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$13,276</w:t>
            </w:r>
          </w:p>
        </w:tc>
        <w:tc>
          <w:tcPr>
            <w:tcW w:w="1668" w:type="dxa"/>
            <w:tcBorders>
              <w:top w:val="nil"/>
              <w:left w:val="nil"/>
              <w:bottom w:val="nil"/>
              <w:right w:val="nil"/>
            </w:tcBorders>
            <w:shd w:val="clear" w:color="auto" w:fill="auto"/>
            <w:noWrap/>
            <w:hideMark/>
          </w:tcPr>
          <w:p w14:paraId="6F42A0D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$25,273</w:t>
            </w:r>
          </w:p>
        </w:tc>
        <w:tc>
          <w:tcPr>
            <w:tcW w:w="1667" w:type="dxa"/>
            <w:tcBorders>
              <w:top w:val="nil"/>
              <w:left w:val="nil"/>
              <w:bottom w:val="nil"/>
              <w:right w:val="nil"/>
            </w:tcBorders>
            <w:shd w:val="clear" w:color="auto" w:fill="auto"/>
            <w:noWrap/>
            <w:hideMark/>
          </w:tcPr>
          <w:p w14:paraId="6A218D3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$20,934</w:t>
            </w:r>
          </w:p>
        </w:tc>
        <w:tc>
          <w:tcPr>
            <w:tcW w:w="1668" w:type="dxa"/>
            <w:tcBorders>
              <w:top w:val="nil"/>
              <w:left w:val="nil"/>
              <w:bottom w:val="nil"/>
              <w:right w:val="nil"/>
            </w:tcBorders>
            <w:shd w:val="clear" w:color="auto" w:fill="auto"/>
            <w:noWrap/>
            <w:hideMark/>
          </w:tcPr>
          <w:p w14:paraId="2433052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434F573B" w14:textId="77777777" w:rsidTr="006F5124">
        <w:trPr>
          <w:trHeight w:val="288"/>
        </w:trPr>
        <w:tc>
          <w:tcPr>
            <w:tcW w:w="851" w:type="dxa"/>
            <w:tcBorders>
              <w:top w:val="nil"/>
              <w:left w:val="nil"/>
              <w:bottom w:val="nil"/>
              <w:right w:val="nil"/>
            </w:tcBorders>
            <w:shd w:val="clear" w:color="auto" w:fill="auto"/>
            <w:noWrap/>
            <w:hideMark/>
          </w:tcPr>
          <w:p w14:paraId="79AA462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45372E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606C159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2D85C7A8"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0049448A"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15D700B5"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7442D76D"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30B1F7E6" w14:textId="77777777" w:rsidTr="006F5124">
        <w:trPr>
          <w:trHeight w:val="288"/>
        </w:trPr>
        <w:tc>
          <w:tcPr>
            <w:tcW w:w="851" w:type="dxa"/>
            <w:tcBorders>
              <w:top w:val="nil"/>
              <w:left w:val="nil"/>
              <w:bottom w:val="nil"/>
              <w:right w:val="nil"/>
            </w:tcBorders>
            <w:shd w:val="clear" w:color="auto" w:fill="auto"/>
            <w:noWrap/>
            <w:hideMark/>
          </w:tcPr>
          <w:p w14:paraId="55D24E5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0015677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502FB2C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0EA2EA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3,923 (16.0%)</w:t>
            </w:r>
          </w:p>
        </w:tc>
        <w:tc>
          <w:tcPr>
            <w:tcW w:w="1668" w:type="dxa"/>
            <w:tcBorders>
              <w:top w:val="nil"/>
              <w:left w:val="nil"/>
              <w:bottom w:val="nil"/>
              <w:right w:val="nil"/>
            </w:tcBorders>
            <w:shd w:val="clear" w:color="auto" w:fill="auto"/>
            <w:noWrap/>
            <w:hideMark/>
          </w:tcPr>
          <w:p w14:paraId="430C59D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4,201 (9.5%)</w:t>
            </w:r>
          </w:p>
        </w:tc>
        <w:tc>
          <w:tcPr>
            <w:tcW w:w="1667" w:type="dxa"/>
            <w:tcBorders>
              <w:top w:val="nil"/>
              <w:left w:val="nil"/>
              <w:bottom w:val="nil"/>
              <w:right w:val="nil"/>
            </w:tcBorders>
            <w:shd w:val="clear" w:color="auto" w:fill="auto"/>
            <w:noWrap/>
            <w:hideMark/>
          </w:tcPr>
          <w:p w14:paraId="4BDE73A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7,381 (11.4%)</w:t>
            </w:r>
          </w:p>
        </w:tc>
        <w:tc>
          <w:tcPr>
            <w:tcW w:w="1668" w:type="dxa"/>
            <w:tcBorders>
              <w:top w:val="nil"/>
              <w:left w:val="nil"/>
              <w:bottom w:val="nil"/>
              <w:right w:val="nil"/>
            </w:tcBorders>
            <w:shd w:val="clear" w:color="auto" w:fill="auto"/>
            <w:noWrap/>
            <w:hideMark/>
          </w:tcPr>
          <w:p w14:paraId="3007A78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73664F26" w14:textId="77777777" w:rsidTr="006F5124">
        <w:trPr>
          <w:trHeight w:val="288"/>
        </w:trPr>
        <w:tc>
          <w:tcPr>
            <w:tcW w:w="851" w:type="dxa"/>
            <w:tcBorders>
              <w:top w:val="nil"/>
              <w:left w:val="nil"/>
              <w:bottom w:val="nil"/>
              <w:right w:val="nil"/>
            </w:tcBorders>
            <w:shd w:val="clear" w:color="auto" w:fill="auto"/>
            <w:noWrap/>
            <w:hideMark/>
          </w:tcPr>
          <w:p w14:paraId="36800BF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957112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4C395DD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4FD1805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10,671 (43.4%)</w:t>
            </w:r>
          </w:p>
        </w:tc>
        <w:tc>
          <w:tcPr>
            <w:tcW w:w="1668" w:type="dxa"/>
            <w:tcBorders>
              <w:top w:val="nil"/>
              <w:left w:val="nil"/>
              <w:bottom w:val="nil"/>
              <w:right w:val="nil"/>
            </w:tcBorders>
            <w:shd w:val="clear" w:color="auto" w:fill="auto"/>
            <w:noWrap/>
            <w:hideMark/>
          </w:tcPr>
          <w:p w14:paraId="333603F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19,337 (43.7%)</w:t>
            </w:r>
          </w:p>
        </w:tc>
        <w:tc>
          <w:tcPr>
            <w:tcW w:w="1667" w:type="dxa"/>
            <w:tcBorders>
              <w:top w:val="nil"/>
              <w:left w:val="nil"/>
              <w:bottom w:val="nil"/>
              <w:right w:val="nil"/>
            </w:tcBorders>
            <w:shd w:val="clear" w:color="auto" w:fill="auto"/>
            <w:noWrap/>
            <w:hideMark/>
          </w:tcPr>
          <w:p w14:paraId="3A4209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28,373 (43.6%)</w:t>
            </w:r>
          </w:p>
        </w:tc>
        <w:tc>
          <w:tcPr>
            <w:tcW w:w="1668" w:type="dxa"/>
            <w:tcBorders>
              <w:top w:val="nil"/>
              <w:left w:val="nil"/>
              <w:bottom w:val="nil"/>
              <w:right w:val="nil"/>
            </w:tcBorders>
            <w:shd w:val="clear" w:color="auto" w:fill="auto"/>
            <w:noWrap/>
            <w:hideMark/>
          </w:tcPr>
          <w:p w14:paraId="1262CD2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752AE238" w14:textId="77777777" w:rsidTr="006F5124">
        <w:trPr>
          <w:trHeight w:val="288"/>
        </w:trPr>
        <w:tc>
          <w:tcPr>
            <w:tcW w:w="851" w:type="dxa"/>
            <w:tcBorders>
              <w:top w:val="nil"/>
              <w:left w:val="nil"/>
              <w:bottom w:val="nil"/>
              <w:right w:val="nil"/>
            </w:tcBorders>
            <w:shd w:val="clear" w:color="auto" w:fill="auto"/>
            <w:noWrap/>
            <w:hideMark/>
          </w:tcPr>
          <w:p w14:paraId="36F7652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BF08F3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66B309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D70CEE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2,758 (11.2%)</w:t>
            </w:r>
          </w:p>
        </w:tc>
        <w:tc>
          <w:tcPr>
            <w:tcW w:w="1668" w:type="dxa"/>
            <w:tcBorders>
              <w:top w:val="nil"/>
              <w:left w:val="nil"/>
              <w:bottom w:val="nil"/>
              <w:right w:val="nil"/>
            </w:tcBorders>
            <w:shd w:val="clear" w:color="auto" w:fill="auto"/>
            <w:noWrap/>
            <w:hideMark/>
          </w:tcPr>
          <w:p w14:paraId="6BBF924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9,512 (21.5%)</w:t>
            </w:r>
          </w:p>
        </w:tc>
        <w:tc>
          <w:tcPr>
            <w:tcW w:w="1667" w:type="dxa"/>
            <w:tcBorders>
              <w:top w:val="nil"/>
              <w:left w:val="nil"/>
              <w:bottom w:val="nil"/>
              <w:right w:val="nil"/>
            </w:tcBorders>
            <w:shd w:val="clear" w:color="auto" w:fill="auto"/>
            <w:noWrap/>
            <w:hideMark/>
          </w:tcPr>
          <w:p w14:paraId="2F5B4D3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9,514 (14.6%)</w:t>
            </w:r>
          </w:p>
        </w:tc>
        <w:tc>
          <w:tcPr>
            <w:tcW w:w="1668" w:type="dxa"/>
            <w:tcBorders>
              <w:top w:val="nil"/>
              <w:left w:val="nil"/>
              <w:bottom w:val="nil"/>
              <w:right w:val="nil"/>
            </w:tcBorders>
            <w:shd w:val="clear" w:color="auto" w:fill="auto"/>
            <w:noWrap/>
            <w:hideMark/>
          </w:tcPr>
          <w:p w14:paraId="5CAD087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0C26E1E8" w14:textId="77777777" w:rsidTr="006F5124">
        <w:trPr>
          <w:trHeight w:val="288"/>
        </w:trPr>
        <w:tc>
          <w:tcPr>
            <w:tcW w:w="851" w:type="dxa"/>
            <w:tcBorders>
              <w:top w:val="nil"/>
              <w:left w:val="nil"/>
              <w:bottom w:val="nil"/>
              <w:right w:val="nil"/>
            </w:tcBorders>
            <w:shd w:val="clear" w:color="auto" w:fill="auto"/>
            <w:noWrap/>
            <w:hideMark/>
          </w:tcPr>
          <w:p w14:paraId="09357D8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41C546A"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2DDF5A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6C941B6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2,882 (11.7%)</w:t>
            </w:r>
          </w:p>
        </w:tc>
        <w:tc>
          <w:tcPr>
            <w:tcW w:w="1668" w:type="dxa"/>
            <w:tcBorders>
              <w:top w:val="nil"/>
              <w:left w:val="nil"/>
              <w:bottom w:val="nil"/>
              <w:right w:val="nil"/>
            </w:tcBorders>
            <w:shd w:val="clear" w:color="auto" w:fill="auto"/>
            <w:noWrap/>
            <w:hideMark/>
          </w:tcPr>
          <w:p w14:paraId="08EB7C0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6,626 (15.0%)</w:t>
            </w:r>
          </w:p>
        </w:tc>
        <w:tc>
          <w:tcPr>
            <w:tcW w:w="1667" w:type="dxa"/>
            <w:tcBorders>
              <w:top w:val="nil"/>
              <w:left w:val="nil"/>
              <w:bottom w:val="nil"/>
              <w:right w:val="nil"/>
            </w:tcBorders>
            <w:shd w:val="clear" w:color="auto" w:fill="auto"/>
            <w:noWrap/>
            <w:hideMark/>
          </w:tcPr>
          <w:p w14:paraId="4D021B7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8,595 (13.2%)</w:t>
            </w:r>
          </w:p>
        </w:tc>
        <w:tc>
          <w:tcPr>
            <w:tcW w:w="1668" w:type="dxa"/>
            <w:tcBorders>
              <w:top w:val="nil"/>
              <w:left w:val="nil"/>
              <w:bottom w:val="nil"/>
              <w:right w:val="nil"/>
            </w:tcBorders>
            <w:shd w:val="clear" w:color="auto" w:fill="auto"/>
            <w:noWrap/>
            <w:hideMark/>
          </w:tcPr>
          <w:p w14:paraId="64E3A46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2D9D4266" w14:textId="77777777" w:rsidTr="006F5124">
        <w:trPr>
          <w:trHeight w:val="288"/>
        </w:trPr>
        <w:tc>
          <w:tcPr>
            <w:tcW w:w="851" w:type="dxa"/>
            <w:tcBorders>
              <w:top w:val="nil"/>
              <w:left w:val="nil"/>
              <w:bottom w:val="nil"/>
              <w:right w:val="nil"/>
            </w:tcBorders>
            <w:shd w:val="clear" w:color="auto" w:fill="auto"/>
            <w:noWrap/>
            <w:hideMark/>
          </w:tcPr>
          <w:p w14:paraId="4AB536A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4FDA4E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31AC8A7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4348A87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2,260 (78.4%)</w:t>
            </w:r>
          </w:p>
        </w:tc>
        <w:tc>
          <w:tcPr>
            <w:tcW w:w="1668" w:type="dxa"/>
            <w:tcBorders>
              <w:top w:val="nil"/>
              <w:left w:val="nil"/>
              <w:bottom w:val="nil"/>
              <w:right w:val="nil"/>
            </w:tcBorders>
            <w:shd w:val="clear" w:color="auto" w:fill="auto"/>
            <w:noWrap/>
            <w:hideMark/>
          </w:tcPr>
          <w:p w14:paraId="5573774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4,897 (73.9%)</w:t>
            </w:r>
          </w:p>
        </w:tc>
        <w:tc>
          <w:tcPr>
            <w:tcW w:w="1667" w:type="dxa"/>
            <w:tcBorders>
              <w:top w:val="nil"/>
              <w:left w:val="nil"/>
              <w:bottom w:val="nil"/>
              <w:right w:val="nil"/>
            </w:tcBorders>
            <w:shd w:val="clear" w:color="auto" w:fill="auto"/>
            <w:noWrap/>
            <w:hideMark/>
          </w:tcPr>
          <w:p w14:paraId="49B4CD4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6,391 (74.4%)</w:t>
            </w:r>
          </w:p>
        </w:tc>
        <w:tc>
          <w:tcPr>
            <w:tcW w:w="1668" w:type="dxa"/>
            <w:tcBorders>
              <w:top w:val="nil"/>
              <w:left w:val="nil"/>
              <w:bottom w:val="nil"/>
              <w:right w:val="nil"/>
            </w:tcBorders>
            <w:shd w:val="clear" w:color="auto" w:fill="auto"/>
            <w:noWrap/>
            <w:hideMark/>
          </w:tcPr>
          <w:p w14:paraId="3833930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76536DF4" w14:textId="77777777" w:rsidTr="006F5124">
        <w:trPr>
          <w:trHeight w:val="288"/>
        </w:trPr>
        <w:tc>
          <w:tcPr>
            <w:tcW w:w="851" w:type="dxa"/>
            <w:tcBorders>
              <w:top w:val="nil"/>
              <w:left w:val="nil"/>
              <w:bottom w:val="nil"/>
              <w:right w:val="nil"/>
            </w:tcBorders>
            <w:shd w:val="clear" w:color="auto" w:fill="auto"/>
            <w:noWrap/>
            <w:hideMark/>
          </w:tcPr>
          <w:p w14:paraId="0509136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8393F4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573DC58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7D0EA5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622 (21.6%)</w:t>
            </w:r>
          </w:p>
        </w:tc>
        <w:tc>
          <w:tcPr>
            <w:tcW w:w="1668" w:type="dxa"/>
            <w:tcBorders>
              <w:top w:val="nil"/>
              <w:left w:val="nil"/>
              <w:bottom w:val="nil"/>
              <w:right w:val="nil"/>
            </w:tcBorders>
            <w:shd w:val="clear" w:color="auto" w:fill="auto"/>
            <w:noWrap/>
            <w:hideMark/>
          </w:tcPr>
          <w:p w14:paraId="24BA30C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1,729 (26.1%)</w:t>
            </w:r>
          </w:p>
        </w:tc>
        <w:tc>
          <w:tcPr>
            <w:tcW w:w="1667" w:type="dxa"/>
            <w:tcBorders>
              <w:top w:val="nil"/>
              <w:left w:val="nil"/>
              <w:bottom w:val="nil"/>
              <w:right w:val="nil"/>
            </w:tcBorders>
            <w:shd w:val="clear" w:color="auto" w:fill="auto"/>
            <w:noWrap/>
            <w:hideMark/>
          </w:tcPr>
          <w:p w14:paraId="15EEAFE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2,204 (25.6%)</w:t>
            </w:r>
          </w:p>
        </w:tc>
        <w:tc>
          <w:tcPr>
            <w:tcW w:w="1668" w:type="dxa"/>
            <w:tcBorders>
              <w:top w:val="nil"/>
              <w:left w:val="nil"/>
              <w:bottom w:val="nil"/>
              <w:right w:val="nil"/>
            </w:tcBorders>
            <w:shd w:val="clear" w:color="auto" w:fill="auto"/>
            <w:noWrap/>
            <w:hideMark/>
          </w:tcPr>
          <w:p w14:paraId="00DE96F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1AE2FF7B" w14:textId="77777777" w:rsidTr="006F5124">
        <w:trPr>
          <w:trHeight w:val="288"/>
        </w:trPr>
        <w:tc>
          <w:tcPr>
            <w:tcW w:w="851" w:type="dxa"/>
            <w:tcBorders>
              <w:top w:val="nil"/>
              <w:left w:val="nil"/>
              <w:bottom w:val="nil"/>
              <w:right w:val="nil"/>
            </w:tcBorders>
            <w:shd w:val="clear" w:color="auto" w:fill="auto"/>
            <w:noWrap/>
            <w:hideMark/>
          </w:tcPr>
          <w:p w14:paraId="79AE281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2014-15</w:t>
            </w:r>
          </w:p>
        </w:tc>
        <w:tc>
          <w:tcPr>
            <w:tcW w:w="4689" w:type="dxa"/>
            <w:tcBorders>
              <w:top w:val="nil"/>
              <w:left w:val="nil"/>
              <w:bottom w:val="nil"/>
              <w:right w:val="nil"/>
            </w:tcBorders>
            <w:shd w:val="clear" w:color="auto" w:fill="auto"/>
            <w:noWrap/>
            <w:hideMark/>
          </w:tcPr>
          <w:p w14:paraId="294603A8"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7E07082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6ED02B2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26,834</w:t>
            </w:r>
          </w:p>
        </w:tc>
        <w:tc>
          <w:tcPr>
            <w:tcW w:w="1668" w:type="dxa"/>
            <w:tcBorders>
              <w:top w:val="nil"/>
              <w:left w:val="nil"/>
              <w:bottom w:val="nil"/>
              <w:right w:val="nil"/>
            </w:tcBorders>
            <w:shd w:val="clear" w:color="auto" w:fill="auto"/>
            <w:noWrap/>
            <w:hideMark/>
          </w:tcPr>
          <w:p w14:paraId="4315AFA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47,435</w:t>
            </w:r>
          </w:p>
        </w:tc>
        <w:tc>
          <w:tcPr>
            <w:tcW w:w="1667" w:type="dxa"/>
            <w:tcBorders>
              <w:top w:val="nil"/>
              <w:left w:val="nil"/>
              <w:bottom w:val="nil"/>
              <w:right w:val="nil"/>
            </w:tcBorders>
            <w:shd w:val="clear" w:color="auto" w:fill="auto"/>
            <w:noWrap/>
            <w:hideMark/>
          </w:tcPr>
          <w:p w14:paraId="32012E3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69,930</w:t>
            </w:r>
          </w:p>
        </w:tc>
        <w:tc>
          <w:tcPr>
            <w:tcW w:w="1668" w:type="dxa"/>
            <w:tcBorders>
              <w:top w:val="nil"/>
              <w:left w:val="nil"/>
              <w:bottom w:val="nil"/>
              <w:right w:val="nil"/>
            </w:tcBorders>
            <w:shd w:val="clear" w:color="auto" w:fill="auto"/>
            <w:noWrap/>
            <w:hideMark/>
          </w:tcPr>
          <w:p w14:paraId="7257519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328D2963" w14:textId="77777777" w:rsidTr="006F5124">
        <w:trPr>
          <w:trHeight w:val="288"/>
        </w:trPr>
        <w:tc>
          <w:tcPr>
            <w:tcW w:w="851" w:type="dxa"/>
            <w:tcBorders>
              <w:top w:val="nil"/>
              <w:left w:val="nil"/>
              <w:bottom w:val="nil"/>
              <w:right w:val="nil"/>
            </w:tcBorders>
            <w:shd w:val="clear" w:color="auto" w:fill="auto"/>
            <w:noWrap/>
            <w:hideMark/>
          </w:tcPr>
          <w:p w14:paraId="116FC68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81F453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32B0111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78CC10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c>
          <w:tcPr>
            <w:tcW w:w="1668" w:type="dxa"/>
            <w:tcBorders>
              <w:top w:val="nil"/>
              <w:left w:val="nil"/>
              <w:bottom w:val="nil"/>
              <w:right w:val="nil"/>
            </w:tcBorders>
            <w:shd w:val="clear" w:color="auto" w:fill="auto"/>
            <w:noWrap/>
            <w:hideMark/>
          </w:tcPr>
          <w:p w14:paraId="5DD6E8D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18</w:t>
            </w:r>
          </w:p>
        </w:tc>
        <w:tc>
          <w:tcPr>
            <w:tcW w:w="1667" w:type="dxa"/>
            <w:tcBorders>
              <w:top w:val="nil"/>
              <w:left w:val="nil"/>
              <w:bottom w:val="nil"/>
              <w:right w:val="nil"/>
            </w:tcBorders>
            <w:shd w:val="clear" w:color="auto" w:fill="auto"/>
            <w:noWrap/>
            <w:hideMark/>
          </w:tcPr>
          <w:p w14:paraId="18AE4C4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w:t>
            </w:r>
          </w:p>
        </w:tc>
        <w:tc>
          <w:tcPr>
            <w:tcW w:w="1668" w:type="dxa"/>
            <w:tcBorders>
              <w:top w:val="nil"/>
              <w:left w:val="nil"/>
              <w:bottom w:val="nil"/>
              <w:right w:val="nil"/>
            </w:tcBorders>
            <w:shd w:val="clear" w:color="auto" w:fill="auto"/>
            <w:noWrap/>
            <w:hideMark/>
          </w:tcPr>
          <w:p w14:paraId="71B11C0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60AB77A6" w14:textId="77777777" w:rsidTr="006F5124">
        <w:trPr>
          <w:trHeight w:val="288"/>
        </w:trPr>
        <w:tc>
          <w:tcPr>
            <w:tcW w:w="851" w:type="dxa"/>
            <w:tcBorders>
              <w:top w:val="nil"/>
              <w:left w:val="nil"/>
              <w:bottom w:val="nil"/>
              <w:right w:val="nil"/>
            </w:tcBorders>
            <w:shd w:val="clear" w:color="auto" w:fill="auto"/>
            <w:noWrap/>
            <w:hideMark/>
          </w:tcPr>
          <w:p w14:paraId="6C7983B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CBF11FF"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192229B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4EA6652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(9.9)</w:t>
            </w:r>
          </w:p>
        </w:tc>
        <w:tc>
          <w:tcPr>
            <w:tcW w:w="1668" w:type="dxa"/>
            <w:tcBorders>
              <w:top w:val="nil"/>
              <w:left w:val="nil"/>
              <w:bottom w:val="nil"/>
              <w:right w:val="nil"/>
            </w:tcBorders>
            <w:shd w:val="clear" w:color="auto" w:fill="auto"/>
            <w:noWrap/>
            <w:hideMark/>
          </w:tcPr>
          <w:p w14:paraId="6082B08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 (26.2)</w:t>
            </w:r>
          </w:p>
        </w:tc>
        <w:tc>
          <w:tcPr>
            <w:tcW w:w="1667" w:type="dxa"/>
            <w:tcBorders>
              <w:top w:val="nil"/>
              <w:left w:val="nil"/>
              <w:bottom w:val="nil"/>
              <w:right w:val="nil"/>
            </w:tcBorders>
            <w:shd w:val="clear" w:color="auto" w:fill="auto"/>
            <w:noWrap/>
            <w:hideMark/>
          </w:tcPr>
          <w:p w14:paraId="10BB097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 (22.5)</w:t>
            </w:r>
          </w:p>
        </w:tc>
        <w:tc>
          <w:tcPr>
            <w:tcW w:w="1668" w:type="dxa"/>
            <w:tcBorders>
              <w:top w:val="nil"/>
              <w:left w:val="nil"/>
              <w:bottom w:val="nil"/>
              <w:right w:val="nil"/>
            </w:tcBorders>
            <w:shd w:val="clear" w:color="auto" w:fill="auto"/>
            <w:noWrap/>
            <w:hideMark/>
          </w:tcPr>
          <w:p w14:paraId="72667BE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5EF77430" w14:textId="77777777" w:rsidTr="006F5124">
        <w:trPr>
          <w:trHeight w:val="288"/>
        </w:trPr>
        <w:tc>
          <w:tcPr>
            <w:tcW w:w="851" w:type="dxa"/>
            <w:tcBorders>
              <w:top w:val="nil"/>
              <w:left w:val="nil"/>
              <w:bottom w:val="nil"/>
              <w:right w:val="nil"/>
            </w:tcBorders>
            <w:shd w:val="clear" w:color="auto" w:fill="auto"/>
            <w:noWrap/>
            <w:hideMark/>
          </w:tcPr>
          <w:p w14:paraId="2D1A008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9934A7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029C374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3E028C2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3,818 (14.2%)</w:t>
            </w:r>
          </w:p>
        </w:tc>
        <w:tc>
          <w:tcPr>
            <w:tcW w:w="1668" w:type="dxa"/>
            <w:tcBorders>
              <w:top w:val="nil"/>
              <w:left w:val="nil"/>
              <w:bottom w:val="nil"/>
              <w:right w:val="nil"/>
            </w:tcBorders>
            <w:shd w:val="clear" w:color="auto" w:fill="auto"/>
            <w:noWrap/>
            <w:hideMark/>
          </w:tcPr>
          <w:p w14:paraId="02C7350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14,340 (30.2%)</w:t>
            </w:r>
          </w:p>
        </w:tc>
        <w:tc>
          <w:tcPr>
            <w:tcW w:w="1667" w:type="dxa"/>
            <w:tcBorders>
              <w:top w:val="nil"/>
              <w:left w:val="nil"/>
              <w:bottom w:val="nil"/>
              <w:right w:val="nil"/>
            </w:tcBorders>
            <w:shd w:val="clear" w:color="auto" w:fill="auto"/>
            <w:noWrap/>
            <w:hideMark/>
          </w:tcPr>
          <w:p w14:paraId="2F48E50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16,176 (23.1%)</w:t>
            </w:r>
          </w:p>
        </w:tc>
        <w:tc>
          <w:tcPr>
            <w:tcW w:w="1668" w:type="dxa"/>
            <w:tcBorders>
              <w:top w:val="nil"/>
              <w:left w:val="nil"/>
              <w:bottom w:val="nil"/>
              <w:right w:val="nil"/>
            </w:tcBorders>
            <w:shd w:val="clear" w:color="auto" w:fill="auto"/>
            <w:noWrap/>
            <w:hideMark/>
          </w:tcPr>
          <w:p w14:paraId="1A8798A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0C25539F" w14:textId="77777777" w:rsidTr="006F5124">
        <w:trPr>
          <w:trHeight w:val="288"/>
        </w:trPr>
        <w:tc>
          <w:tcPr>
            <w:tcW w:w="851" w:type="dxa"/>
            <w:tcBorders>
              <w:top w:val="nil"/>
              <w:left w:val="nil"/>
              <w:bottom w:val="nil"/>
              <w:right w:val="nil"/>
            </w:tcBorders>
            <w:shd w:val="clear" w:color="auto" w:fill="auto"/>
            <w:noWrap/>
            <w:hideMark/>
          </w:tcPr>
          <w:p w14:paraId="5631408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A84AAB8"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0E96397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3427AEA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93 (130.5)</w:t>
            </w:r>
          </w:p>
        </w:tc>
        <w:tc>
          <w:tcPr>
            <w:tcW w:w="1668" w:type="dxa"/>
            <w:tcBorders>
              <w:top w:val="nil"/>
              <w:left w:val="nil"/>
              <w:bottom w:val="nil"/>
              <w:right w:val="nil"/>
            </w:tcBorders>
            <w:shd w:val="clear" w:color="auto" w:fill="auto"/>
            <w:noWrap/>
            <w:hideMark/>
          </w:tcPr>
          <w:p w14:paraId="7162F78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203 (364.6)</w:t>
            </w:r>
          </w:p>
        </w:tc>
        <w:tc>
          <w:tcPr>
            <w:tcW w:w="1667" w:type="dxa"/>
            <w:tcBorders>
              <w:top w:val="nil"/>
              <w:left w:val="nil"/>
              <w:bottom w:val="nil"/>
              <w:right w:val="nil"/>
            </w:tcBorders>
            <w:shd w:val="clear" w:color="auto" w:fill="auto"/>
            <w:noWrap/>
            <w:hideMark/>
          </w:tcPr>
          <w:p w14:paraId="7CBEFA3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189 (347.3)</w:t>
            </w:r>
          </w:p>
        </w:tc>
        <w:tc>
          <w:tcPr>
            <w:tcW w:w="1668" w:type="dxa"/>
            <w:tcBorders>
              <w:top w:val="nil"/>
              <w:left w:val="nil"/>
              <w:bottom w:val="nil"/>
              <w:right w:val="nil"/>
            </w:tcBorders>
            <w:shd w:val="clear" w:color="auto" w:fill="auto"/>
            <w:noWrap/>
            <w:hideMark/>
          </w:tcPr>
          <w:p w14:paraId="4591F9B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4266BB01" w14:textId="77777777" w:rsidTr="006F5124">
        <w:trPr>
          <w:trHeight w:val="288"/>
        </w:trPr>
        <w:tc>
          <w:tcPr>
            <w:tcW w:w="851" w:type="dxa"/>
            <w:tcBorders>
              <w:top w:val="nil"/>
              <w:left w:val="nil"/>
              <w:bottom w:val="nil"/>
              <w:right w:val="nil"/>
            </w:tcBorders>
            <w:shd w:val="clear" w:color="auto" w:fill="auto"/>
            <w:noWrap/>
            <w:hideMark/>
          </w:tcPr>
          <w:p w14:paraId="0F05BD7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A41B19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75465B9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733E3F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$14,061</w:t>
            </w:r>
          </w:p>
        </w:tc>
        <w:tc>
          <w:tcPr>
            <w:tcW w:w="1668" w:type="dxa"/>
            <w:tcBorders>
              <w:top w:val="nil"/>
              <w:left w:val="nil"/>
              <w:bottom w:val="nil"/>
              <w:right w:val="nil"/>
            </w:tcBorders>
            <w:shd w:val="clear" w:color="auto" w:fill="auto"/>
            <w:noWrap/>
            <w:hideMark/>
          </w:tcPr>
          <w:p w14:paraId="0CBCE17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$29,178</w:t>
            </w:r>
          </w:p>
        </w:tc>
        <w:tc>
          <w:tcPr>
            <w:tcW w:w="1667" w:type="dxa"/>
            <w:tcBorders>
              <w:top w:val="nil"/>
              <w:left w:val="nil"/>
              <w:bottom w:val="nil"/>
              <w:right w:val="nil"/>
            </w:tcBorders>
            <w:shd w:val="clear" w:color="auto" w:fill="auto"/>
            <w:noWrap/>
            <w:hideMark/>
          </w:tcPr>
          <w:p w14:paraId="4522FD5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$23,737</w:t>
            </w:r>
          </w:p>
        </w:tc>
        <w:tc>
          <w:tcPr>
            <w:tcW w:w="1668" w:type="dxa"/>
            <w:tcBorders>
              <w:top w:val="nil"/>
              <w:left w:val="nil"/>
              <w:bottom w:val="nil"/>
              <w:right w:val="nil"/>
            </w:tcBorders>
            <w:shd w:val="clear" w:color="auto" w:fill="auto"/>
            <w:noWrap/>
            <w:hideMark/>
          </w:tcPr>
          <w:p w14:paraId="6A5E657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67BE60F0" w14:textId="77777777" w:rsidTr="006F5124">
        <w:trPr>
          <w:trHeight w:val="288"/>
        </w:trPr>
        <w:tc>
          <w:tcPr>
            <w:tcW w:w="851" w:type="dxa"/>
            <w:tcBorders>
              <w:top w:val="nil"/>
              <w:left w:val="nil"/>
              <w:bottom w:val="nil"/>
              <w:right w:val="nil"/>
            </w:tcBorders>
            <w:shd w:val="clear" w:color="auto" w:fill="auto"/>
            <w:noWrap/>
            <w:hideMark/>
          </w:tcPr>
          <w:p w14:paraId="7A20E11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A6907E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0A5FFD6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1F89613D"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74642E8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425B1624"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3B6D360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4CFC1FAF" w14:textId="77777777" w:rsidTr="006F5124">
        <w:trPr>
          <w:trHeight w:val="288"/>
        </w:trPr>
        <w:tc>
          <w:tcPr>
            <w:tcW w:w="851" w:type="dxa"/>
            <w:tcBorders>
              <w:top w:val="nil"/>
              <w:left w:val="nil"/>
              <w:bottom w:val="nil"/>
              <w:right w:val="nil"/>
            </w:tcBorders>
            <w:shd w:val="clear" w:color="auto" w:fill="auto"/>
            <w:noWrap/>
            <w:hideMark/>
          </w:tcPr>
          <w:p w14:paraId="0D99D273"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612B318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511831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833E32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4,385 (16.3%)</w:t>
            </w:r>
          </w:p>
        </w:tc>
        <w:tc>
          <w:tcPr>
            <w:tcW w:w="1668" w:type="dxa"/>
            <w:tcBorders>
              <w:top w:val="nil"/>
              <w:left w:val="nil"/>
              <w:bottom w:val="nil"/>
              <w:right w:val="nil"/>
            </w:tcBorders>
            <w:shd w:val="clear" w:color="auto" w:fill="auto"/>
            <w:noWrap/>
            <w:hideMark/>
          </w:tcPr>
          <w:p w14:paraId="699EDCF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4,460 (9.4%)</w:t>
            </w:r>
          </w:p>
        </w:tc>
        <w:tc>
          <w:tcPr>
            <w:tcW w:w="1667" w:type="dxa"/>
            <w:tcBorders>
              <w:top w:val="nil"/>
              <w:left w:val="nil"/>
              <w:bottom w:val="nil"/>
              <w:right w:val="nil"/>
            </w:tcBorders>
            <w:shd w:val="clear" w:color="auto" w:fill="auto"/>
            <w:noWrap/>
            <w:hideMark/>
          </w:tcPr>
          <w:p w14:paraId="0E908CC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7,974 (11.4%)</w:t>
            </w:r>
          </w:p>
        </w:tc>
        <w:tc>
          <w:tcPr>
            <w:tcW w:w="1668" w:type="dxa"/>
            <w:tcBorders>
              <w:top w:val="nil"/>
              <w:left w:val="nil"/>
              <w:bottom w:val="nil"/>
              <w:right w:val="nil"/>
            </w:tcBorders>
            <w:shd w:val="clear" w:color="auto" w:fill="auto"/>
            <w:noWrap/>
            <w:hideMark/>
          </w:tcPr>
          <w:p w14:paraId="5A74C6D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2750EDDF" w14:textId="77777777" w:rsidTr="006F5124">
        <w:trPr>
          <w:trHeight w:val="288"/>
        </w:trPr>
        <w:tc>
          <w:tcPr>
            <w:tcW w:w="851" w:type="dxa"/>
            <w:tcBorders>
              <w:top w:val="nil"/>
              <w:left w:val="nil"/>
              <w:bottom w:val="nil"/>
              <w:right w:val="nil"/>
            </w:tcBorders>
            <w:shd w:val="clear" w:color="auto" w:fill="auto"/>
            <w:noWrap/>
            <w:hideMark/>
          </w:tcPr>
          <w:p w14:paraId="7F585BA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BC1292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3C539C7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6EA5A9F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11,892 (44.3%)</w:t>
            </w:r>
          </w:p>
        </w:tc>
        <w:tc>
          <w:tcPr>
            <w:tcW w:w="1668" w:type="dxa"/>
            <w:tcBorders>
              <w:top w:val="nil"/>
              <w:left w:val="nil"/>
              <w:bottom w:val="nil"/>
              <w:right w:val="nil"/>
            </w:tcBorders>
            <w:shd w:val="clear" w:color="auto" w:fill="auto"/>
            <w:noWrap/>
            <w:hideMark/>
          </w:tcPr>
          <w:p w14:paraId="647544E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21,253 (44.8%)</w:t>
            </w:r>
          </w:p>
        </w:tc>
        <w:tc>
          <w:tcPr>
            <w:tcW w:w="1667" w:type="dxa"/>
            <w:tcBorders>
              <w:top w:val="nil"/>
              <w:left w:val="nil"/>
              <w:bottom w:val="nil"/>
              <w:right w:val="nil"/>
            </w:tcBorders>
            <w:shd w:val="clear" w:color="auto" w:fill="auto"/>
            <w:noWrap/>
            <w:hideMark/>
          </w:tcPr>
          <w:p w14:paraId="01E282A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31,258 (44.7%)</w:t>
            </w:r>
          </w:p>
        </w:tc>
        <w:tc>
          <w:tcPr>
            <w:tcW w:w="1668" w:type="dxa"/>
            <w:tcBorders>
              <w:top w:val="nil"/>
              <w:left w:val="nil"/>
              <w:bottom w:val="nil"/>
              <w:right w:val="nil"/>
            </w:tcBorders>
            <w:shd w:val="clear" w:color="auto" w:fill="auto"/>
            <w:noWrap/>
            <w:hideMark/>
          </w:tcPr>
          <w:p w14:paraId="69BA335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415ABEE7" w14:textId="77777777" w:rsidTr="006F5124">
        <w:trPr>
          <w:trHeight w:val="288"/>
        </w:trPr>
        <w:tc>
          <w:tcPr>
            <w:tcW w:w="851" w:type="dxa"/>
            <w:tcBorders>
              <w:top w:val="nil"/>
              <w:left w:val="nil"/>
              <w:bottom w:val="nil"/>
              <w:right w:val="nil"/>
            </w:tcBorders>
            <w:shd w:val="clear" w:color="auto" w:fill="auto"/>
            <w:noWrap/>
            <w:hideMark/>
          </w:tcPr>
          <w:p w14:paraId="66C25D4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98046E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592CDFE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996DF3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3,282 (12.2%)</w:t>
            </w:r>
          </w:p>
        </w:tc>
        <w:tc>
          <w:tcPr>
            <w:tcW w:w="1668" w:type="dxa"/>
            <w:tcBorders>
              <w:top w:val="nil"/>
              <w:left w:val="nil"/>
              <w:bottom w:val="nil"/>
              <w:right w:val="nil"/>
            </w:tcBorders>
            <w:shd w:val="clear" w:color="auto" w:fill="auto"/>
            <w:noWrap/>
            <w:hideMark/>
          </w:tcPr>
          <w:p w14:paraId="1BFEE8B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10,867 (22.9%)</w:t>
            </w:r>
          </w:p>
        </w:tc>
        <w:tc>
          <w:tcPr>
            <w:tcW w:w="1667" w:type="dxa"/>
            <w:tcBorders>
              <w:top w:val="nil"/>
              <w:left w:val="nil"/>
              <w:bottom w:val="nil"/>
              <w:right w:val="nil"/>
            </w:tcBorders>
            <w:shd w:val="clear" w:color="auto" w:fill="auto"/>
            <w:noWrap/>
            <w:hideMark/>
          </w:tcPr>
          <w:p w14:paraId="1D32D89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10,869 (15.5%)</w:t>
            </w:r>
          </w:p>
        </w:tc>
        <w:tc>
          <w:tcPr>
            <w:tcW w:w="1668" w:type="dxa"/>
            <w:tcBorders>
              <w:top w:val="nil"/>
              <w:left w:val="nil"/>
              <w:bottom w:val="nil"/>
              <w:right w:val="nil"/>
            </w:tcBorders>
            <w:shd w:val="clear" w:color="auto" w:fill="auto"/>
            <w:noWrap/>
            <w:hideMark/>
          </w:tcPr>
          <w:p w14:paraId="42AB514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31ED0D8F" w14:textId="77777777" w:rsidTr="006F5124">
        <w:trPr>
          <w:trHeight w:val="288"/>
        </w:trPr>
        <w:tc>
          <w:tcPr>
            <w:tcW w:w="851" w:type="dxa"/>
            <w:tcBorders>
              <w:top w:val="nil"/>
              <w:left w:val="nil"/>
              <w:bottom w:val="nil"/>
              <w:right w:val="nil"/>
            </w:tcBorders>
            <w:shd w:val="clear" w:color="auto" w:fill="auto"/>
            <w:noWrap/>
            <w:hideMark/>
          </w:tcPr>
          <w:p w14:paraId="515A8C2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9BF345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5746EF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753675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3,246 (12.1%)</w:t>
            </w:r>
          </w:p>
        </w:tc>
        <w:tc>
          <w:tcPr>
            <w:tcW w:w="1668" w:type="dxa"/>
            <w:tcBorders>
              <w:top w:val="nil"/>
              <w:left w:val="nil"/>
              <w:bottom w:val="nil"/>
              <w:right w:val="nil"/>
            </w:tcBorders>
            <w:shd w:val="clear" w:color="auto" w:fill="auto"/>
            <w:noWrap/>
            <w:hideMark/>
          </w:tcPr>
          <w:p w14:paraId="35AF8EE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7,209 (15.2%)</w:t>
            </w:r>
          </w:p>
        </w:tc>
        <w:tc>
          <w:tcPr>
            <w:tcW w:w="1667" w:type="dxa"/>
            <w:tcBorders>
              <w:top w:val="nil"/>
              <w:left w:val="nil"/>
              <w:bottom w:val="nil"/>
              <w:right w:val="nil"/>
            </w:tcBorders>
            <w:shd w:val="clear" w:color="auto" w:fill="auto"/>
            <w:noWrap/>
            <w:hideMark/>
          </w:tcPr>
          <w:p w14:paraId="2B0B07A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9,363 (13.4%)</w:t>
            </w:r>
          </w:p>
        </w:tc>
        <w:tc>
          <w:tcPr>
            <w:tcW w:w="1668" w:type="dxa"/>
            <w:tcBorders>
              <w:top w:val="nil"/>
              <w:left w:val="nil"/>
              <w:bottom w:val="nil"/>
              <w:right w:val="nil"/>
            </w:tcBorders>
            <w:shd w:val="clear" w:color="auto" w:fill="auto"/>
            <w:noWrap/>
            <w:hideMark/>
          </w:tcPr>
          <w:p w14:paraId="61310DD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2D5BF613" w14:textId="77777777" w:rsidTr="006F5124">
        <w:trPr>
          <w:trHeight w:val="288"/>
        </w:trPr>
        <w:tc>
          <w:tcPr>
            <w:tcW w:w="851" w:type="dxa"/>
            <w:tcBorders>
              <w:top w:val="nil"/>
              <w:left w:val="nil"/>
              <w:bottom w:val="nil"/>
              <w:right w:val="nil"/>
            </w:tcBorders>
            <w:shd w:val="clear" w:color="auto" w:fill="auto"/>
            <w:noWrap/>
            <w:hideMark/>
          </w:tcPr>
          <w:p w14:paraId="6E2DE49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1A847A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5FD2C6B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341F031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2,555 (78.7%)</w:t>
            </w:r>
          </w:p>
        </w:tc>
        <w:tc>
          <w:tcPr>
            <w:tcW w:w="1668" w:type="dxa"/>
            <w:tcBorders>
              <w:top w:val="nil"/>
              <w:left w:val="nil"/>
              <w:bottom w:val="nil"/>
              <w:right w:val="nil"/>
            </w:tcBorders>
            <w:shd w:val="clear" w:color="auto" w:fill="auto"/>
            <w:noWrap/>
            <w:hideMark/>
          </w:tcPr>
          <w:p w14:paraId="24C79A8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5,463 (75.8%)</w:t>
            </w:r>
          </w:p>
        </w:tc>
        <w:tc>
          <w:tcPr>
            <w:tcW w:w="1667" w:type="dxa"/>
            <w:tcBorders>
              <w:top w:val="nil"/>
              <w:left w:val="nil"/>
              <w:bottom w:val="nil"/>
              <w:right w:val="nil"/>
            </w:tcBorders>
            <w:shd w:val="clear" w:color="auto" w:fill="auto"/>
            <w:noWrap/>
            <w:hideMark/>
          </w:tcPr>
          <w:p w14:paraId="187FCD7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7,102 (75.9%)</w:t>
            </w:r>
          </w:p>
        </w:tc>
        <w:tc>
          <w:tcPr>
            <w:tcW w:w="1668" w:type="dxa"/>
            <w:tcBorders>
              <w:top w:val="nil"/>
              <w:left w:val="nil"/>
              <w:bottom w:val="nil"/>
              <w:right w:val="nil"/>
            </w:tcBorders>
            <w:shd w:val="clear" w:color="auto" w:fill="auto"/>
            <w:noWrap/>
            <w:hideMark/>
          </w:tcPr>
          <w:p w14:paraId="79FB00D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01934784" w14:textId="77777777" w:rsidTr="006F5124">
        <w:trPr>
          <w:trHeight w:val="288"/>
        </w:trPr>
        <w:tc>
          <w:tcPr>
            <w:tcW w:w="851" w:type="dxa"/>
            <w:tcBorders>
              <w:top w:val="nil"/>
              <w:left w:val="nil"/>
              <w:bottom w:val="nil"/>
              <w:right w:val="nil"/>
            </w:tcBorders>
            <w:shd w:val="clear" w:color="auto" w:fill="auto"/>
            <w:noWrap/>
            <w:hideMark/>
          </w:tcPr>
          <w:p w14:paraId="3BFBF2C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B9D4E6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6CD683C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C8AAE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691 (21.3%)</w:t>
            </w:r>
          </w:p>
        </w:tc>
        <w:tc>
          <w:tcPr>
            <w:tcW w:w="1668" w:type="dxa"/>
            <w:tcBorders>
              <w:top w:val="nil"/>
              <w:left w:val="nil"/>
              <w:bottom w:val="nil"/>
              <w:right w:val="nil"/>
            </w:tcBorders>
            <w:shd w:val="clear" w:color="auto" w:fill="auto"/>
            <w:noWrap/>
            <w:hideMark/>
          </w:tcPr>
          <w:p w14:paraId="6F49E83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1,746 (24.2%)</w:t>
            </w:r>
          </w:p>
        </w:tc>
        <w:tc>
          <w:tcPr>
            <w:tcW w:w="1667" w:type="dxa"/>
            <w:tcBorders>
              <w:top w:val="nil"/>
              <w:left w:val="nil"/>
              <w:bottom w:val="nil"/>
              <w:right w:val="nil"/>
            </w:tcBorders>
            <w:shd w:val="clear" w:color="auto" w:fill="auto"/>
            <w:noWrap/>
            <w:hideMark/>
          </w:tcPr>
          <w:p w14:paraId="015E726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2,261 (24.1%)</w:t>
            </w:r>
          </w:p>
        </w:tc>
        <w:tc>
          <w:tcPr>
            <w:tcW w:w="1668" w:type="dxa"/>
            <w:tcBorders>
              <w:top w:val="nil"/>
              <w:left w:val="nil"/>
              <w:bottom w:val="nil"/>
              <w:right w:val="nil"/>
            </w:tcBorders>
            <w:shd w:val="clear" w:color="auto" w:fill="auto"/>
            <w:noWrap/>
            <w:hideMark/>
          </w:tcPr>
          <w:p w14:paraId="1F57ACF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r>
      <w:tr w:rsidR="0055060F" w:rsidRPr="0055060F" w14:paraId="4CD121AC" w14:textId="77777777" w:rsidTr="006F5124">
        <w:trPr>
          <w:trHeight w:val="288"/>
        </w:trPr>
        <w:tc>
          <w:tcPr>
            <w:tcW w:w="851" w:type="dxa"/>
            <w:tcBorders>
              <w:top w:val="nil"/>
              <w:left w:val="nil"/>
              <w:bottom w:val="nil"/>
              <w:right w:val="nil"/>
            </w:tcBorders>
            <w:shd w:val="clear" w:color="auto" w:fill="auto"/>
            <w:noWrap/>
            <w:hideMark/>
          </w:tcPr>
          <w:p w14:paraId="0A2B526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2015-16</w:t>
            </w:r>
          </w:p>
        </w:tc>
        <w:tc>
          <w:tcPr>
            <w:tcW w:w="4689" w:type="dxa"/>
            <w:tcBorders>
              <w:top w:val="nil"/>
              <w:left w:val="nil"/>
              <w:bottom w:val="nil"/>
              <w:right w:val="nil"/>
            </w:tcBorders>
            <w:shd w:val="clear" w:color="auto" w:fill="auto"/>
            <w:noWrap/>
            <w:hideMark/>
          </w:tcPr>
          <w:p w14:paraId="3B04370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2BBF144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26,389</w:t>
            </w:r>
          </w:p>
        </w:tc>
        <w:tc>
          <w:tcPr>
            <w:tcW w:w="1667" w:type="dxa"/>
            <w:tcBorders>
              <w:top w:val="nil"/>
              <w:left w:val="nil"/>
              <w:bottom w:val="nil"/>
              <w:right w:val="nil"/>
            </w:tcBorders>
            <w:shd w:val="clear" w:color="auto" w:fill="auto"/>
            <w:noWrap/>
            <w:hideMark/>
          </w:tcPr>
          <w:p w14:paraId="5C7AC03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35,822</w:t>
            </w:r>
          </w:p>
        </w:tc>
        <w:tc>
          <w:tcPr>
            <w:tcW w:w="1668" w:type="dxa"/>
            <w:tcBorders>
              <w:top w:val="nil"/>
              <w:left w:val="nil"/>
              <w:bottom w:val="nil"/>
              <w:right w:val="nil"/>
            </w:tcBorders>
            <w:shd w:val="clear" w:color="auto" w:fill="auto"/>
            <w:noWrap/>
            <w:hideMark/>
          </w:tcPr>
          <w:p w14:paraId="6C2DBE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65,361</w:t>
            </w:r>
          </w:p>
        </w:tc>
        <w:tc>
          <w:tcPr>
            <w:tcW w:w="1667" w:type="dxa"/>
            <w:tcBorders>
              <w:top w:val="nil"/>
              <w:left w:val="nil"/>
              <w:bottom w:val="nil"/>
              <w:right w:val="nil"/>
            </w:tcBorders>
            <w:shd w:val="clear" w:color="auto" w:fill="auto"/>
            <w:noWrap/>
            <w:hideMark/>
          </w:tcPr>
          <w:p w14:paraId="31E1B78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95,214</w:t>
            </w:r>
          </w:p>
        </w:tc>
        <w:tc>
          <w:tcPr>
            <w:tcW w:w="1668" w:type="dxa"/>
            <w:tcBorders>
              <w:top w:val="nil"/>
              <w:left w:val="nil"/>
              <w:bottom w:val="nil"/>
              <w:right w:val="nil"/>
            </w:tcBorders>
            <w:shd w:val="clear" w:color="auto" w:fill="auto"/>
            <w:noWrap/>
            <w:hideMark/>
          </w:tcPr>
          <w:p w14:paraId="3B4B24D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20,854</w:t>
            </w:r>
          </w:p>
        </w:tc>
      </w:tr>
      <w:tr w:rsidR="0055060F" w:rsidRPr="0055060F" w14:paraId="36511109" w14:textId="77777777" w:rsidTr="006F5124">
        <w:trPr>
          <w:trHeight w:val="288"/>
        </w:trPr>
        <w:tc>
          <w:tcPr>
            <w:tcW w:w="851" w:type="dxa"/>
            <w:tcBorders>
              <w:top w:val="nil"/>
              <w:left w:val="nil"/>
              <w:bottom w:val="nil"/>
              <w:right w:val="nil"/>
            </w:tcBorders>
            <w:shd w:val="clear" w:color="auto" w:fill="auto"/>
            <w:noWrap/>
            <w:hideMark/>
          </w:tcPr>
          <w:p w14:paraId="0E05ADF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AEF6E1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1E602DC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c>
          <w:tcPr>
            <w:tcW w:w="1667" w:type="dxa"/>
            <w:tcBorders>
              <w:top w:val="nil"/>
              <w:left w:val="nil"/>
              <w:bottom w:val="nil"/>
              <w:right w:val="nil"/>
            </w:tcBorders>
            <w:shd w:val="clear" w:color="auto" w:fill="auto"/>
            <w:noWrap/>
            <w:hideMark/>
          </w:tcPr>
          <w:p w14:paraId="6AC8B33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w:t>
            </w:r>
          </w:p>
        </w:tc>
        <w:tc>
          <w:tcPr>
            <w:tcW w:w="1668" w:type="dxa"/>
            <w:tcBorders>
              <w:top w:val="nil"/>
              <w:left w:val="nil"/>
              <w:bottom w:val="nil"/>
              <w:right w:val="nil"/>
            </w:tcBorders>
            <w:shd w:val="clear" w:color="auto" w:fill="auto"/>
            <w:noWrap/>
            <w:hideMark/>
          </w:tcPr>
          <w:p w14:paraId="3090E86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w:t>
            </w:r>
          </w:p>
        </w:tc>
        <w:tc>
          <w:tcPr>
            <w:tcW w:w="1667" w:type="dxa"/>
            <w:tcBorders>
              <w:top w:val="nil"/>
              <w:left w:val="nil"/>
              <w:bottom w:val="nil"/>
              <w:right w:val="nil"/>
            </w:tcBorders>
            <w:shd w:val="clear" w:color="auto" w:fill="auto"/>
            <w:noWrap/>
            <w:hideMark/>
          </w:tcPr>
          <w:p w14:paraId="422F942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36</w:t>
            </w:r>
          </w:p>
        </w:tc>
        <w:tc>
          <w:tcPr>
            <w:tcW w:w="1668" w:type="dxa"/>
            <w:tcBorders>
              <w:top w:val="nil"/>
              <w:left w:val="nil"/>
              <w:bottom w:val="nil"/>
              <w:right w:val="nil"/>
            </w:tcBorders>
            <w:shd w:val="clear" w:color="auto" w:fill="auto"/>
            <w:noWrap/>
            <w:hideMark/>
          </w:tcPr>
          <w:p w14:paraId="3653578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w:t>
            </w:r>
          </w:p>
        </w:tc>
      </w:tr>
      <w:tr w:rsidR="0055060F" w:rsidRPr="0055060F" w14:paraId="4960755B" w14:textId="77777777" w:rsidTr="006F5124">
        <w:trPr>
          <w:trHeight w:val="288"/>
        </w:trPr>
        <w:tc>
          <w:tcPr>
            <w:tcW w:w="851" w:type="dxa"/>
            <w:tcBorders>
              <w:top w:val="nil"/>
              <w:left w:val="nil"/>
              <w:bottom w:val="nil"/>
              <w:right w:val="nil"/>
            </w:tcBorders>
            <w:shd w:val="clear" w:color="auto" w:fill="auto"/>
            <w:noWrap/>
            <w:hideMark/>
          </w:tcPr>
          <w:p w14:paraId="5F0754F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752971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767C0D2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7 (12.8)</w:t>
            </w:r>
          </w:p>
        </w:tc>
        <w:tc>
          <w:tcPr>
            <w:tcW w:w="1667" w:type="dxa"/>
            <w:tcBorders>
              <w:top w:val="nil"/>
              <w:left w:val="nil"/>
              <w:bottom w:val="nil"/>
              <w:right w:val="nil"/>
            </w:tcBorders>
            <w:shd w:val="clear" w:color="auto" w:fill="auto"/>
            <w:noWrap/>
            <w:hideMark/>
          </w:tcPr>
          <w:p w14:paraId="10114DF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(10.2)</w:t>
            </w:r>
          </w:p>
        </w:tc>
        <w:tc>
          <w:tcPr>
            <w:tcW w:w="1668" w:type="dxa"/>
            <w:tcBorders>
              <w:top w:val="nil"/>
              <w:left w:val="nil"/>
              <w:bottom w:val="nil"/>
              <w:right w:val="nil"/>
            </w:tcBorders>
            <w:shd w:val="clear" w:color="auto" w:fill="auto"/>
            <w:noWrap/>
            <w:hideMark/>
          </w:tcPr>
          <w:p w14:paraId="02E7AFA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14 (22.9)</w:t>
            </w:r>
          </w:p>
        </w:tc>
        <w:tc>
          <w:tcPr>
            <w:tcW w:w="1667" w:type="dxa"/>
            <w:tcBorders>
              <w:top w:val="nil"/>
              <w:left w:val="nil"/>
              <w:bottom w:val="nil"/>
              <w:right w:val="nil"/>
            </w:tcBorders>
            <w:shd w:val="clear" w:color="auto" w:fill="auto"/>
            <w:noWrap/>
            <w:hideMark/>
          </w:tcPr>
          <w:p w14:paraId="0D4A6DB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 (19.9)</w:t>
            </w:r>
          </w:p>
        </w:tc>
        <w:tc>
          <w:tcPr>
            <w:tcW w:w="1668" w:type="dxa"/>
            <w:tcBorders>
              <w:top w:val="nil"/>
              <w:left w:val="nil"/>
              <w:bottom w:val="nil"/>
              <w:right w:val="nil"/>
            </w:tcBorders>
            <w:shd w:val="clear" w:color="auto" w:fill="auto"/>
            <w:noWrap/>
            <w:hideMark/>
          </w:tcPr>
          <w:p w14:paraId="7B60BDD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 (21.6)</w:t>
            </w:r>
          </w:p>
        </w:tc>
      </w:tr>
      <w:tr w:rsidR="0055060F" w:rsidRPr="0055060F" w14:paraId="1FAB4D2A" w14:textId="77777777" w:rsidTr="006F5124">
        <w:trPr>
          <w:trHeight w:val="288"/>
        </w:trPr>
        <w:tc>
          <w:tcPr>
            <w:tcW w:w="851" w:type="dxa"/>
            <w:tcBorders>
              <w:top w:val="nil"/>
              <w:left w:val="nil"/>
              <w:bottom w:val="nil"/>
              <w:right w:val="nil"/>
            </w:tcBorders>
            <w:shd w:val="clear" w:color="auto" w:fill="auto"/>
            <w:noWrap/>
            <w:hideMark/>
          </w:tcPr>
          <w:p w14:paraId="148309E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21F1D8A"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7EBCE2F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2,077 (7.9%)</w:t>
            </w:r>
          </w:p>
        </w:tc>
        <w:tc>
          <w:tcPr>
            <w:tcW w:w="1667" w:type="dxa"/>
            <w:tcBorders>
              <w:top w:val="nil"/>
              <w:left w:val="nil"/>
              <w:bottom w:val="nil"/>
              <w:right w:val="nil"/>
            </w:tcBorders>
            <w:shd w:val="clear" w:color="auto" w:fill="auto"/>
            <w:noWrap/>
            <w:hideMark/>
          </w:tcPr>
          <w:p w14:paraId="2F5C018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5,078 (14.2%)</w:t>
            </w:r>
          </w:p>
        </w:tc>
        <w:tc>
          <w:tcPr>
            <w:tcW w:w="1668" w:type="dxa"/>
            <w:tcBorders>
              <w:top w:val="nil"/>
              <w:left w:val="nil"/>
              <w:bottom w:val="nil"/>
              <w:right w:val="nil"/>
            </w:tcBorders>
            <w:shd w:val="clear" w:color="auto" w:fill="auto"/>
            <w:noWrap/>
            <w:hideMark/>
          </w:tcPr>
          <w:p w14:paraId="77B3D39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17,748 (27.2%)</w:t>
            </w:r>
          </w:p>
        </w:tc>
        <w:tc>
          <w:tcPr>
            <w:tcW w:w="1667" w:type="dxa"/>
            <w:tcBorders>
              <w:top w:val="nil"/>
              <w:left w:val="nil"/>
              <w:bottom w:val="nil"/>
              <w:right w:val="nil"/>
            </w:tcBorders>
            <w:shd w:val="clear" w:color="auto" w:fill="auto"/>
            <w:noWrap/>
            <w:hideMark/>
          </w:tcPr>
          <w:p w14:paraId="48C9142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20,122 (21.1%)</w:t>
            </w:r>
          </w:p>
        </w:tc>
        <w:tc>
          <w:tcPr>
            <w:tcW w:w="1668" w:type="dxa"/>
            <w:tcBorders>
              <w:top w:val="nil"/>
              <w:left w:val="nil"/>
              <w:bottom w:val="nil"/>
              <w:right w:val="nil"/>
            </w:tcBorders>
            <w:shd w:val="clear" w:color="auto" w:fill="auto"/>
            <w:noWrap/>
            <w:hideMark/>
          </w:tcPr>
          <w:p w14:paraId="651632E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2,217 (10.6%)</w:t>
            </w:r>
          </w:p>
        </w:tc>
      </w:tr>
      <w:tr w:rsidR="0055060F" w:rsidRPr="0055060F" w14:paraId="7237BDAE" w14:textId="77777777" w:rsidTr="006F5124">
        <w:trPr>
          <w:trHeight w:val="288"/>
        </w:trPr>
        <w:tc>
          <w:tcPr>
            <w:tcW w:w="851" w:type="dxa"/>
            <w:tcBorders>
              <w:top w:val="nil"/>
              <w:left w:val="nil"/>
              <w:bottom w:val="nil"/>
              <w:right w:val="nil"/>
            </w:tcBorders>
            <w:shd w:val="clear" w:color="auto" w:fill="auto"/>
            <w:noWrap/>
            <w:hideMark/>
          </w:tcPr>
          <w:p w14:paraId="09BC132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F37C9A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6A3F3F7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102 (182.2)</w:t>
            </w:r>
          </w:p>
        </w:tc>
        <w:tc>
          <w:tcPr>
            <w:tcW w:w="1667" w:type="dxa"/>
            <w:tcBorders>
              <w:top w:val="nil"/>
              <w:left w:val="nil"/>
              <w:bottom w:val="nil"/>
              <w:right w:val="nil"/>
            </w:tcBorders>
            <w:shd w:val="clear" w:color="auto" w:fill="auto"/>
            <w:noWrap/>
            <w:hideMark/>
          </w:tcPr>
          <w:p w14:paraId="17729C7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99 (162.4)</w:t>
            </w:r>
          </w:p>
        </w:tc>
        <w:tc>
          <w:tcPr>
            <w:tcW w:w="1668" w:type="dxa"/>
            <w:tcBorders>
              <w:top w:val="nil"/>
              <w:left w:val="nil"/>
              <w:bottom w:val="nil"/>
              <w:right w:val="nil"/>
            </w:tcBorders>
            <w:shd w:val="clear" w:color="auto" w:fill="auto"/>
            <w:noWrap/>
            <w:hideMark/>
          </w:tcPr>
          <w:p w14:paraId="22EA1C3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194 (372.3)</w:t>
            </w:r>
          </w:p>
        </w:tc>
        <w:tc>
          <w:tcPr>
            <w:tcW w:w="1667" w:type="dxa"/>
            <w:tcBorders>
              <w:top w:val="nil"/>
              <w:left w:val="nil"/>
              <w:bottom w:val="nil"/>
              <w:right w:val="nil"/>
            </w:tcBorders>
            <w:shd w:val="clear" w:color="auto" w:fill="auto"/>
            <w:noWrap/>
            <w:hideMark/>
          </w:tcPr>
          <w:p w14:paraId="0A4A05D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180 (354.0)</w:t>
            </w:r>
          </w:p>
        </w:tc>
        <w:tc>
          <w:tcPr>
            <w:tcW w:w="1668" w:type="dxa"/>
            <w:tcBorders>
              <w:top w:val="nil"/>
              <w:left w:val="nil"/>
              <w:bottom w:val="nil"/>
              <w:right w:val="nil"/>
            </w:tcBorders>
            <w:shd w:val="clear" w:color="auto" w:fill="auto"/>
            <w:noWrap/>
            <w:hideMark/>
          </w:tcPr>
          <w:p w14:paraId="54CDB22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141 (263.7)</w:t>
            </w:r>
          </w:p>
        </w:tc>
      </w:tr>
      <w:tr w:rsidR="0055060F" w:rsidRPr="0055060F" w14:paraId="4CB00AAD" w14:textId="77777777" w:rsidTr="006F5124">
        <w:trPr>
          <w:trHeight w:val="288"/>
        </w:trPr>
        <w:tc>
          <w:tcPr>
            <w:tcW w:w="851" w:type="dxa"/>
            <w:tcBorders>
              <w:top w:val="nil"/>
              <w:left w:val="nil"/>
              <w:bottom w:val="nil"/>
              <w:right w:val="nil"/>
            </w:tcBorders>
            <w:shd w:val="clear" w:color="auto" w:fill="auto"/>
            <w:noWrap/>
            <w:hideMark/>
          </w:tcPr>
          <w:p w14:paraId="5F74BBA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C50418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4DEF7B1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751018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$10,210</w:t>
            </w:r>
          </w:p>
        </w:tc>
        <w:tc>
          <w:tcPr>
            <w:tcW w:w="1668" w:type="dxa"/>
            <w:tcBorders>
              <w:top w:val="nil"/>
              <w:left w:val="nil"/>
              <w:bottom w:val="nil"/>
              <w:right w:val="nil"/>
            </w:tcBorders>
            <w:shd w:val="clear" w:color="auto" w:fill="auto"/>
            <w:noWrap/>
            <w:hideMark/>
          </w:tcPr>
          <w:p w14:paraId="79B4ADB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$29,208</w:t>
            </w:r>
          </w:p>
        </w:tc>
        <w:tc>
          <w:tcPr>
            <w:tcW w:w="1667" w:type="dxa"/>
            <w:tcBorders>
              <w:top w:val="nil"/>
              <w:left w:val="nil"/>
              <w:bottom w:val="nil"/>
              <w:right w:val="nil"/>
            </w:tcBorders>
            <w:shd w:val="clear" w:color="auto" w:fill="auto"/>
            <w:noWrap/>
            <w:hideMark/>
          </w:tcPr>
          <w:p w14:paraId="237A759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$22,428</w:t>
            </w:r>
          </w:p>
        </w:tc>
        <w:tc>
          <w:tcPr>
            <w:tcW w:w="1668" w:type="dxa"/>
            <w:tcBorders>
              <w:top w:val="nil"/>
              <w:left w:val="nil"/>
              <w:bottom w:val="nil"/>
              <w:right w:val="nil"/>
            </w:tcBorders>
            <w:shd w:val="clear" w:color="auto" w:fill="auto"/>
            <w:noWrap/>
            <w:hideMark/>
          </w:tcPr>
          <w:p w14:paraId="2BFE0FC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$14,748</w:t>
            </w:r>
          </w:p>
        </w:tc>
      </w:tr>
      <w:tr w:rsidR="0055060F" w:rsidRPr="0055060F" w14:paraId="38D3FA00" w14:textId="77777777" w:rsidTr="006F5124">
        <w:trPr>
          <w:trHeight w:val="288"/>
        </w:trPr>
        <w:tc>
          <w:tcPr>
            <w:tcW w:w="851" w:type="dxa"/>
            <w:tcBorders>
              <w:top w:val="nil"/>
              <w:left w:val="nil"/>
              <w:bottom w:val="nil"/>
              <w:right w:val="nil"/>
            </w:tcBorders>
            <w:shd w:val="clear" w:color="auto" w:fill="auto"/>
            <w:noWrap/>
            <w:hideMark/>
          </w:tcPr>
          <w:p w14:paraId="1896705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E602C6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2A94DFE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2C5EBBB9"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4954660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45DAC86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7546D12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3BA08783" w14:textId="77777777" w:rsidTr="006F5124">
        <w:trPr>
          <w:trHeight w:val="288"/>
        </w:trPr>
        <w:tc>
          <w:tcPr>
            <w:tcW w:w="851" w:type="dxa"/>
            <w:tcBorders>
              <w:top w:val="nil"/>
              <w:left w:val="nil"/>
              <w:bottom w:val="nil"/>
              <w:right w:val="nil"/>
            </w:tcBorders>
            <w:shd w:val="clear" w:color="auto" w:fill="auto"/>
            <w:noWrap/>
            <w:hideMark/>
          </w:tcPr>
          <w:p w14:paraId="372AAAA4"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7AE12AD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2B3595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689 (2.6%)</w:t>
            </w:r>
          </w:p>
        </w:tc>
        <w:tc>
          <w:tcPr>
            <w:tcW w:w="1667" w:type="dxa"/>
            <w:tcBorders>
              <w:top w:val="nil"/>
              <w:left w:val="nil"/>
              <w:bottom w:val="nil"/>
              <w:right w:val="nil"/>
            </w:tcBorders>
            <w:shd w:val="clear" w:color="auto" w:fill="auto"/>
            <w:noWrap/>
            <w:hideMark/>
          </w:tcPr>
          <w:p w14:paraId="41B28BA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5,053 (14.1%)</w:t>
            </w:r>
          </w:p>
        </w:tc>
        <w:tc>
          <w:tcPr>
            <w:tcW w:w="1668" w:type="dxa"/>
            <w:tcBorders>
              <w:top w:val="nil"/>
              <w:left w:val="nil"/>
              <w:bottom w:val="nil"/>
              <w:right w:val="nil"/>
            </w:tcBorders>
            <w:shd w:val="clear" w:color="auto" w:fill="auto"/>
            <w:noWrap/>
            <w:hideMark/>
          </w:tcPr>
          <w:p w14:paraId="79A3843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5,759 (8.8%)</w:t>
            </w:r>
          </w:p>
        </w:tc>
        <w:tc>
          <w:tcPr>
            <w:tcW w:w="1667" w:type="dxa"/>
            <w:tcBorders>
              <w:top w:val="nil"/>
              <w:left w:val="nil"/>
              <w:bottom w:val="nil"/>
              <w:right w:val="nil"/>
            </w:tcBorders>
            <w:shd w:val="clear" w:color="auto" w:fill="auto"/>
            <w:noWrap/>
            <w:hideMark/>
          </w:tcPr>
          <w:p w14:paraId="11132A7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9,810 (10.3%)</w:t>
            </w:r>
          </w:p>
        </w:tc>
        <w:tc>
          <w:tcPr>
            <w:tcW w:w="1668" w:type="dxa"/>
            <w:tcBorders>
              <w:top w:val="nil"/>
              <w:left w:val="nil"/>
              <w:bottom w:val="nil"/>
              <w:right w:val="nil"/>
            </w:tcBorders>
            <w:shd w:val="clear" w:color="auto" w:fill="auto"/>
            <w:noWrap/>
            <w:hideMark/>
          </w:tcPr>
          <w:p w14:paraId="274FCE0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667 (3.2%)</w:t>
            </w:r>
          </w:p>
        </w:tc>
      </w:tr>
      <w:tr w:rsidR="0055060F" w:rsidRPr="0055060F" w14:paraId="104A73F9" w14:textId="77777777" w:rsidTr="006F5124">
        <w:trPr>
          <w:trHeight w:val="288"/>
        </w:trPr>
        <w:tc>
          <w:tcPr>
            <w:tcW w:w="851" w:type="dxa"/>
            <w:tcBorders>
              <w:top w:val="nil"/>
              <w:left w:val="nil"/>
              <w:bottom w:val="nil"/>
              <w:right w:val="nil"/>
            </w:tcBorders>
            <w:shd w:val="clear" w:color="auto" w:fill="auto"/>
            <w:noWrap/>
            <w:hideMark/>
          </w:tcPr>
          <w:p w14:paraId="187B8EA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71D2D6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1563CF3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3,221 (12.2%)</w:t>
            </w:r>
          </w:p>
        </w:tc>
        <w:tc>
          <w:tcPr>
            <w:tcW w:w="1667" w:type="dxa"/>
            <w:tcBorders>
              <w:top w:val="nil"/>
              <w:left w:val="nil"/>
              <w:bottom w:val="nil"/>
              <w:right w:val="nil"/>
            </w:tcBorders>
            <w:shd w:val="clear" w:color="auto" w:fill="auto"/>
            <w:noWrap/>
            <w:hideMark/>
          </w:tcPr>
          <w:p w14:paraId="3111420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18,478 (51.6%)</w:t>
            </w:r>
          </w:p>
        </w:tc>
        <w:tc>
          <w:tcPr>
            <w:tcW w:w="1668" w:type="dxa"/>
            <w:tcBorders>
              <w:top w:val="nil"/>
              <w:left w:val="nil"/>
              <w:bottom w:val="nil"/>
              <w:right w:val="nil"/>
            </w:tcBorders>
            <w:shd w:val="clear" w:color="auto" w:fill="auto"/>
            <w:noWrap/>
            <w:hideMark/>
          </w:tcPr>
          <w:p w14:paraId="7E1FDB1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39,224 (60.0%)</w:t>
            </w:r>
          </w:p>
        </w:tc>
        <w:tc>
          <w:tcPr>
            <w:tcW w:w="1667" w:type="dxa"/>
            <w:tcBorders>
              <w:top w:val="nil"/>
              <w:left w:val="nil"/>
              <w:bottom w:val="nil"/>
              <w:right w:val="nil"/>
            </w:tcBorders>
            <w:shd w:val="clear" w:color="auto" w:fill="auto"/>
            <w:noWrap/>
            <w:hideMark/>
          </w:tcPr>
          <w:p w14:paraId="2724F08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54,618 (57.4%)</w:t>
            </w:r>
          </w:p>
        </w:tc>
        <w:tc>
          <w:tcPr>
            <w:tcW w:w="1668" w:type="dxa"/>
            <w:tcBorders>
              <w:top w:val="nil"/>
              <w:left w:val="nil"/>
              <w:bottom w:val="nil"/>
              <w:right w:val="nil"/>
            </w:tcBorders>
            <w:shd w:val="clear" w:color="auto" w:fill="auto"/>
            <w:noWrap/>
            <w:hideMark/>
          </w:tcPr>
          <w:p w14:paraId="4F2D19F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3,022 (14.5%)</w:t>
            </w:r>
          </w:p>
        </w:tc>
      </w:tr>
      <w:tr w:rsidR="0055060F" w:rsidRPr="0055060F" w14:paraId="7898E6BD" w14:textId="77777777" w:rsidTr="006F5124">
        <w:trPr>
          <w:trHeight w:val="288"/>
        </w:trPr>
        <w:tc>
          <w:tcPr>
            <w:tcW w:w="851" w:type="dxa"/>
            <w:tcBorders>
              <w:top w:val="nil"/>
              <w:left w:val="nil"/>
              <w:bottom w:val="nil"/>
              <w:right w:val="nil"/>
            </w:tcBorders>
            <w:shd w:val="clear" w:color="auto" w:fill="auto"/>
            <w:noWrap/>
            <w:hideMark/>
          </w:tcPr>
          <w:p w14:paraId="134FDD5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9EC24A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734816A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992 (3.8%)</w:t>
            </w:r>
          </w:p>
        </w:tc>
        <w:tc>
          <w:tcPr>
            <w:tcW w:w="1667" w:type="dxa"/>
            <w:tcBorders>
              <w:top w:val="nil"/>
              <w:left w:val="nil"/>
              <w:bottom w:val="nil"/>
              <w:right w:val="nil"/>
            </w:tcBorders>
            <w:shd w:val="clear" w:color="auto" w:fill="auto"/>
            <w:noWrap/>
            <w:hideMark/>
          </w:tcPr>
          <w:p w14:paraId="2F98FC3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4,840 (13.5%)</w:t>
            </w:r>
          </w:p>
        </w:tc>
        <w:tc>
          <w:tcPr>
            <w:tcW w:w="1668" w:type="dxa"/>
            <w:tcBorders>
              <w:top w:val="nil"/>
              <w:left w:val="nil"/>
              <w:bottom w:val="nil"/>
              <w:right w:val="nil"/>
            </w:tcBorders>
            <w:shd w:val="clear" w:color="auto" w:fill="auto"/>
            <w:noWrap/>
            <w:hideMark/>
          </w:tcPr>
          <w:p w14:paraId="1B10F98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12,233 (18.7%)</w:t>
            </w:r>
          </w:p>
        </w:tc>
        <w:tc>
          <w:tcPr>
            <w:tcW w:w="1667" w:type="dxa"/>
            <w:tcBorders>
              <w:top w:val="nil"/>
              <w:left w:val="nil"/>
              <w:bottom w:val="nil"/>
              <w:right w:val="nil"/>
            </w:tcBorders>
            <w:shd w:val="clear" w:color="auto" w:fill="auto"/>
            <w:noWrap/>
            <w:hideMark/>
          </w:tcPr>
          <w:p w14:paraId="7541ED0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12,239 (12.9%)</w:t>
            </w:r>
          </w:p>
        </w:tc>
        <w:tc>
          <w:tcPr>
            <w:tcW w:w="1668" w:type="dxa"/>
            <w:tcBorders>
              <w:top w:val="nil"/>
              <w:left w:val="nil"/>
              <w:bottom w:val="nil"/>
              <w:right w:val="nil"/>
            </w:tcBorders>
            <w:shd w:val="clear" w:color="auto" w:fill="auto"/>
            <w:noWrap/>
            <w:hideMark/>
          </w:tcPr>
          <w:p w14:paraId="7D2E69A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1,042 (5.0%)</w:t>
            </w:r>
          </w:p>
        </w:tc>
      </w:tr>
      <w:tr w:rsidR="0055060F" w:rsidRPr="0055060F" w14:paraId="0B74AC89" w14:textId="77777777" w:rsidTr="006F5124">
        <w:trPr>
          <w:trHeight w:val="288"/>
        </w:trPr>
        <w:tc>
          <w:tcPr>
            <w:tcW w:w="851" w:type="dxa"/>
            <w:tcBorders>
              <w:top w:val="nil"/>
              <w:left w:val="nil"/>
              <w:bottom w:val="nil"/>
              <w:right w:val="nil"/>
            </w:tcBorders>
            <w:shd w:val="clear" w:color="auto" w:fill="auto"/>
            <w:noWrap/>
            <w:hideMark/>
          </w:tcPr>
          <w:p w14:paraId="1CD8D93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6121D3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3FF7F26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61BBD2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4,027 (11.2%)</w:t>
            </w:r>
          </w:p>
        </w:tc>
        <w:tc>
          <w:tcPr>
            <w:tcW w:w="1668" w:type="dxa"/>
            <w:tcBorders>
              <w:top w:val="nil"/>
              <w:left w:val="nil"/>
              <w:bottom w:val="nil"/>
              <w:right w:val="nil"/>
            </w:tcBorders>
            <w:shd w:val="clear" w:color="auto" w:fill="auto"/>
            <w:noWrap/>
            <w:hideMark/>
          </w:tcPr>
          <w:p w14:paraId="11334EB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8,394 (12.8%)</w:t>
            </w:r>
          </w:p>
        </w:tc>
        <w:tc>
          <w:tcPr>
            <w:tcW w:w="1667" w:type="dxa"/>
            <w:tcBorders>
              <w:top w:val="nil"/>
              <w:left w:val="nil"/>
              <w:bottom w:val="nil"/>
              <w:right w:val="nil"/>
            </w:tcBorders>
            <w:shd w:val="clear" w:color="auto" w:fill="auto"/>
            <w:noWrap/>
            <w:hideMark/>
          </w:tcPr>
          <w:p w14:paraId="785E9C8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11,028 (11.6%)</w:t>
            </w:r>
          </w:p>
        </w:tc>
        <w:tc>
          <w:tcPr>
            <w:tcW w:w="1668" w:type="dxa"/>
            <w:tcBorders>
              <w:top w:val="nil"/>
              <w:left w:val="nil"/>
              <w:bottom w:val="nil"/>
              <w:right w:val="nil"/>
            </w:tcBorders>
            <w:shd w:val="clear" w:color="auto" w:fill="auto"/>
            <w:noWrap/>
            <w:hideMark/>
          </w:tcPr>
          <w:p w14:paraId="60A740F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936 (4.5%)</w:t>
            </w:r>
          </w:p>
        </w:tc>
      </w:tr>
      <w:tr w:rsidR="0055060F" w:rsidRPr="0055060F" w14:paraId="25275A82" w14:textId="77777777" w:rsidTr="006F5124">
        <w:trPr>
          <w:trHeight w:val="288"/>
        </w:trPr>
        <w:tc>
          <w:tcPr>
            <w:tcW w:w="851" w:type="dxa"/>
            <w:tcBorders>
              <w:top w:val="nil"/>
              <w:left w:val="nil"/>
              <w:bottom w:val="nil"/>
              <w:right w:val="nil"/>
            </w:tcBorders>
            <w:shd w:val="clear" w:color="auto" w:fill="auto"/>
            <w:noWrap/>
            <w:hideMark/>
          </w:tcPr>
          <w:p w14:paraId="160BC4F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C8FC5E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12A7A25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440B5CF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3,096 (76.9%)</w:t>
            </w:r>
          </w:p>
        </w:tc>
        <w:tc>
          <w:tcPr>
            <w:tcW w:w="1668" w:type="dxa"/>
            <w:tcBorders>
              <w:top w:val="nil"/>
              <w:left w:val="nil"/>
              <w:bottom w:val="nil"/>
              <w:right w:val="nil"/>
            </w:tcBorders>
            <w:shd w:val="clear" w:color="auto" w:fill="auto"/>
            <w:noWrap/>
            <w:hideMark/>
          </w:tcPr>
          <w:p w14:paraId="02F936A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6,244 (74.4%)</w:t>
            </w:r>
          </w:p>
        </w:tc>
        <w:tc>
          <w:tcPr>
            <w:tcW w:w="1667" w:type="dxa"/>
            <w:tcBorders>
              <w:top w:val="nil"/>
              <w:left w:val="nil"/>
              <w:bottom w:val="nil"/>
              <w:right w:val="nil"/>
            </w:tcBorders>
            <w:shd w:val="clear" w:color="auto" w:fill="auto"/>
            <w:noWrap/>
            <w:hideMark/>
          </w:tcPr>
          <w:p w14:paraId="2DB2B23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8,155 (73.9%)</w:t>
            </w:r>
          </w:p>
        </w:tc>
        <w:tc>
          <w:tcPr>
            <w:tcW w:w="1668" w:type="dxa"/>
            <w:tcBorders>
              <w:top w:val="nil"/>
              <w:left w:val="nil"/>
              <w:bottom w:val="nil"/>
              <w:right w:val="nil"/>
            </w:tcBorders>
            <w:shd w:val="clear" w:color="auto" w:fill="auto"/>
            <w:noWrap/>
            <w:hideMark/>
          </w:tcPr>
          <w:p w14:paraId="3B6B79A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679 (72.5%)</w:t>
            </w:r>
          </w:p>
        </w:tc>
      </w:tr>
      <w:tr w:rsidR="0055060F" w:rsidRPr="0055060F" w14:paraId="73EC0E53" w14:textId="77777777" w:rsidTr="006F5124">
        <w:trPr>
          <w:trHeight w:val="288"/>
        </w:trPr>
        <w:tc>
          <w:tcPr>
            <w:tcW w:w="851" w:type="dxa"/>
            <w:tcBorders>
              <w:top w:val="nil"/>
              <w:left w:val="nil"/>
              <w:bottom w:val="nil"/>
              <w:right w:val="nil"/>
            </w:tcBorders>
            <w:shd w:val="clear" w:color="auto" w:fill="auto"/>
            <w:noWrap/>
            <w:hideMark/>
          </w:tcPr>
          <w:p w14:paraId="71C7E85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D295DE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57030F0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B6533C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931 (23.1%)</w:t>
            </w:r>
          </w:p>
        </w:tc>
        <w:tc>
          <w:tcPr>
            <w:tcW w:w="1668" w:type="dxa"/>
            <w:tcBorders>
              <w:top w:val="nil"/>
              <w:left w:val="nil"/>
              <w:bottom w:val="nil"/>
              <w:right w:val="nil"/>
            </w:tcBorders>
            <w:shd w:val="clear" w:color="auto" w:fill="auto"/>
            <w:noWrap/>
            <w:hideMark/>
          </w:tcPr>
          <w:p w14:paraId="6480FD4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2,150 (25.6%)</w:t>
            </w:r>
          </w:p>
        </w:tc>
        <w:tc>
          <w:tcPr>
            <w:tcW w:w="1667" w:type="dxa"/>
            <w:tcBorders>
              <w:top w:val="nil"/>
              <w:left w:val="nil"/>
              <w:bottom w:val="nil"/>
              <w:right w:val="nil"/>
            </w:tcBorders>
            <w:shd w:val="clear" w:color="auto" w:fill="auto"/>
            <w:noWrap/>
            <w:hideMark/>
          </w:tcPr>
          <w:p w14:paraId="4381D41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2,873 (26.1%)</w:t>
            </w:r>
          </w:p>
        </w:tc>
        <w:tc>
          <w:tcPr>
            <w:tcW w:w="1668" w:type="dxa"/>
            <w:tcBorders>
              <w:top w:val="nil"/>
              <w:left w:val="nil"/>
              <w:bottom w:val="nil"/>
              <w:right w:val="nil"/>
            </w:tcBorders>
            <w:shd w:val="clear" w:color="auto" w:fill="auto"/>
            <w:noWrap/>
            <w:hideMark/>
          </w:tcPr>
          <w:p w14:paraId="66B2C99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257 (27.5%)</w:t>
            </w:r>
          </w:p>
        </w:tc>
      </w:tr>
      <w:tr w:rsidR="0055060F" w:rsidRPr="0055060F" w14:paraId="55C3EF6D" w14:textId="77777777" w:rsidTr="006F5124">
        <w:trPr>
          <w:trHeight w:val="288"/>
        </w:trPr>
        <w:tc>
          <w:tcPr>
            <w:tcW w:w="851" w:type="dxa"/>
            <w:tcBorders>
              <w:top w:val="nil"/>
              <w:left w:val="nil"/>
              <w:bottom w:val="nil"/>
              <w:right w:val="nil"/>
            </w:tcBorders>
            <w:shd w:val="clear" w:color="auto" w:fill="auto"/>
            <w:noWrap/>
            <w:hideMark/>
          </w:tcPr>
          <w:p w14:paraId="41EE850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lastRenderedPageBreak/>
              <w:t>2016-17</w:t>
            </w:r>
          </w:p>
        </w:tc>
        <w:tc>
          <w:tcPr>
            <w:tcW w:w="4689" w:type="dxa"/>
            <w:tcBorders>
              <w:top w:val="nil"/>
              <w:left w:val="nil"/>
              <w:bottom w:val="nil"/>
              <w:right w:val="nil"/>
            </w:tcBorders>
            <w:shd w:val="clear" w:color="auto" w:fill="auto"/>
            <w:noWrap/>
            <w:hideMark/>
          </w:tcPr>
          <w:p w14:paraId="76716521"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7741A72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31,316</w:t>
            </w:r>
          </w:p>
        </w:tc>
        <w:tc>
          <w:tcPr>
            <w:tcW w:w="1667" w:type="dxa"/>
            <w:tcBorders>
              <w:top w:val="nil"/>
              <w:left w:val="nil"/>
              <w:bottom w:val="nil"/>
              <w:right w:val="nil"/>
            </w:tcBorders>
            <w:shd w:val="clear" w:color="auto" w:fill="auto"/>
            <w:noWrap/>
            <w:hideMark/>
          </w:tcPr>
          <w:p w14:paraId="2CB6B99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44,316</w:t>
            </w:r>
          </w:p>
        </w:tc>
        <w:tc>
          <w:tcPr>
            <w:tcW w:w="1668" w:type="dxa"/>
            <w:tcBorders>
              <w:top w:val="nil"/>
              <w:left w:val="nil"/>
              <w:bottom w:val="nil"/>
              <w:right w:val="nil"/>
            </w:tcBorders>
            <w:shd w:val="clear" w:color="auto" w:fill="auto"/>
            <w:noWrap/>
            <w:hideMark/>
          </w:tcPr>
          <w:p w14:paraId="78FBC7A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67,520</w:t>
            </w:r>
          </w:p>
        </w:tc>
        <w:tc>
          <w:tcPr>
            <w:tcW w:w="1667" w:type="dxa"/>
            <w:tcBorders>
              <w:top w:val="nil"/>
              <w:left w:val="nil"/>
              <w:bottom w:val="nil"/>
              <w:right w:val="nil"/>
            </w:tcBorders>
            <w:shd w:val="clear" w:color="auto" w:fill="auto"/>
            <w:noWrap/>
            <w:hideMark/>
          </w:tcPr>
          <w:p w14:paraId="6E262E2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104,823</w:t>
            </w:r>
          </w:p>
        </w:tc>
        <w:tc>
          <w:tcPr>
            <w:tcW w:w="1668" w:type="dxa"/>
            <w:tcBorders>
              <w:top w:val="nil"/>
              <w:left w:val="nil"/>
              <w:bottom w:val="nil"/>
              <w:right w:val="nil"/>
            </w:tcBorders>
            <w:shd w:val="clear" w:color="auto" w:fill="auto"/>
            <w:noWrap/>
            <w:hideMark/>
          </w:tcPr>
          <w:p w14:paraId="49C6414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25,720</w:t>
            </w:r>
          </w:p>
        </w:tc>
      </w:tr>
      <w:tr w:rsidR="0055060F" w:rsidRPr="0055060F" w14:paraId="2690FE84" w14:textId="77777777" w:rsidTr="006F5124">
        <w:trPr>
          <w:trHeight w:val="288"/>
        </w:trPr>
        <w:tc>
          <w:tcPr>
            <w:tcW w:w="851" w:type="dxa"/>
            <w:tcBorders>
              <w:top w:val="nil"/>
              <w:left w:val="nil"/>
              <w:bottom w:val="nil"/>
              <w:right w:val="nil"/>
            </w:tcBorders>
            <w:shd w:val="clear" w:color="auto" w:fill="auto"/>
            <w:noWrap/>
            <w:hideMark/>
          </w:tcPr>
          <w:p w14:paraId="58C51B3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CB2C98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11EB10A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w:t>
            </w:r>
          </w:p>
        </w:tc>
        <w:tc>
          <w:tcPr>
            <w:tcW w:w="1667" w:type="dxa"/>
            <w:tcBorders>
              <w:top w:val="nil"/>
              <w:left w:val="nil"/>
              <w:bottom w:val="nil"/>
              <w:right w:val="nil"/>
            </w:tcBorders>
            <w:shd w:val="clear" w:color="auto" w:fill="auto"/>
            <w:noWrap/>
            <w:hideMark/>
          </w:tcPr>
          <w:p w14:paraId="01E97AE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16</w:t>
            </w:r>
          </w:p>
        </w:tc>
        <w:tc>
          <w:tcPr>
            <w:tcW w:w="1668" w:type="dxa"/>
            <w:tcBorders>
              <w:top w:val="nil"/>
              <w:left w:val="nil"/>
              <w:bottom w:val="nil"/>
              <w:right w:val="nil"/>
            </w:tcBorders>
            <w:shd w:val="clear" w:color="auto" w:fill="auto"/>
            <w:noWrap/>
            <w:hideMark/>
          </w:tcPr>
          <w:p w14:paraId="751CD34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w:t>
            </w:r>
          </w:p>
        </w:tc>
        <w:tc>
          <w:tcPr>
            <w:tcW w:w="1667" w:type="dxa"/>
            <w:tcBorders>
              <w:top w:val="nil"/>
              <w:left w:val="nil"/>
              <w:bottom w:val="nil"/>
              <w:right w:val="nil"/>
            </w:tcBorders>
            <w:shd w:val="clear" w:color="auto" w:fill="auto"/>
            <w:noWrap/>
            <w:hideMark/>
          </w:tcPr>
          <w:p w14:paraId="6DE1F8B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w:t>
            </w:r>
          </w:p>
        </w:tc>
        <w:tc>
          <w:tcPr>
            <w:tcW w:w="1668" w:type="dxa"/>
            <w:tcBorders>
              <w:top w:val="nil"/>
              <w:left w:val="nil"/>
              <w:bottom w:val="nil"/>
              <w:right w:val="nil"/>
            </w:tcBorders>
            <w:shd w:val="clear" w:color="auto" w:fill="auto"/>
            <w:noWrap/>
            <w:hideMark/>
          </w:tcPr>
          <w:p w14:paraId="110FCF5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w:t>
            </w:r>
          </w:p>
        </w:tc>
      </w:tr>
      <w:tr w:rsidR="0055060F" w:rsidRPr="0055060F" w14:paraId="06158574" w14:textId="77777777" w:rsidTr="006F5124">
        <w:trPr>
          <w:trHeight w:val="288"/>
        </w:trPr>
        <w:tc>
          <w:tcPr>
            <w:tcW w:w="851" w:type="dxa"/>
            <w:tcBorders>
              <w:top w:val="nil"/>
              <w:left w:val="nil"/>
              <w:bottom w:val="nil"/>
              <w:right w:val="nil"/>
            </w:tcBorders>
            <w:shd w:val="clear" w:color="auto" w:fill="auto"/>
            <w:noWrap/>
            <w:hideMark/>
          </w:tcPr>
          <w:p w14:paraId="2380C84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E8EFED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6ED4464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6 (12.5)</w:t>
            </w:r>
          </w:p>
        </w:tc>
        <w:tc>
          <w:tcPr>
            <w:tcW w:w="1667" w:type="dxa"/>
            <w:tcBorders>
              <w:top w:val="nil"/>
              <w:left w:val="nil"/>
              <w:bottom w:val="nil"/>
              <w:right w:val="nil"/>
            </w:tcBorders>
            <w:shd w:val="clear" w:color="auto" w:fill="auto"/>
            <w:noWrap/>
            <w:hideMark/>
          </w:tcPr>
          <w:p w14:paraId="609975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(10.1)</w:t>
            </w:r>
          </w:p>
        </w:tc>
        <w:tc>
          <w:tcPr>
            <w:tcW w:w="1668" w:type="dxa"/>
            <w:tcBorders>
              <w:top w:val="nil"/>
              <w:left w:val="nil"/>
              <w:bottom w:val="nil"/>
              <w:right w:val="nil"/>
            </w:tcBorders>
            <w:shd w:val="clear" w:color="auto" w:fill="auto"/>
            <w:noWrap/>
            <w:hideMark/>
          </w:tcPr>
          <w:p w14:paraId="7A320A2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15 (31.1)</w:t>
            </w:r>
          </w:p>
        </w:tc>
        <w:tc>
          <w:tcPr>
            <w:tcW w:w="1667" w:type="dxa"/>
            <w:tcBorders>
              <w:top w:val="nil"/>
              <w:left w:val="nil"/>
              <w:bottom w:val="nil"/>
              <w:right w:val="nil"/>
            </w:tcBorders>
            <w:shd w:val="clear" w:color="auto" w:fill="auto"/>
            <w:noWrap/>
            <w:hideMark/>
          </w:tcPr>
          <w:p w14:paraId="6CBC783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 (25.8)</w:t>
            </w:r>
          </w:p>
        </w:tc>
        <w:tc>
          <w:tcPr>
            <w:tcW w:w="1668" w:type="dxa"/>
            <w:tcBorders>
              <w:top w:val="nil"/>
              <w:left w:val="nil"/>
              <w:bottom w:val="nil"/>
              <w:right w:val="nil"/>
            </w:tcBorders>
            <w:shd w:val="clear" w:color="auto" w:fill="auto"/>
            <w:noWrap/>
            <w:hideMark/>
          </w:tcPr>
          <w:p w14:paraId="155C04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(12.8)</w:t>
            </w:r>
          </w:p>
        </w:tc>
      </w:tr>
      <w:tr w:rsidR="0055060F" w:rsidRPr="0055060F" w14:paraId="51A758BA" w14:textId="77777777" w:rsidTr="006F5124">
        <w:trPr>
          <w:trHeight w:val="288"/>
        </w:trPr>
        <w:tc>
          <w:tcPr>
            <w:tcW w:w="851" w:type="dxa"/>
            <w:tcBorders>
              <w:top w:val="nil"/>
              <w:left w:val="nil"/>
              <w:bottom w:val="nil"/>
              <w:right w:val="nil"/>
            </w:tcBorders>
            <w:shd w:val="clear" w:color="auto" w:fill="auto"/>
            <w:noWrap/>
            <w:hideMark/>
          </w:tcPr>
          <w:p w14:paraId="02AD753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37713DA"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1A416D9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2,573 (8.2%)</w:t>
            </w:r>
          </w:p>
        </w:tc>
        <w:tc>
          <w:tcPr>
            <w:tcW w:w="1667" w:type="dxa"/>
            <w:tcBorders>
              <w:top w:val="nil"/>
              <w:left w:val="nil"/>
              <w:bottom w:val="nil"/>
              <w:right w:val="nil"/>
            </w:tcBorders>
            <w:shd w:val="clear" w:color="auto" w:fill="auto"/>
            <w:noWrap/>
            <w:hideMark/>
          </w:tcPr>
          <w:p w14:paraId="5B16DB3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6,205 (14.0%)</w:t>
            </w:r>
          </w:p>
        </w:tc>
        <w:tc>
          <w:tcPr>
            <w:tcW w:w="1668" w:type="dxa"/>
            <w:tcBorders>
              <w:top w:val="nil"/>
              <w:left w:val="nil"/>
              <w:bottom w:val="nil"/>
              <w:right w:val="nil"/>
            </w:tcBorders>
            <w:shd w:val="clear" w:color="auto" w:fill="auto"/>
            <w:noWrap/>
            <w:hideMark/>
          </w:tcPr>
          <w:p w14:paraId="16E52CF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19,114 (28.3%)</w:t>
            </w:r>
          </w:p>
        </w:tc>
        <w:tc>
          <w:tcPr>
            <w:tcW w:w="1667" w:type="dxa"/>
            <w:tcBorders>
              <w:top w:val="nil"/>
              <w:left w:val="nil"/>
              <w:bottom w:val="nil"/>
              <w:right w:val="nil"/>
            </w:tcBorders>
            <w:shd w:val="clear" w:color="auto" w:fill="auto"/>
            <w:noWrap/>
            <w:hideMark/>
          </w:tcPr>
          <w:p w14:paraId="70F9F07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22,046 (21.0%)</w:t>
            </w:r>
          </w:p>
        </w:tc>
        <w:tc>
          <w:tcPr>
            <w:tcW w:w="1668" w:type="dxa"/>
            <w:tcBorders>
              <w:top w:val="nil"/>
              <w:left w:val="nil"/>
              <w:bottom w:val="nil"/>
              <w:right w:val="nil"/>
            </w:tcBorders>
            <w:shd w:val="clear" w:color="auto" w:fill="auto"/>
            <w:noWrap/>
            <w:hideMark/>
          </w:tcPr>
          <w:p w14:paraId="3F8AFA0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2,649 (10.3%)</w:t>
            </w:r>
          </w:p>
        </w:tc>
      </w:tr>
      <w:tr w:rsidR="0055060F" w:rsidRPr="0055060F" w14:paraId="141A616A" w14:textId="77777777" w:rsidTr="006F5124">
        <w:trPr>
          <w:trHeight w:val="288"/>
        </w:trPr>
        <w:tc>
          <w:tcPr>
            <w:tcW w:w="851" w:type="dxa"/>
            <w:tcBorders>
              <w:top w:val="nil"/>
              <w:left w:val="nil"/>
              <w:bottom w:val="nil"/>
              <w:right w:val="nil"/>
            </w:tcBorders>
            <w:shd w:val="clear" w:color="auto" w:fill="auto"/>
            <w:noWrap/>
            <w:hideMark/>
          </w:tcPr>
          <w:p w14:paraId="1C03C48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796D9D6"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512FD7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98 (165.5)</w:t>
            </w:r>
          </w:p>
        </w:tc>
        <w:tc>
          <w:tcPr>
            <w:tcW w:w="1667" w:type="dxa"/>
            <w:tcBorders>
              <w:top w:val="nil"/>
              <w:left w:val="nil"/>
              <w:bottom w:val="nil"/>
              <w:right w:val="nil"/>
            </w:tcBorders>
            <w:shd w:val="clear" w:color="auto" w:fill="auto"/>
            <w:noWrap/>
            <w:hideMark/>
          </w:tcPr>
          <w:p w14:paraId="33689E5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98 (138.5)</w:t>
            </w:r>
          </w:p>
        </w:tc>
        <w:tc>
          <w:tcPr>
            <w:tcW w:w="1668" w:type="dxa"/>
            <w:tcBorders>
              <w:top w:val="nil"/>
              <w:left w:val="nil"/>
              <w:bottom w:val="nil"/>
              <w:right w:val="nil"/>
            </w:tcBorders>
            <w:shd w:val="clear" w:color="auto" w:fill="auto"/>
            <w:noWrap/>
            <w:hideMark/>
          </w:tcPr>
          <w:p w14:paraId="4F8FEB8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189 (337.0)</w:t>
            </w:r>
          </w:p>
        </w:tc>
        <w:tc>
          <w:tcPr>
            <w:tcW w:w="1667" w:type="dxa"/>
            <w:tcBorders>
              <w:top w:val="nil"/>
              <w:left w:val="nil"/>
              <w:bottom w:val="nil"/>
              <w:right w:val="nil"/>
            </w:tcBorders>
            <w:shd w:val="clear" w:color="auto" w:fill="auto"/>
            <w:noWrap/>
            <w:hideMark/>
          </w:tcPr>
          <w:p w14:paraId="5F4AF45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174 (318.3)</w:t>
            </w:r>
          </w:p>
        </w:tc>
        <w:tc>
          <w:tcPr>
            <w:tcW w:w="1668" w:type="dxa"/>
            <w:tcBorders>
              <w:top w:val="nil"/>
              <w:left w:val="nil"/>
              <w:bottom w:val="nil"/>
              <w:right w:val="nil"/>
            </w:tcBorders>
            <w:shd w:val="clear" w:color="auto" w:fill="auto"/>
            <w:noWrap/>
            <w:hideMark/>
          </w:tcPr>
          <w:p w14:paraId="598D12E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138 (215.4)</w:t>
            </w:r>
          </w:p>
        </w:tc>
      </w:tr>
      <w:tr w:rsidR="0055060F" w:rsidRPr="0055060F" w14:paraId="4E639814" w14:textId="77777777" w:rsidTr="006F5124">
        <w:trPr>
          <w:trHeight w:val="288"/>
        </w:trPr>
        <w:tc>
          <w:tcPr>
            <w:tcW w:w="851" w:type="dxa"/>
            <w:tcBorders>
              <w:top w:val="nil"/>
              <w:left w:val="nil"/>
              <w:bottom w:val="nil"/>
              <w:right w:val="nil"/>
            </w:tcBorders>
            <w:shd w:val="clear" w:color="auto" w:fill="auto"/>
            <w:noWrap/>
            <w:hideMark/>
          </w:tcPr>
          <w:p w14:paraId="5317D5E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475FA2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4D0B627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$11,289</w:t>
            </w:r>
          </w:p>
        </w:tc>
        <w:tc>
          <w:tcPr>
            <w:tcW w:w="1667" w:type="dxa"/>
            <w:tcBorders>
              <w:top w:val="nil"/>
              <w:left w:val="nil"/>
              <w:bottom w:val="nil"/>
              <w:right w:val="nil"/>
            </w:tcBorders>
            <w:shd w:val="clear" w:color="auto" w:fill="auto"/>
            <w:noWrap/>
            <w:hideMark/>
          </w:tcPr>
          <w:p w14:paraId="48CD726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$14,592</w:t>
            </w:r>
          </w:p>
        </w:tc>
        <w:tc>
          <w:tcPr>
            <w:tcW w:w="1668" w:type="dxa"/>
            <w:tcBorders>
              <w:top w:val="nil"/>
              <w:left w:val="nil"/>
              <w:bottom w:val="nil"/>
              <w:right w:val="nil"/>
            </w:tcBorders>
            <w:shd w:val="clear" w:color="auto" w:fill="auto"/>
            <w:noWrap/>
            <w:hideMark/>
          </w:tcPr>
          <w:p w14:paraId="0CABC1D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$31,157</w:t>
            </w:r>
          </w:p>
        </w:tc>
        <w:tc>
          <w:tcPr>
            <w:tcW w:w="1667" w:type="dxa"/>
            <w:tcBorders>
              <w:top w:val="nil"/>
              <w:left w:val="nil"/>
              <w:bottom w:val="nil"/>
              <w:right w:val="nil"/>
            </w:tcBorders>
            <w:shd w:val="clear" w:color="auto" w:fill="auto"/>
            <w:noWrap/>
            <w:hideMark/>
          </w:tcPr>
          <w:p w14:paraId="343789A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$24,308</w:t>
            </w:r>
          </w:p>
        </w:tc>
        <w:tc>
          <w:tcPr>
            <w:tcW w:w="1668" w:type="dxa"/>
            <w:tcBorders>
              <w:top w:val="nil"/>
              <w:left w:val="nil"/>
              <w:bottom w:val="nil"/>
              <w:right w:val="nil"/>
            </w:tcBorders>
            <w:shd w:val="clear" w:color="auto" w:fill="auto"/>
            <w:noWrap/>
            <w:hideMark/>
          </w:tcPr>
          <w:p w14:paraId="51A8A8E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$14,883</w:t>
            </w:r>
          </w:p>
        </w:tc>
      </w:tr>
      <w:tr w:rsidR="0055060F" w:rsidRPr="0055060F" w14:paraId="30C196C0" w14:textId="77777777" w:rsidTr="006F5124">
        <w:trPr>
          <w:trHeight w:val="288"/>
        </w:trPr>
        <w:tc>
          <w:tcPr>
            <w:tcW w:w="851" w:type="dxa"/>
            <w:tcBorders>
              <w:top w:val="nil"/>
              <w:left w:val="nil"/>
              <w:bottom w:val="nil"/>
              <w:right w:val="nil"/>
            </w:tcBorders>
            <w:shd w:val="clear" w:color="auto" w:fill="auto"/>
            <w:noWrap/>
            <w:hideMark/>
          </w:tcPr>
          <w:p w14:paraId="5DCE170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6562043"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7120976F"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0A5E692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62F498F7"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5C9D247B"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138D59FA"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1A2AA9AF" w14:textId="77777777" w:rsidTr="006F5124">
        <w:trPr>
          <w:trHeight w:val="288"/>
        </w:trPr>
        <w:tc>
          <w:tcPr>
            <w:tcW w:w="851" w:type="dxa"/>
            <w:tcBorders>
              <w:top w:val="nil"/>
              <w:left w:val="nil"/>
              <w:bottom w:val="nil"/>
              <w:right w:val="nil"/>
            </w:tcBorders>
            <w:shd w:val="clear" w:color="auto" w:fill="auto"/>
            <w:noWrap/>
            <w:hideMark/>
          </w:tcPr>
          <w:p w14:paraId="0DC10FCE"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4288135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795A278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843 (2.7%)</w:t>
            </w:r>
          </w:p>
        </w:tc>
        <w:tc>
          <w:tcPr>
            <w:tcW w:w="1667" w:type="dxa"/>
            <w:tcBorders>
              <w:top w:val="nil"/>
              <w:left w:val="nil"/>
              <w:bottom w:val="nil"/>
              <w:right w:val="nil"/>
            </w:tcBorders>
            <w:shd w:val="clear" w:color="auto" w:fill="auto"/>
            <w:noWrap/>
            <w:hideMark/>
          </w:tcPr>
          <w:p w14:paraId="12AC223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6,295 (14.2%)</w:t>
            </w:r>
          </w:p>
        </w:tc>
        <w:tc>
          <w:tcPr>
            <w:tcW w:w="1668" w:type="dxa"/>
            <w:tcBorders>
              <w:top w:val="nil"/>
              <w:left w:val="nil"/>
              <w:bottom w:val="nil"/>
              <w:right w:val="nil"/>
            </w:tcBorders>
            <w:shd w:val="clear" w:color="auto" w:fill="auto"/>
            <w:noWrap/>
            <w:hideMark/>
          </w:tcPr>
          <w:p w14:paraId="70AA6C1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5,696 (8.4%)</w:t>
            </w:r>
          </w:p>
        </w:tc>
        <w:tc>
          <w:tcPr>
            <w:tcW w:w="1667" w:type="dxa"/>
            <w:tcBorders>
              <w:top w:val="nil"/>
              <w:left w:val="nil"/>
              <w:bottom w:val="nil"/>
              <w:right w:val="nil"/>
            </w:tcBorders>
            <w:shd w:val="clear" w:color="auto" w:fill="auto"/>
            <w:noWrap/>
            <w:hideMark/>
          </w:tcPr>
          <w:p w14:paraId="5501270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10,829 (10.3%)</w:t>
            </w:r>
          </w:p>
        </w:tc>
        <w:tc>
          <w:tcPr>
            <w:tcW w:w="1668" w:type="dxa"/>
            <w:tcBorders>
              <w:top w:val="nil"/>
              <w:left w:val="nil"/>
              <w:bottom w:val="nil"/>
              <w:right w:val="nil"/>
            </w:tcBorders>
            <w:shd w:val="clear" w:color="auto" w:fill="auto"/>
            <w:noWrap/>
            <w:hideMark/>
          </w:tcPr>
          <w:p w14:paraId="28427FB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907 (3.5%)</w:t>
            </w:r>
          </w:p>
        </w:tc>
      </w:tr>
      <w:tr w:rsidR="0055060F" w:rsidRPr="0055060F" w14:paraId="76CD4554" w14:textId="77777777" w:rsidTr="006F5124">
        <w:trPr>
          <w:trHeight w:val="288"/>
        </w:trPr>
        <w:tc>
          <w:tcPr>
            <w:tcW w:w="851" w:type="dxa"/>
            <w:tcBorders>
              <w:top w:val="nil"/>
              <w:left w:val="nil"/>
              <w:bottom w:val="nil"/>
              <w:right w:val="nil"/>
            </w:tcBorders>
            <w:shd w:val="clear" w:color="auto" w:fill="auto"/>
            <w:noWrap/>
            <w:hideMark/>
          </w:tcPr>
          <w:p w14:paraId="71BC715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556185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32F0786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4,075 (13.0%)</w:t>
            </w:r>
          </w:p>
        </w:tc>
        <w:tc>
          <w:tcPr>
            <w:tcW w:w="1667" w:type="dxa"/>
            <w:tcBorders>
              <w:top w:val="nil"/>
              <w:left w:val="nil"/>
              <w:bottom w:val="nil"/>
              <w:right w:val="nil"/>
            </w:tcBorders>
            <w:shd w:val="clear" w:color="auto" w:fill="auto"/>
            <w:noWrap/>
            <w:hideMark/>
          </w:tcPr>
          <w:p w14:paraId="4E46F29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23,298 (52.6%)</w:t>
            </w:r>
          </w:p>
        </w:tc>
        <w:tc>
          <w:tcPr>
            <w:tcW w:w="1668" w:type="dxa"/>
            <w:tcBorders>
              <w:top w:val="nil"/>
              <w:left w:val="nil"/>
              <w:bottom w:val="nil"/>
              <w:right w:val="nil"/>
            </w:tcBorders>
            <w:shd w:val="clear" w:color="auto" w:fill="auto"/>
            <w:noWrap/>
            <w:hideMark/>
          </w:tcPr>
          <w:p w14:paraId="12D62E8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40,299 (59.7%)</w:t>
            </w:r>
          </w:p>
        </w:tc>
        <w:tc>
          <w:tcPr>
            <w:tcW w:w="1667" w:type="dxa"/>
            <w:tcBorders>
              <w:top w:val="nil"/>
              <w:left w:val="nil"/>
              <w:bottom w:val="nil"/>
              <w:right w:val="nil"/>
            </w:tcBorders>
            <w:shd w:val="clear" w:color="auto" w:fill="auto"/>
            <w:noWrap/>
            <w:hideMark/>
          </w:tcPr>
          <w:p w14:paraId="3DC4B5E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59,982 (57.2%)</w:t>
            </w:r>
          </w:p>
        </w:tc>
        <w:tc>
          <w:tcPr>
            <w:tcW w:w="1668" w:type="dxa"/>
            <w:tcBorders>
              <w:top w:val="nil"/>
              <w:left w:val="nil"/>
              <w:bottom w:val="nil"/>
              <w:right w:val="nil"/>
            </w:tcBorders>
            <w:shd w:val="clear" w:color="auto" w:fill="auto"/>
            <w:noWrap/>
            <w:hideMark/>
          </w:tcPr>
          <w:p w14:paraId="3E845C1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3,835 (14.9%)</w:t>
            </w:r>
          </w:p>
        </w:tc>
      </w:tr>
      <w:tr w:rsidR="0055060F" w:rsidRPr="0055060F" w14:paraId="438D47E2" w14:textId="77777777" w:rsidTr="006F5124">
        <w:trPr>
          <w:trHeight w:val="288"/>
        </w:trPr>
        <w:tc>
          <w:tcPr>
            <w:tcW w:w="851" w:type="dxa"/>
            <w:tcBorders>
              <w:top w:val="nil"/>
              <w:left w:val="nil"/>
              <w:bottom w:val="nil"/>
              <w:right w:val="nil"/>
            </w:tcBorders>
            <w:shd w:val="clear" w:color="auto" w:fill="auto"/>
            <w:noWrap/>
            <w:hideMark/>
          </w:tcPr>
          <w:p w14:paraId="3BE98E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9FCFBD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49557D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1,200 (3.8%)</w:t>
            </w:r>
          </w:p>
        </w:tc>
        <w:tc>
          <w:tcPr>
            <w:tcW w:w="1667" w:type="dxa"/>
            <w:tcBorders>
              <w:top w:val="nil"/>
              <w:left w:val="nil"/>
              <w:bottom w:val="nil"/>
              <w:right w:val="nil"/>
            </w:tcBorders>
            <w:shd w:val="clear" w:color="auto" w:fill="auto"/>
            <w:noWrap/>
            <w:hideMark/>
          </w:tcPr>
          <w:p w14:paraId="6FC086B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5,763 (13.0%)</w:t>
            </w:r>
          </w:p>
        </w:tc>
        <w:tc>
          <w:tcPr>
            <w:tcW w:w="1668" w:type="dxa"/>
            <w:tcBorders>
              <w:top w:val="nil"/>
              <w:left w:val="nil"/>
              <w:bottom w:val="nil"/>
              <w:right w:val="nil"/>
            </w:tcBorders>
            <w:shd w:val="clear" w:color="auto" w:fill="auto"/>
            <w:noWrap/>
            <w:hideMark/>
          </w:tcPr>
          <w:p w14:paraId="47FDDBE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13,180 (19.5%)</w:t>
            </w:r>
          </w:p>
        </w:tc>
        <w:tc>
          <w:tcPr>
            <w:tcW w:w="1667" w:type="dxa"/>
            <w:tcBorders>
              <w:top w:val="nil"/>
              <w:left w:val="nil"/>
              <w:bottom w:val="nil"/>
              <w:right w:val="nil"/>
            </w:tcBorders>
            <w:shd w:val="clear" w:color="auto" w:fill="auto"/>
            <w:noWrap/>
            <w:hideMark/>
          </w:tcPr>
          <w:p w14:paraId="70EACFD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13,180 (12.6%)</w:t>
            </w:r>
          </w:p>
        </w:tc>
        <w:tc>
          <w:tcPr>
            <w:tcW w:w="1668" w:type="dxa"/>
            <w:tcBorders>
              <w:top w:val="nil"/>
              <w:left w:val="nil"/>
              <w:bottom w:val="nil"/>
              <w:right w:val="nil"/>
            </w:tcBorders>
            <w:shd w:val="clear" w:color="auto" w:fill="auto"/>
            <w:noWrap/>
            <w:hideMark/>
          </w:tcPr>
          <w:p w14:paraId="7B35370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1,238 (4.8%)</w:t>
            </w:r>
          </w:p>
        </w:tc>
      </w:tr>
      <w:tr w:rsidR="0055060F" w:rsidRPr="0055060F" w14:paraId="6AA34573" w14:textId="77777777" w:rsidTr="006F5124">
        <w:trPr>
          <w:trHeight w:val="288"/>
        </w:trPr>
        <w:tc>
          <w:tcPr>
            <w:tcW w:w="851" w:type="dxa"/>
            <w:tcBorders>
              <w:top w:val="nil"/>
              <w:left w:val="nil"/>
              <w:bottom w:val="nil"/>
              <w:right w:val="nil"/>
            </w:tcBorders>
            <w:shd w:val="clear" w:color="auto" w:fill="auto"/>
            <w:noWrap/>
            <w:hideMark/>
          </w:tcPr>
          <w:p w14:paraId="1E0B8D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C3D971E"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21DB31C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111EEB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4,471 (10.1%)</w:t>
            </w:r>
          </w:p>
        </w:tc>
        <w:tc>
          <w:tcPr>
            <w:tcW w:w="1668" w:type="dxa"/>
            <w:tcBorders>
              <w:top w:val="nil"/>
              <w:left w:val="nil"/>
              <w:bottom w:val="nil"/>
              <w:right w:val="nil"/>
            </w:tcBorders>
            <w:shd w:val="clear" w:color="auto" w:fill="auto"/>
            <w:noWrap/>
            <w:hideMark/>
          </w:tcPr>
          <w:p w14:paraId="57FEF41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8,777 (13.0%)</w:t>
            </w:r>
          </w:p>
        </w:tc>
        <w:tc>
          <w:tcPr>
            <w:tcW w:w="1667" w:type="dxa"/>
            <w:tcBorders>
              <w:top w:val="nil"/>
              <w:left w:val="nil"/>
              <w:bottom w:val="nil"/>
              <w:right w:val="nil"/>
            </w:tcBorders>
            <w:shd w:val="clear" w:color="auto" w:fill="auto"/>
            <w:noWrap/>
            <w:hideMark/>
          </w:tcPr>
          <w:p w14:paraId="6AE7C1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11,746 (11.2%)</w:t>
            </w:r>
          </w:p>
        </w:tc>
        <w:tc>
          <w:tcPr>
            <w:tcW w:w="1668" w:type="dxa"/>
            <w:tcBorders>
              <w:top w:val="nil"/>
              <w:left w:val="nil"/>
              <w:bottom w:val="nil"/>
              <w:right w:val="nil"/>
            </w:tcBorders>
            <w:shd w:val="clear" w:color="auto" w:fill="auto"/>
            <w:noWrap/>
            <w:hideMark/>
          </w:tcPr>
          <w:p w14:paraId="57E7974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1,123 (4.4%)</w:t>
            </w:r>
          </w:p>
        </w:tc>
      </w:tr>
      <w:tr w:rsidR="0055060F" w:rsidRPr="0055060F" w14:paraId="62FA6610" w14:textId="77777777" w:rsidTr="006F5124">
        <w:trPr>
          <w:trHeight w:val="288"/>
        </w:trPr>
        <w:tc>
          <w:tcPr>
            <w:tcW w:w="851" w:type="dxa"/>
            <w:tcBorders>
              <w:top w:val="nil"/>
              <w:left w:val="nil"/>
              <w:bottom w:val="nil"/>
              <w:right w:val="nil"/>
            </w:tcBorders>
            <w:shd w:val="clear" w:color="auto" w:fill="auto"/>
            <w:noWrap/>
            <w:hideMark/>
          </w:tcPr>
          <w:p w14:paraId="14AC31A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CF8DA1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61D252D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CC17A7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3,386 (75.7%)</w:t>
            </w:r>
          </w:p>
        </w:tc>
        <w:tc>
          <w:tcPr>
            <w:tcW w:w="1668" w:type="dxa"/>
            <w:tcBorders>
              <w:top w:val="nil"/>
              <w:left w:val="nil"/>
              <w:bottom w:val="nil"/>
              <w:right w:val="nil"/>
            </w:tcBorders>
            <w:shd w:val="clear" w:color="auto" w:fill="auto"/>
            <w:noWrap/>
            <w:hideMark/>
          </w:tcPr>
          <w:p w14:paraId="058512F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6,342 (72.3%)</w:t>
            </w:r>
          </w:p>
        </w:tc>
        <w:tc>
          <w:tcPr>
            <w:tcW w:w="1667" w:type="dxa"/>
            <w:tcBorders>
              <w:top w:val="nil"/>
              <w:left w:val="nil"/>
              <w:bottom w:val="nil"/>
              <w:right w:val="nil"/>
            </w:tcBorders>
            <w:shd w:val="clear" w:color="auto" w:fill="auto"/>
            <w:noWrap/>
            <w:hideMark/>
          </w:tcPr>
          <w:p w14:paraId="5D34288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8,477 (72.2%)</w:t>
            </w:r>
          </w:p>
        </w:tc>
        <w:tc>
          <w:tcPr>
            <w:tcW w:w="1668" w:type="dxa"/>
            <w:tcBorders>
              <w:top w:val="nil"/>
              <w:left w:val="nil"/>
              <w:bottom w:val="nil"/>
              <w:right w:val="nil"/>
            </w:tcBorders>
            <w:shd w:val="clear" w:color="auto" w:fill="auto"/>
            <w:noWrap/>
            <w:hideMark/>
          </w:tcPr>
          <w:p w14:paraId="3503846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823 (73.3%)</w:t>
            </w:r>
          </w:p>
        </w:tc>
      </w:tr>
      <w:tr w:rsidR="0055060F" w:rsidRPr="0055060F" w14:paraId="217BEF92" w14:textId="77777777" w:rsidTr="006F5124">
        <w:trPr>
          <w:trHeight w:val="288"/>
        </w:trPr>
        <w:tc>
          <w:tcPr>
            <w:tcW w:w="851" w:type="dxa"/>
            <w:tcBorders>
              <w:top w:val="nil"/>
              <w:left w:val="nil"/>
              <w:bottom w:val="nil"/>
              <w:right w:val="nil"/>
            </w:tcBorders>
            <w:shd w:val="clear" w:color="auto" w:fill="auto"/>
            <w:noWrap/>
            <w:hideMark/>
          </w:tcPr>
          <w:p w14:paraId="3B2A521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19B69B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2233378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1E6B3D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1,085 (24.3%)</w:t>
            </w:r>
          </w:p>
        </w:tc>
        <w:tc>
          <w:tcPr>
            <w:tcW w:w="1668" w:type="dxa"/>
            <w:tcBorders>
              <w:top w:val="nil"/>
              <w:left w:val="nil"/>
              <w:bottom w:val="nil"/>
              <w:right w:val="nil"/>
            </w:tcBorders>
            <w:shd w:val="clear" w:color="auto" w:fill="auto"/>
            <w:noWrap/>
            <w:hideMark/>
          </w:tcPr>
          <w:p w14:paraId="2A8D87C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2,435 (27.7%)</w:t>
            </w:r>
          </w:p>
        </w:tc>
        <w:tc>
          <w:tcPr>
            <w:tcW w:w="1667" w:type="dxa"/>
            <w:tcBorders>
              <w:top w:val="nil"/>
              <w:left w:val="nil"/>
              <w:bottom w:val="nil"/>
              <w:right w:val="nil"/>
            </w:tcBorders>
            <w:shd w:val="clear" w:color="auto" w:fill="auto"/>
            <w:noWrap/>
            <w:hideMark/>
          </w:tcPr>
          <w:p w14:paraId="129FE8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3,269 (27.8%)</w:t>
            </w:r>
          </w:p>
        </w:tc>
        <w:tc>
          <w:tcPr>
            <w:tcW w:w="1668" w:type="dxa"/>
            <w:tcBorders>
              <w:top w:val="nil"/>
              <w:left w:val="nil"/>
              <w:bottom w:val="nil"/>
              <w:right w:val="nil"/>
            </w:tcBorders>
            <w:shd w:val="clear" w:color="auto" w:fill="auto"/>
            <w:noWrap/>
            <w:hideMark/>
          </w:tcPr>
          <w:p w14:paraId="1B9796A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300 (26.7%)</w:t>
            </w:r>
          </w:p>
        </w:tc>
      </w:tr>
      <w:tr w:rsidR="0055060F" w:rsidRPr="0055060F" w14:paraId="48A7908F" w14:textId="77777777" w:rsidTr="006F5124">
        <w:trPr>
          <w:trHeight w:val="288"/>
        </w:trPr>
        <w:tc>
          <w:tcPr>
            <w:tcW w:w="851" w:type="dxa"/>
            <w:tcBorders>
              <w:top w:val="nil"/>
              <w:left w:val="nil"/>
              <w:bottom w:val="nil"/>
              <w:right w:val="nil"/>
            </w:tcBorders>
            <w:shd w:val="clear" w:color="auto" w:fill="auto"/>
            <w:noWrap/>
            <w:hideMark/>
          </w:tcPr>
          <w:p w14:paraId="2AA27886" w14:textId="77777777" w:rsidR="0055060F" w:rsidRPr="0055060F" w:rsidRDefault="0055060F" w:rsidP="0055060F">
            <w:pPr>
              <w:keepNext/>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2017-18</w:t>
            </w:r>
          </w:p>
        </w:tc>
        <w:tc>
          <w:tcPr>
            <w:tcW w:w="4689" w:type="dxa"/>
            <w:tcBorders>
              <w:top w:val="nil"/>
              <w:left w:val="nil"/>
              <w:bottom w:val="nil"/>
              <w:right w:val="nil"/>
            </w:tcBorders>
            <w:shd w:val="clear" w:color="auto" w:fill="auto"/>
            <w:noWrap/>
            <w:hideMark/>
          </w:tcPr>
          <w:p w14:paraId="35F68745" w14:textId="77777777" w:rsidR="0055060F" w:rsidRPr="0055060F" w:rsidRDefault="0055060F" w:rsidP="0055060F">
            <w:pPr>
              <w:keepNext/>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4DB02CB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32,926</w:t>
            </w:r>
          </w:p>
        </w:tc>
        <w:tc>
          <w:tcPr>
            <w:tcW w:w="1667" w:type="dxa"/>
            <w:tcBorders>
              <w:top w:val="nil"/>
              <w:left w:val="nil"/>
              <w:bottom w:val="nil"/>
              <w:right w:val="nil"/>
            </w:tcBorders>
            <w:shd w:val="clear" w:color="auto" w:fill="auto"/>
            <w:noWrap/>
            <w:hideMark/>
          </w:tcPr>
          <w:p w14:paraId="7AAF7F3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42,926</w:t>
            </w:r>
          </w:p>
        </w:tc>
        <w:tc>
          <w:tcPr>
            <w:tcW w:w="1668" w:type="dxa"/>
            <w:tcBorders>
              <w:top w:val="nil"/>
              <w:left w:val="nil"/>
              <w:bottom w:val="nil"/>
              <w:right w:val="nil"/>
            </w:tcBorders>
            <w:shd w:val="clear" w:color="auto" w:fill="auto"/>
            <w:noWrap/>
            <w:hideMark/>
          </w:tcPr>
          <w:p w14:paraId="39AFE63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71,626</w:t>
            </w:r>
          </w:p>
        </w:tc>
        <w:tc>
          <w:tcPr>
            <w:tcW w:w="1667" w:type="dxa"/>
            <w:tcBorders>
              <w:top w:val="nil"/>
              <w:left w:val="nil"/>
              <w:bottom w:val="nil"/>
              <w:right w:val="nil"/>
            </w:tcBorders>
            <w:shd w:val="clear" w:color="auto" w:fill="auto"/>
            <w:noWrap/>
            <w:hideMark/>
          </w:tcPr>
          <w:p w14:paraId="2C200E1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107,181</w:t>
            </w:r>
          </w:p>
        </w:tc>
        <w:tc>
          <w:tcPr>
            <w:tcW w:w="1668" w:type="dxa"/>
            <w:tcBorders>
              <w:top w:val="nil"/>
              <w:left w:val="nil"/>
              <w:bottom w:val="nil"/>
              <w:right w:val="nil"/>
            </w:tcBorders>
            <w:shd w:val="clear" w:color="auto" w:fill="auto"/>
            <w:noWrap/>
            <w:hideMark/>
          </w:tcPr>
          <w:p w14:paraId="64CA86F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27,130</w:t>
            </w:r>
          </w:p>
        </w:tc>
      </w:tr>
      <w:tr w:rsidR="0055060F" w:rsidRPr="0055060F" w14:paraId="39EB7C77" w14:textId="77777777" w:rsidTr="006F5124">
        <w:trPr>
          <w:trHeight w:val="288"/>
        </w:trPr>
        <w:tc>
          <w:tcPr>
            <w:tcW w:w="851" w:type="dxa"/>
            <w:tcBorders>
              <w:top w:val="nil"/>
              <w:left w:val="nil"/>
              <w:bottom w:val="nil"/>
              <w:right w:val="nil"/>
            </w:tcBorders>
            <w:shd w:val="clear" w:color="auto" w:fill="auto"/>
            <w:noWrap/>
            <w:hideMark/>
          </w:tcPr>
          <w:p w14:paraId="5F61A2F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FB53EC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27367E3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w:t>
            </w:r>
          </w:p>
        </w:tc>
        <w:tc>
          <w:tcPr>
            <w:tcW w:w="1667" w:type="dxa"/>
            <w:tcBorders>
              <w:top w:val="nil"/>
              <w:left w:val="nil"/>
              <w:bottom w:val="nil"/>
              <w:right w:val="nil"/>
            </w:tcBorders>
            <w:shd w:val="clear" w:color="auto" w:fill="auto"/>
            <w:noWrap/>
            <w:hideMark/>
          </w:tcPr>
          <w:p w14:paraId="7093B0C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w:t>
            </w:r>
          </w:p>
        </w:tc>
        <w:tc>
          <w:tcPr>
            <w:tcW w:w="1668" w:type="dxa"/>
            <w:tcBorders>
              <w:top w:val="nil"/>
              <w:left w:val="nil"/>
              <w:bottom w:val="nil"/>
              <w:right w:val="nil"/>
            </w:tcBorders>
            <w:shd w:val="clear" w:color="auto" w:fill="auto"/>
            <w:noWrap/>
            <w:hideMark/>
          </w:tcPr>
          <w:p w14:paraId="6CF0DA9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w:t>
            </w:r>
          </w:p>
        </w:tc>
        <w:tc>
          <w:tcPr>
            <w:tcW w:w="1667" w:type="dxa"/>
            <w:tcBorders>
              <w:top w:val="nil"/>
              <w:left w:val="nil"/>
              <w:bottom w:val="nil"/>
              <w:right w:val="nil"/>
            </w:tcBorders>
            <w:shd w:val="clear" w:color="auto" w:fill="auto"/>
            <w:noWrap/>
            <w:hideMark/>
          </w:tcPr>
          <w:p w14:paraId="6EFEC4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w:t>
            </w:r>
          </w:p>
        </w:tc>
        <w:tc>
          <w:tcPr>
            <w:tcW w:w="1668" w:type="dxa"/>
            <w:tcBorders>
              <w:top w:val="nil"/>
              <w:left w:val="nil"/>
              <w:bottom w:val="nil"/>
              <w:right w:val="nil"/>
            </w:tcBorders>
            <w:shd w:val="clear" w:color="auto" w:fill="auto"/>
            <w:noWrap/>
            <w:hideMark/>
          </w:tcPr>
          <w:p w14:paraId="3EB4D21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r>
      <w:tr w:rsidR="0055060F" w:rsidRPr="0055060F" w14:paraId="6ECE923C" w14:textId="77777777" w:rsidTr="006F5124">
        <w:trPr>
          <w:trHeight w:val="288"/>
        </w:trPr>
        <w:tc>
          <w:tcPr>
            <w:tcW w:w="851" w:type="dxa"/>
            <w:tcBorders>
              <w:top w:val="nil"/>
              <w:left w:val="nil"/>
              <w:bottom w:val="nil"/>
              <w:right w:val="nil"/>
            </w:tcBorders>
            <w:shd w:val="clear" w:color="auto" w:fill="auto"/>
            <w:noWrap/>
            <w:hideMark/>
          </w:tcPr>
          <w:p w14:paraId="1A12B41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A941F3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7F7F402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6 (12.3)</w:t>
            </w:r>
          </w:p>
        </w:tc>
        <w:tc>
          <w:tcPr>
            <w:tcW w:w="1667" w:type="dxa"/>
            <w:tcBorders>
              <w:top w:val="nil"/>
              <w:left w:val="nil"/>
              <w:bottom w:val="nil"/>
              <w:right w:val="nil"/>
            </w:tcBorders>
            <w:shd w:val="clear" w:color="auto" w:fill="auto"/>
            <w:noWrap/>
            <w:hideMark/>
          </w:tcPr>
          <w:p w14:paraId="4FCDD0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(10.7)</w:t>
            </w:r>
          </w:p>
        </w:tc>
        <w:tc>
          <w:tcPr>
            <w:tcW w:w="1668" w:type="dxa"/>
            <w:tcBorders>
              <w:top w:val="nil"/>
              <w:left w:val="nil"/>
              <w:bottom w:val="nil"/>
              <w:right w:val="nil"/>
            </w:tcBorders>
            <w:shd w:val="clear" w:color="auto" w:fill="auto"/>
            <w:noWrap/>
            <w:hideMark/>
          </w:tcPr>
          <w:p w14:paraId="25B5092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14 (21.4)</w:t>
            </w:r>
          </w:p>
        </w:tc>
        <w:tc>
          <w:tcPr>
            <w:tcW w:w="1667" w:type="dxa"/>
            <w:tcBorders>
              <w:top w:val="nil"/>
              <w:left w:val="nil"/>
              <w:bottom w:val="nil"/>
              <w:right w:val="nil"/>
            </w:tcBorders>
            <w:shd w:val="clear" w:color="auto" w:fill="auto"/>
            <w:noWrap/>
            <w:hideMark/>
          </w:tcPr>
          <w:p w14:paraId="2D2CEE3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 (18.5)</w:t>
            </w:r>
          </w:p>
        </w:tc>
        <w:tc>
          <w:tcPr>
            <w:tcW w:w="1668" w:type="dxa"/>
            <w:tcBorders>
              <w:top w:val="nil"/>
              <w:left w:val="nil"/>
              <w:bottom w:val="nil"/>
              <w:right w:val="nil"/>
            </w:tcBorders>
            <w:shd w:val="clear" w:color="auto" w:fill="auto"/>
            <w:noWrap/>
            <w:hideMark/>
          </w:tcPr>
          <w:p w14:paraId="2FBC888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(12.5)</w:t>
            </w:r>
          </w:p>
        </w:tc>
      </w:tr>
      <w:tr w:rsidR="0055060F" w:rsidRPr="0055060F" w14:paraId="3A5B72F7" w14:textId="77777777" w:rsidTr="006F5124">
        <w:trPr>
          <w:trHeight w:val="288"/>
        </w:trPr>
        <w:tc>
          <w:tcPr>
            <w:tcW w:w="851" w:type="dxa"/>
            <w:tcBorders>
              <w:top w:val="nil"/>
              <w:left w:val="nil"/>
              <w:bottom w:val="nil"/>
              <w:right w:val="nil"/>
            </w:tcBorders>
            <w:shd w:val="clear" w:color="auto" w:fill="auto"/>
            <w:noWrap/>
            <w:hideMark/>
          </w:tcPr>
          <w:p w14:paraId="05CCF6E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329573C"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040465A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2,693 (8.2%)</w:t>
            </w:r>
          </w:p>
        </w:tc>
        <w:tc>
          <w:tcPr>
            <w:tcW w:w="1667" w:type="dxa"/>
            <w:tcBorders>
              <w:top w:val="nil"/>
              <w:left w:val="nil"/>
              <w:bottom w:val="nil"/>
              <w:right w:val="nil"/>
            </w:tcBorders>
            <w:shd w:val="clear" w:color="auto" w:fill="auto"/>
            <w:noWrap/>
            <w:hideMark/>
          </w:tcPr>
          <w:p w14:paraId="37BD5F4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6,722 (15.7%)</w:t>
            </w:r>
          </w:p>
        </w:tc>
        <w:tc>
          <w:tcPr>
            <w:tcW w:w="1668" w:type="dxa"/>
            <w:tcBorders>
              <w:top w:val="nil"/>
              <w:left w:val="nil"/>
              <w:bottom w:val="nil"/>
              <w:right w:val="nil"/>
            </w:tcBorders>
            <w:shd w:val="clear" w:color="auto" w:fill="auto"/>
            <w:noWrap/>
            <w:hideMark/>
          </w:tcPr>
          <w:p w14:paraId="76FC56C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20,707 (28.9%)</w:t>
            </w:r>
          </w:p>
        </w:tc>
        <w:tc>
          <w:tcPr>
            <w:tcW w:w="1667" w:type="dxa"/>
            <w:tcBorders>
              <w:top w:val="nil"/>
              <w:left w:val="nil"/>
              <w:bottom w:val="nil"/>
              <w:right w:val="nil"/>
            </w:tcBorders>
            <w:shd w:val="clear" w:color="auto" w:fill="auto"/>
            <w:noWrap/>
            <w:hideMark/>
          </w:tcPr>
          <w:p w14:paraId="49999DB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23,689 (22.1%)</w:t>
            </w:r>
          </w:p>
        </w:tc>
        <w:tc>
          <w:tcPr>
            <w:tcW w:w="1668" w:type="dxa"/>
            <w:tcBorders>
              <w:top w:val="nil"/>
              <w:left w:val="nil"/>
              <w:bottom w:val="nil"/>
              <w:right w:val="nil"/>
            </w:tcBorders>
            <w:shd w:val="clear" w:color="auto" w:fill="auto"/>
            <w:noWrap/>
            <w:hideMark/>
          </w:tcPr>
          <w:p w14:paraId="2543F00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2,729 (10.1%)</w:t>
            </w:r>
          </w:p>
        </w:tc>
      </w:tr>
      <w:tr w:rsidR="0055060F" w:rsidRPr="0055060F" w14:paraId="6B77C2FE" w14:textId="77777777" w:rsidTr="006F5124">
        <w:trPr>
          <w:trHeight w:val="288"/>
        </w:trPr>
        <w:tc>
          <w:tcPr>
            <w:tcW w:w="851" w:type="dxa"/>
            <w:tcBorders>
              <w:top w:val="nil"/>
              <w:left w:val="nil"/>
              <w:bottom w:val="nil"/>
              <w:right w:val="nil"/>
            </w:tcBorders>
            <w:shd w:val="clear" w:color="auto" w:fill="auto"/>
            <w:noWrap/>
            <w:hideMark/>
          </w:tcPr>
          <w:p w14:paraId="6156395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3E25648"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5D14F14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96 (161.0)</w:t>
            </w:r>
          </w:p>
        </w:tc>
        <w:tc>
          <w:tcPr>
            <w:tcW w:w="1667" w:type="dxa"/>
            <w:tcBorders>
              <w:top w:val="nil"/>
              <w:left w:val="nil"/>
              <w:bottom w:val="nil"/>
              <w:right w:val="nil"/>
            </w:tcBorders>
            <w:shd w:val="clear" w:color="auto" w:fill="auto"/>
            <w:noWrap/>
            <w:hideMark/>
          </w:tcPr>
          <w:p w14:paraId="07792AE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92 (123.6)</w:t>
            </w:r>
          </w:p>
        </w:tc>
        <w:tc>
          <w:tcPr>
            <w:tcW w:w="1668" w:type="dxa"/>
            <w:tcBorders>
              <w:top w:val="nil"/>
              <w:left w:val="nil"/>
              <w:bottom w:val="nil"/>
              <w:right w:val="nil"/>
            </w:tcBorders>
            <w:shd w:val="clear" w:color="auto" w:fill="auto"/>
            <w:noWrap/>
            <w:hideMark/>
          </w:tcPr>
          <w:p w14:paraId="4E70A2C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182 (330.4)</w:t>
            </w:r>
          </w:p>
        </w:tc>
        <w:tc>
          <w:tcPr>
            <w:tcW w:w="1667" w:type="dxa"/>
            <w:tcBorders>
              <w:top w:val="nil"/>
              <w:left w:val="nil"/>
              <w:bottom w:val="nil"/>
              <w:right w:val="nil"/>
            </w:tcBorders>
            <w:shd w:val="clear" w:color="auto" w:fill="auto"/>
            <w:noWrap/>
            <w:hideMark/>
          </w:tcPr>
          <w:p w14:paraId="5221C6F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168 (312.5)</w:t>
            </w:r>
          </w:p>
        </w:tc>
        <w:tc>
          <w:tcPr>
            <w:tcW w:w="1668" w:type="dxa"/>
            <w:tcBorders>
              <w:top w:val="nil"/>
              <w:left w:val="nil"/>
              <w:bottom w:val="nil"/>
              <w:right w:val="nil"/>
            </w:tcBorders>
            <w:shd w:val="clear" w:color="auto" w:fill="auto"/>
            <w:noWrap/>
            <w:hideMark/>
          </w:tcPr>
          <w:p w14:paraId="74DA082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127 (225.7)</w:t>
            </w:r>
          </w:p>
        </w:tc>
      </w:tr>
      <w:tr w:rsidR="0055060F" w:rsidRPr="0055060F" w14:paraId="1EFFB001" w14:textId="77777777" w:rsidTr="006F5124">
        <w:trPr>
          <w:trHeight w:val="288"/>
        </w:trPr>
        <w:tc>
          <w:tcPr>
            <w:tcW w:w="851" w:type="dxa"/>
            <w:tcBorders>
              <w:top w:val="nil"/>
              <w:left w:val="nil"/>
              <w:bottom w:val="nil"/>
              <w:right w:val="nil"/>
            </w:tcBorders>
            <w:shd w:val="clear" w:color="auto" w:fill="auto"/>
            <w:noWrap/>
            <w:hideMark/>
          </w:tcPr>
          <w:p w14:paraId="6C8069C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567F47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5019E04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$11,377</w:t>
            </w:r>
          </w:p>
        </w:tc>
        <w:tc>
          <w:tcPr>
            <w:tcW w:w="1667" w:type="dxa"/>
            <w:tcBorders>
              <w:top w:val="nil"/>
              <w:left w:val="nil"/>
              <w:bottom w:val="nil"/>
              <w:right w:val="nil"/>
            </w:tcBorders>
            <w:shd w:val="clear" w:color="auto" w:fill="auto"/>
            <w:noWrap/>
            <w:hideMark/>
          </w:tcPr>
          <w:p w14:paraId="0BBDF15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$14,986</w:t>
            </w:r>
          </w:p>
        </w:tc>
        <w:tc>
          <w:tcPr>
            <w:tcW w:w="1668" w:type="dxa"/>
            <w:tcBorders>
              <w:top w:val="nil"/>
              <w:left w:val="nil"/>
              <w:bottom w:val="nil"/>
              <w:right w:val="nil"/>
            </w:tcBorders>
            <w:shd w:val="clear" w:color="auto" w:fill="auto"/>
            <w:noWrap/>
            <w:hideMark/>
          </w:tcPr>
          <w:p w14:paraId="10E05F8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$30,514</w:t>
            </w:r>
          </w:p>
        </w:tc>
        <w:tc>
          <w:tcPr>
            <w:tcW w:w="1667" w:type="dxa"/>
            <w:tcBorders>
              <w:top w:val="nil"/>
              <w:left w:val="nil"/>
              <w:bottom w:val="nil"/>
              <w:right w:val="nil"/>
            </w:tcBorders>
            <w:shd w:val="clear" w:color="auto" w:fill="auto"/>
            <w:noWrap/>
            <w:hideMark/>
          </w:tcPr>
          <w:p w14:paraId="0ABCF45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$24,395</w:t>
            </w:r>
          </w:p>
        </w:tc>
        <w:tc>
          <w:tcPr>
            <w:tcW w:w="1668" w:type="dxa"/>
            <w:tcBorders>
              <w:top w:val="nil"/>
              <w:left w:val="nil"/>
              <w:bottom w:val="nil"/>
              <w:right w:val="nil"/>
            </w:tcBorders>
            <w:shd w:val="clear" w:color="auto" w:fill="auto"/>
            <w:noWrap/>
            <w:hideMark/>
          </w:tcPr>
          <w:p w14:paraId="0DF585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$14,763</w:t>
            </w:r>
          </w:p>
        </w:tc>
      </w:tr>
      <w:tr w:rsidR="0055060F" w:rsidRPr="0055060F" w14:paraId="30E62020" w14:textId="77777777" w:rsidTr="006F5124">
        <w:trPr>
          <w:trHeight w:val="288"/>
        </w:trPr>
        <w:tc>
          <w:tcPr>
            <w:tcW w:w="851" w:type="dxa"/>
            <w:tcBorders>
              <w:top w:val="nil"/>
              <w:left w:val="nil"/>
              <w:bottom w:val="nil"/>
              <w:right w:val="nil"/>
            </w:tcBorders>
            <w:shd w:val="clear" w:color="auto" w:fill="auto"/>
            <w:noWrap/>
            <w:hideMark/>
          </w:tcPr>
          <w:p w14:paraId="520FD86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4ECB5B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4803007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3635EC23"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4DB0CDC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12D468E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79C90C34"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09C3E30F" w14:textId="77777777" w:rsidTr="006F5124">
        <w:trPr>
          <w:trHeight w:val="288"/>
        </w:trPr>
        <w:tc>
          <w:tcPr>
            <w:tcW w:w="851" w:type="dxa"/>
            <w:tcBorders>
              <w:top w:val="nil"/>
              <w:left w:val="nil"/>
              <w:bottom w:val="nil"/>
              <w:right w:val="nil"/>
            </w:tcBorders>
            <w:shd w:val="clear" w:color="auto" w:fill="auto"/>
            <w:noWrap/>
            <w:hideMark/>
          </w:tcPr>
          <w:p w14:paraId="076B4192"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38BF3EA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1BD26FF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912 (2.8%)</w:t>
            </w:r>
          </w:p>
        </w:tc>
        <w:tc>
          <w:tcPr>
            <w:tcW w:w="1667" w:type="dxa"/>
            <w:tcBorders>
              <w:top w:val="nil"/>
              <w:left w:val="nil"/>
              <w:bottom w:val="nil"/>
              <w:right w:val="nil"/>
            </w:tcBorders>
            <w:shd w:val="clear" w:color="auto" w:fill="auto"/>
            <w:noWrap/>
            <w:hideMark/>
          </w:tcPr>
          <w:p w14:paraId="731F446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6,184 (14.4%)</w:t>
            </w:r>
          </w:p>
        </w:tc>
        <w:tc>
          <w:tcPr>
            <w:tcW w:w="1668" w:type="dxa"/>
            <w:tcBorders>
              <w:top w:val="nil"/>
              <w:left w:val="nil"/>
              <w:bottom w:val="nil"/>
              <w:right w:val="nil"/>
            </w:tcBorders>
            <w:shd w:val="clear" w:color="auto" w:fill="auto"/>
            <w:noWrap/>
            <w:hideMark/>
          </w:tcPr>
          <w:p w14:paraId="118F26A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5,957 (8.3%)</w:t>
            </w:r>
          </w:p>
        </w:tc>
        <w:tc>
          <w:tcPr>
            <w:tcW w:w="1667" w:type="dxa"/>
            <w:tcBorders>
              <w:top w:val="nil"/>
              <w:left w:val="nil"/>
              <w:bottom w:val="nil"/>
              <w:right w:val="nil"/>
            </w:tcBorders>
            <w:shd w:val="clear" w:color="auto" w:fill="auto"/>
            <w:noWrap/>
            <w:hideMark/>
          </w:tcPr>
          <w:p w14:paraId="3BCB111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10,996 (10.3%)</w:t>
            </w:r>
          </w:p>
        </w:tc>
        <w:tc>
          <w:tcPr>
            <w:tcW w:w="1668" w:type="dxa"/>
            <w:tcBorders>
              <w:top w:val="nil"/>
              <w:left w:val="nil"/>
              <w:bottom w:val="nil"/>
              <w:right w:val="nil"/>
            </w:tcBorders>
            <w:shd w:val="clear" w:color="auto" w:fill="auto"/>
            <w:noWrap/>
            <w:hideMark/>
          </w:tcPr>
          <w:p w14:paraId="785C58B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924 (3.4%)</w:t>
            </w:r>
          </w:p>
        </w:tc>
      </w:tr>
      <w:tr w:rsidR="0055060F" w:rsidRPr="0055060F" w14:paraId="209F7D3D" w14:textId="77777777" w:rsidTr="006F5124">
        <w:trPr>
          <w:trHeight w:val="288"/>
        </w:trPr>
        <w:tc>
          <w:tcPr>
            <w:tcW w:w="851" w:type="dxa"/>
            <w:tcBorders>
              <w:top w:val="nil"/>
              <w:left w:val="nil"/>
              <w:bottom w:val="nil"/>
              <w:right w:val="nil"/>
            </w:tcBorders>
            <w:shd w:val="clear" w:color="auto" w:fill="auto"/>
            <w:noWrap/>
            <w:hideMark/>
          </w:tcPr>
          <w:p w14:paraId="3AEA7F0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119164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4A79561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4,234 (12.9%)</w:t>
            </w:r>
          </w:p>
        </w:tc>
        <w:tc>
          <w:tcPr>
            <w:tcW w:w="1667" w:type="dxa"/>
            <w:tcBorders>
              <w:top w:val="nil"/>
              <w:left w:val="nil"/>
              <w:bottom w:val="nil"/>
              <w:right w:val="nil"/>
            </w:tcBorders>
            <w:shd w:val="clear" w:color="auto" w:fill="auto"/>
            <w:noWrap/>
            <w:hideMark/>
          </w:tcPr>
          <w:p w14:paraId="2BE9CE6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22,024 (51.3%)</w:t>
            </w:r>
          </w:p>
        </w:tc>
        <w:tc>
          <w:tcPr>
            <w:tcW w:w="1668" w:type="dxa"/>
            <w:tcBorders>
              <w:top w:val="nil"/>
              <w:left w:val="nil"/>
              <w:bottom w:val="nil"/>
              <w:right w:val="nil"/>
            </w:tcBorders>
            <w:shd w:val="clear" w:color="auto" w:fill="auto"/>
            <w:noWrap/>
            <w:hideMark/>
          </w:tcPr>
          <w:p w14:paraId="43A0623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43,268 (60.4%)</w:t>
            </w:r>
          </w:p>
        </w:tc>
        <w:tc>
          <w:tcPr>
            <w:tcW w:w="1667" w:type="dxa"/>
            <w:tcBorders>
              <w:top w:val="nil"/>
              <w:left w:val="nil"/>
              <w:bottom w:val="nil"/>
              <w:right w:val="nil"/>
            </w:tcBorders>
            <w:shd w:val="clear" w:color="auto" w:fill="auto"/>
            <w:noWrap/>
            <w:hideMark/>
          </w:tcPr>
          <w:p w14:paraId="7AE5C50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61,510 (57.4%)</w:t>
            </w:r>
          </w:p>
        </w:tc>
        <w:tc>
          <w:tcPr>
            <w:tcW w:w="1668" w:type="dxa"/>
            <w:tcBorders>
              <w:top w:val="nil"/>
              <w:left w:val="nil"/>
              <w:bottom w:val="nil"/>
              <w:right w:val="nil"/>
            </w:tcBorders>
            <w:shd w:val="clear" w:color="auto" w:fill="auto"/>
            <w:noWrap/>
            <w:hideMark/>
          </w:tcPr>
          <w:p w14:paraId="5BC49BF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3,967 (14.6%)</w:t>
            </w:r>
          </w:p>
        </w:tc>
      </w:tr>
      <w:tr w:rsidR="0055060F" w:rsidRPr="0055060F" w14:paraId="13FF7D54" w14:textId="77777777" w:rsidTr="006F5124">
        <w:trPr>
          <w:trHeight w:val="288"/>
        </w:trPr>
        <w:tc>
          <w:tcPr>
            <w:tcW w:w="851" w:type="dxa"/>
            <w:tcBorders>
              <w:top w:val="nil"/>
              <w:left w:val="nil"/>
              <w:bottom w:val="nil"/>
              <w:right w:val="nil"/>
            </w:tcBorders>
            <w:shd w:val="clear" w:color="auto" w:fill="auto"/>
            <w:noWrap/>
            <w:hideMark/>
          </w:tcPr>
          <w:p w14:paraId="21945D5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3CD6D5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0AE90FF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1,274 (3.9%)</w:t>
            </w:r>
          </w:p>
        </w:tc>
        <w:tc>
          <w:tcPr>
            <w:tcW w:w="1667" w:type="dxa"/>
            <w:tcBorders>
              <w:top w:val="nil"/>
              <w:left w:val="nil"/>
              <w:bottom w:val="nil"/>
              <w:right w:val="nil"/>
            </w:tcBorders>
            <w:shd w:val="clear" w:color="auto" w:fill="auto"/>
            <w:noWrap/>
            <w:hideMark/>
          </w:tcPr>
          <w:p w14:paraId="2A16D47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6,122 (14.3%)</w:t>
            </w:r>
          </w:p>
        </w:tc>
        <w:tc>
          <w:tcPr>
            <w:tcW w:w="1668" w:type="dxa"/>
            <w:tcBorders>
              <w:top w:val="nil"/>
              <w:left w:val="nil"/>
              <w:bottom w:val="nil"/>
              <w:right w:val="nil"/>
            </w:tcBorders>
            <w:shd w:val="clear" w:color="auto" w:fill="auto"/>
            <w:noWrap/>
            <w:hideMark/>
          </w:tcPr>
          <w:p w14:paraId="48E0DF1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13,955 (19.5%)</w:t>
            </w:r>
          </w:p>
        </w:tc>
        <w:tc>
          <w:tcPr>
            <w:tcW w:w="1667" w:type="dxa"/>
            <w:tcBorders>
              <w:top w:val="nil"/>
              <w:left w:val="nil"/>
              <w:bottom w:val="nil"/>
              <w:right w:val="nil"/>
            </w:tcBorders>
            <w:shd w:val="clear" w:color="auto" w:fill="auto"/>
            <w:noWrap/>
            <w:hideMark/>
          </w:tcPr>
          <w:p w14:paraId="75DB99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13,955 (13.0%)</w:t>
            </w:r>
          </w:p>
        </w:tc>
        <w:tc>
          <w:tcPr>
            <w:tcW w:w="1668" w:type="dxa"/>
            <w:tcBorders>
              <w:top w:val="nil"/>
              <w:left w:val="nil"/>
              <w:bottom w:val="nil"/>
              <w:right w:val="nil"/>
            </w:tcBorders>
            <w:shd w:val="clear" w:color="auto" w:fill="auto"/>
            <w:noWrap/>
            <w:hideMark/>
          </w:tcPr>
          <w:p w14:paraId="048C435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1,290 (4.8%)</w:t>
            </w:r>
          </w:p>
        </w:tc>
      </w:tr>
      <w:tr w:rsidR="0055060F" w:rsidRPr="0055060F" w14:paraId="1F380C67" w14:textId="77777777" w:rsidTr="006F5124">
        <w:trPr>
          <w:trHeight w:val="288"/>
        </w:trPr>
        <w:tc>
          <w:tcPr>
            <w:tcW w:w="851" w:type="dxa"/>
            <w:tcBorders>
              <w:top w:val="nil"/>
              <w:left w:val="nil"/>
              <w:bottom w:val="nil"/>
              <w:right w:val="nil"/>
            </w:tcBorders>
            <w:shd w:val="clear" w:color="auto" w:fill="auto"/>
            <w:noWrap/>
            <w:hideMark/>
          </w:tcPr>
          <w:p w14:paraId="4B77BF8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BFA965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6766B00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697C7C6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4,484 (10.4%)</w:t>
            </w:r>
          </w:p>
        </w:tc>
        <w:tc>
          <w:tcPr>
            <w:tcW w:w="1668" w:type="dxa"/>
            <w:tcBorders>
              <w:top w:val="nil"/>
              <w:left w:val="nil"/>
              <w:bottom w:val="nil"/>
              <w:right w:val="nil"/>
            </w:tcBorders>
            <w:shd w:val="clear" w:color="auto" w:fill="auto"/>
            <w:noWrap/>
            <w:hideMark/>
          </w:tcPr>
          <w:p w14:paraId="67BE20A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9,338 (13.0%)</w:t>
            </w:r>
          </w:p>
        </w:tc>
        <w:tc>
          <w:tcPr>
            <w:tcW w:w="1667" w:type="dxa"/>
            <w:tcBorders>
              <w:top w:val="nil"/>
              <w:left w:val="nil"/>
              <w:bottom w:val="nil"/>
              <w:right w:val="nil"/>
            </w:tcBorders>
            <w:shd w:val="clear" w:color="auto" w:fill="auto"/>
            <w:noWrap/>
            <w:hideMark/>
          </w:tcPr>
          <w:p w14:paraId="03F8D78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12,205 (11.4%)</w:t>
            </w:r>
          </w:p>
        </w:tc>
        <w:tc>
          <w:tcPr>
            <w:tcW w:w="1668" w:type="dxa"/>
            <w:tcBorders>
              <w:top w:val="nil"/>
              <w:left w:val="nil"/>
              <w:bottom w:val="nil"/>
              <w:right w:val="nil"/>
            </w:tcBorders>
            <w:shd w:val="clear" w:color="auto" w:fill="auto"/>
            <w:noWrap/>
            <w:hideMark/>
          </w:tcPr>
          <w:p w14:paraId="7C713CD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1,158 (4.3%)</w:t>
            </w:r>
          </w:p>
        </w:tc>
      </w:tr>
      <w:tr w:rsidR="0055060F" w:rsidRPr="0055060F" w14:paraId="7D43786F" w14:textId="77777777" w:rsidTr="006F5124">
        <w:trPr>
          <w:trHeight w:val="288"/>
        </w:trPr>
        <w:tc>
          <w:tcPr>
            <w:tcW w:w="851" w:type="dxa"/>
            <w:tcBorders>
              <w:top w:val="nil"/>
              <w:left w:val="nil"/>
              <w:bottom w:val="nil"/>
              <w:right w:val="nil"/>
            </w:tcBorders>
            <w:shd w:val="clear" w:color="auto" w:fill="auto"/>
            <w:noWrap/>
            <w:hideMark/>
          </w:tcPr>
          <w:p w14:paraId="44408E7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BA6CDF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493848E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0F52C85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3,363 (75.0%)</w:t>
            </w:r>
          </w:p>
        </w:tc>
        <w:tc>
          <w:tcPr>
            <w:tcW w:w="1668" w:type="dxa"/>
            <w:tcBorders>
              <w:top w:val="nil"/>
              <w:left w:val="nil"/>
              <w:bottom w:val="nil"/>
              <w:right w:val="nil"/>
            </w:tcBorders>
            <w:shd w:val="clear" w:color="auto" w:fill="auto"/>
            <w:noWrap/>
            <w:hideMark/>
          </w:tcPr>
          <w:p w14:paraId="75DBE74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6,761 (72.4%)</w:t>
            </w:r>
          </w:p>
        </w:tc>
        <w:tc>
          <w:tcPr>
            <w:tcW w:w="1667" w:type="dxa"/>
            <w:tcBorders>
              <w:top w:val="nil"/>
              <w:left w:val="nil"/>
              <w:bottom w:val="nil"/>
              <w:right w:val="nil"/>
            </w:tcBorders>
            <w:shd w:val="clear" w:color="auto" w:fill="auto"/>
            <w:noWrap/>
            <w:hideMark/>
          </w:tcPr>
          <w:p w14:paraId="1044617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8,770 (71.9%)</w:t>
            </w:r>
          </w:p>
        </w:tc>
        <w:tc>
          <w:tcPr>
            <w:tcW w:w="1668" w:type="dxa"/>
            <w:tcBorders>
              <w:top w:val="nil"/>
              <w:left w:val="nil"/>
              <w:bottom w:val="nil"/>
              <w:right w:val="nil"/>
            </w:tcBorders>
            <w:shd w:val="clear" w:color="auto" w:fill="auto"/>
            <w:noWrap/>
            <w:hideMark/>
          </w:tcPr>
          <w:p w14:paraId="2A5AED0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838 (72.4%)</w:t>
            </w:r>
          </w:p>
        </w:tc>
      </w:tr>
      <w:tr w:rsidR="0055060F" w:rsidRPr="0055060F" w14:paraId="51E32752" w14:textId="77777777" w:rsidTr="006F5124">
        <w:trPr>
          <w:trHeight w:val="288"/>
        </w:trPr>
        <w:tc>
          <w:tcPr>
            <w:tcW w:w="851" w:type="dxa"/>
            <w:tcBorders>
              <w:top w:val="nil"/>
              <w:left w:val="nil"/>
              <w:bottom w:val="nil"/>
              <w:right w:val="nil"/>
            </w:tcBorders>
            <w:shd w:val="clear" w:color="auto" w:fill="auto"/>
            <w:noWrap/>
            <w:hideMark/>
          </w:tcPr>
          <w:p w14:paraId="20702D3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A8275D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49EE6B3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A937E0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1,121 (25.0%)</w:t>
            </w:r>
          </w:p>
        </w:tc>
        <w:tc>
          <w:tcPr>
            <w:tcW w:w="1668" w:type="dxa"/>
            <w:tcBorders>
              <w:top w:val="nil"/>
              <w:left w:val="nil"/>
              <w:bottom w:val="nil"/>
              <w:right w:val="nil"/>
            </w:tcBorders>
            <w:shd w:val="clear" w:color="auto" w:fill="auto"/>
            <w:noWrap/>
            <w:hideMark/>
          </w:tcPr>
          <w:p w14:paraId="6756F8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2,577 (27.6%)</w:t>
            </w:r>
          </w:p>
        </w:tc>
        <w:tc>
          <w:tcPr>
            <w:tcW w:w="1667" w:type="dxa"/>
            <w:tcBorders>
              <w:top w:val="nil"/>
              <w:left w:val="nil"/>
              <w:bottom w:val="nil"/>
              <w:right w:val="nil"/>
            </w:tcBorders>
            <w:shd w:val="clear" w:color="auto" w:fill="auto"/>
            <w:noWrap/>
            <w:hideMark/>
          </w:tcPr>
          <w:p w14:paraId="0E859A0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3,435 (28.1%)</w:t>
            </w:r>
          </w:p>
        </w:tc>
        <w:tc>
          <w:tcPr>
            <w:tcW w:w="1668" w:type="dxa"/>
            <w:tcBorders>
              <w:top w:val="nil"/>
              <w:left w:val="nil"/>
              <w:bottom w:val="nil"/>
              <w:right w:val="nil"/>
            </w:tcBorders>
            <w:shd w:val="clear" w:color="auto" w:fill="auto"/>
            <w:noWrap/>
            <w:hideMark/>
          </w:tcPr>
          <w:p w14:paraId="367216D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320 (27.6%)</w:t>
            </w:r>
          </w:p>
        </w:tc>
      </w:tr>
      <w:tr w:rsidR="0055060F" w:rsidRPr="0055060F" w14:paraId="0DA8EC6B" w14:textId="77777777" w:rsidTr="006F5124">
        <w:trPr>
          <w:trHeight w:val="288"/>
        </w:trPr>
        <w:tc>
          <w:tcPr>
            <w:tcW w:w="851" w:type="dxa"/>
            <w:tcBorders>
              <w:top w:val="nil"/>
              <w:left w:val="nil"/>
              <w:bottom w:val="nil"/>
              <w:right w:val="nil"/>
            </w:tcBorders>
            <w:shd w:val="clear" w:color="auto" w:fill="auto"/>
            <w:noWrap/>
            <w:hideMark/>
          </w:tcPr>
          <w:p w14:paraId="1268603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2018-19</w:t>
            </w:r>
          </w:p>
        </w:tc>
        <w:tc>
          <w:tcPr>
            <w:tcW w:w="4689" w:type="dxa"/>
            <w:tcBorders>
              <w:top w:val="nil"/>
              <w:left w:val="nil"/>
              <w:bottom w:val="nil"/>
              <w:right w:val="nil"/>
            </w:tcBorders>
            <w:shd w:val="clear" w:color="auto" w:fill="auto"/>
            <w:noWrap/>
            <w:hideMark/>
          </w:tcPr>
          <w:p w14:paraId="4940C9C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55895A9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33,787</w:t>
            </w:r>
          </w:p>
        </w:tc>
        <w:tc>
          <w:tcPr>
            <w:tcW w:w="1667" w:type="dxa"/>
            <w:tcBorders>
              <w:top w:val="nil"/>
              <w:left w:val="nil"/>
              <w:bottom w:val="nil"/>
              <w:right w:val="nil"/>
            </w:tcBorders>
            <w:shd w:val="clear" w:color="auto" w:fill="auto"/>
            <w:noWrap/>
            <w:hideMark/>
          </w:tcPr>
          <w:p w14:paraId="11652C6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43,595</w:t>
            </w:r>
          </w:p>
        </w:tc>
        <w:tc>
          <w:tcPr>
            <w:tcW w:w="1668" w:type="dxa"/>
            <w:tcBorders>
              <w:top w:val="nil"/>
              <w:left w:val="nil"/>
              <w:bottom w:val="nil"/>
              <w:right w:val="nil"/>
            </w:tcBorders>
            <w:shd w:val="clear" w:color="auto" w:fill="auto"/>
            <w:noWrap/>
            <w:hideMark/>
          </w:tcPr>
          <w:p w14:paraId="7164FAD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72,991</w:t>
            </w:r>
          </w:p>
        </w:tc>
        <w:tc>
          <w:tcPr>
            <w:tcW w:w="1667" w:type="dxa"/>
            <w:tcBorders>
              <w:top w:val="nil"/>
              <w:left w:val="nil"/>
              <w:bottom w:val="nil"/>
              <w:right w:val="nil"/>
            </w:tcBorders>
            <w:shd w:val="clear" w:color="auto" w:fill="auto"/>
            <w:noWrap/>
            <w:hideMark/>
          </w:tcPr>
          <w:p w14:paraId="49F867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109,008</w:t>
            </w:r>
          </w:p>
        </w:tc>
        <w:tc>
          <w:tcPr>
            <w:tcW w:w="1668" w:type="dxa"/>
            <w:tcBorders>
              <w:top w:val="nil"/>
              <w:left w:val="nil"/>
              <w:bottom w:val="nil"/>
              <w:right w:val="nil"/>
            </w:tcBorders>
            <w:shd w:val="clear" w:color="auto" w:fill="auto"/>
            <w:noWrap/>
            <w:hideMark/>
          </w:tcPr>
          <w:p w14:paraId="5996EA5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28,292</w:t>
            </w:r>
          </w:p>
        </w:tc>
      </w:tr>
      <w:tr w:rsidR="0055060F" w:rsidRPr="0055060F" w14:paraId="733CBC64" w14:textId="77777777" w:rsidTr="006F5124">
        <w:trPr>
          <w:trHeight w:val="288"/>
        </w:trPr>
        <w:tc>
          <w:tcPr>
            <w:tcW w:w="851" w:type="dxa"/>
            <w:tcBorders>
              <w:top w:val="nil"/>
              <w:left w:val="nil"/>
              <w:bottom w:val="nil"/>
              <w:right w:val="nil"/>
            </w:tcBorders>
            <w:shd w:val="clear" w:color="auto" w:fill="auto"/>
            <w:noWrap/>
            <w:hideMark/>
          </w:tcPr>
          <w:p w14:paraId="24826C1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A785537"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3569E9A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w:t>
            </w:r>
          </w:p>
        </w:tc>
        <w:tc>
          <w:tcPr>
            <w:tcW w:w="1667" w:type="dxa"/>
            <w:tcBorders>
              <w:top w:val="nil"/>
              <w:left w:val="nil"/>
              <w:bottom w:val="nil"/>
              <w:right w:val="nil"/>
            </w:tcBorders>
            <w:shd w:val="clear" w:color="auto" w:fill="auto"/>
            <w:noWrap/>
            <w:hideMark/>
          </w:tcPr>
          <w:p w14:paraId="3B36BC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w:t>
            </w:r>
          </w:p>
        </w:tc>
        <w:tc>
          <w:tcPr>
            <w:tcW w:w="1668" w:type="dxa"/>
            <w:tcBorders>
              <w:top w:val="nil"/>
              <w:left w:val="nil"/>
              <w:bottom w:val="nil"/>
              <w:right w:val="nil"/>
            </w:tcBorders>
            <w:shd w:val="clear" w:color="auto" w:fill="auto"/>
            <w:noWrap/>
            <w:hideMark/>
          </w:tcPr>
          <w:p w14:paraId="3DDA65D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w:t>
            </w:r>
          </w:p>
        </w:tc>
        <w:tc>
          <w:tcPr>
            <w:tcW w:w="1667" w:type="dxa"/>
            <w:tcBorders>
              <w:top w:val="nil"/>
              <w:left w:val="nil"/>
              <w:bottom w:val="nil"/>
              <w:right w:val="nil"/>
            </w:tcBorders>
            <w:shd w:val="clear" w:color="auto" w:fill="auto"/>
            <w:noWrap/>
            <w:hideMark/>
          </w:tcPr>
          <w:p w14:paraId="7E81DEB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w:t>
            </w:r>
          </w:p>
        </w:tc>
        <w:tc>
          <w:tcPr>
            <w:tcW w:w="1668" w:type="dxa"/>
            <w:tcBorders>
              <w:top w:val="nil"/>
              <w:left w:val="nil"/>
              <w:bottom w:val="nil"/>
              <w:right w:val="nil"/>
            </w:tcBorders>
            <w:shd w:val="clear" w:color="auto" w:fill="auto"/>
            <w:noWrap/>
            <w:hideMark/>
          </w:tcPr>
          <w:p w14:paraId="574AFF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r>
      <w:tr w:rsidR="0055060F" w:rsidRPr="0055060F" w14:paraId="480E65D7" w14:textId="77777777" w:rsidTr="006F5124">
        <w:trPr>
          <w:trHeight w:val="288"/>
        </w:trPr>
        <w:tc>
          <w:tcPr>
            <w:tcW w:w="851" w:type="dxa"/>
            <w:tcBorders>
              <w:top w:val="nil"/>
              <w:left w:val="nil"/>
              <w:bottom w:val="nil"/>
              <w:right w:val="nil"/>
            </w:tcBorders>
            <w:shd w:val="clear" w:color="auto" w:fill="auto"/>
            <w:noWrap/>
            <w:hideMark/>
          </w:tcPr>
          <w:p w14:paraId="7C14356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E525C0F"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28A26D9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6 (12.3)</w:t>
            </w:r>
          </w:p>
        </w:tc>
        <w:tc>
          <w:tcPr>
            <w:tcW w:w="1667" w:type="dxa"/>
            <w:tcBorders>
              <w:top w:val="nil"/>
              <w:left w:val="nil"/>
              <w:bottom w:val="nil"/>
              <w:right w:val="nil"/>
            </w:tcBorders>
            <w:shd w:val="clear" w:color="auto" w:fill="auto"/>
            <w:noWrap/>
            <w:hideMark/>
          </w:tcPr>
          <w:p w14:paraId="7A53E26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(9.9)</w:t>
            </w:r>
          </w:p>
        </w:tc>
        <w:tc>
          <w:tcPr>
            <w:tcW w:w="1668" w:type="dxa"/>
            <w:tcBorders>
              <w:top w:val="nil"/>
              <w:left w:val="nil"/>
              <w:bottom w:val="nil"/>
              <w:right w:val="nil"/>
            </w:tcBorders>
            <w:shd w:val="clear" w:color="auto" w:fill="auto"/>
            <w:noWrap/>
            <w:hideMark/>
          </w:tcPr>
          <w:p w14:paraId="7F22208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14 (20.7)</w:t>
            </w:r>
          </w:p>
        </w:tc>
        <w:tc>
          <w:tcPr>
            <w:tcW w:w="1667" w:type="dxa"/>
            <w:tcBorders>
              <w:top w:val="nil"/>
              <w:left w:val="nil"/>
              <w:bottom w:val="nil"/>
              <w:right w:val="nil"/>
            </w:tcBorders>
            <w:shd w:val="clear" w:color="auto" w:fill="auto"/>
            <w:noWrap/>
            <w:hideMark/>
          </w:tcPr>
          <w:p w14:paraId="5B46A60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11 (17.9)</w:t>
            </w:r>
          </w:p>
        </w:tc>
        <w:tc>
          <w:tcPr>
            <w:tcW w:w="1668" w:type="dxa"/>
            <w:tcBorders>
              <w:top w:val="nil"/>
              <w:left w:val="nil"/>
              <w:bottom w:val="nil"/>
              <w:right w:val="nil"/>
            </w:tcBorders>
            <w:shd w:val="clear" w:color="auto" w:fill="auto"/>
            <w:noWrap/>
            <w:hideMark/>
          </w:tcPr>
          <w:p w14:paraId="405CED7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(13.3)</w:t>
            </w:r>
          </w:p>
        </w:tc>
      </w:tr>
      <w:tr w:rsidR="0055060F" w:rsidRPr="0055060F" w14:paraId="41777C9B" w14:textId="77777777" w:rsidTr="006F5124">
        <w:trPr>
          <w:trHeight w:val="288"/>
        </w:trPr>
        <w:tc>
          <w:tcPr>
            <w:tcW w:w="851" w:type="dxa"/>
            <w:tcBorders>
              <w:top w:val="nil"/>
              <w:left w:val="nil"/>
              <w:bottom w:val="nil"/>
              <w:right w:val="nil"/>
            </w:tcBorders>
            <w:shd w:val="clear" w:color="auto" w:fill="auto"/>
            <w:noWrap/>
            <w:hideMark/>
          </w:tcPr>
          <w:p w14:paraId="6B65B5C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7FAA65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25CC7A4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2,780 (8.2%)</w:t>
            </w:r>
          </w:p>
        </w:tc>
        <w:tc>
          <w:tcPr>
            <w:tcW w:w="1667" w:type="dxa"/>
            <w:tcBorders>
              <w:top w:val="nil"/>
              <w:left w:val="nil"/>
              <w:bottom w:val="nil"/>
              <w:right w:val="nil"/>
            </w:tcBorders>
            <w:shd w:val="clear" w:color="auto" w:fill="auto"/>
            <w:noWrap/>
            <w:hideMark/>
          </w:tcPr>
          <w:p w14:paraId="307BB66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6,945 (15.9%)</w:t>
            </w:r>
          </w:p>
        </w:tc>
        <w:tc>
          <w:tcPr>
            <w:tcW w:w="1668" w:type="dxa"/>
            <w:tcBorders>
              <w:top w:val="nil"/>
              <w:left w:val="nil"/>
              <w:bottom w:val="nil"/>
              <w:right w:val="nil"/>
            </w:tcBorders>
            <w:shd w:val="clear" w:color="auto" w:fill="auto"/>
            <w:noWrap/>
            <w:hideMark/>
          </w:tcPr>
          <w:p w14:paraId="1510971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20,910 (28.6%)</w:t>
            </w:r>
          </w:p>
        </w:tc>
        <w:tc>
          <w:tcPr>
            <w:tcW w:w="1667" w:type="dxa"/>
            <w:tcBorders>
              <w:top w:val="nil"/>
              <w:left w:val="nil"/>
              <w:bottom w:val="nil"/>
              <w:right w:val="nil"/>
            </w:tcBorders>
            <w:shd w:val="clear" w:color="auto" w:fill="auto"/>
            <w:noWrap/>
            <w:hideMark/>
          </w:tcPr>
          <w:p w14:paraId="3881C7E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23,984 (22.0%)</w:t>
            </w:r>
          </w:p>
        </w:tc>
        <w:tc>
          <w:tcPr>
            <w:tcW w:w="1668" w:type="dxa"/>
            <w:tcBorders>
              <w:top w:val="nil"/>
              <w:left w:val="nil"/>
              <w:bottom w:val="nil"/>
              <w:right w:val="nil"/>
            </w:tcBorders>
            <w:shd w:val="clear" w:color="auto" w:fill="auto"/>
            <w:noWrap/>
            <w:hideMark/>
          </w:tcPr>
          <w:p w14:paraId="65DF456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3,072 (10.9%)</w:t>
            </w:r>
          </w:p>
        </w:tc>
      </w:tr>
      <w:tr w:rsidR="0055060F" w:rsidRPr="0055060F" w14:paraId="24AAC218" w14:textId="77777777" w:rsidTr="006F5124">
        <w:trPr>
          <w:trHeight w:val="288"/>
        </w:trPr>
        <w:tc>
          <w:tcPr>
            <w:tcW w:w="851" w:type="dxa"/>
            <w:tcBorders>
              <w:top w:val="nil"/>
              <w:left w:val="nil"/>
              <w:bottom w:val="nil"/>
              <w:right w:val="nil"/>
            </w:tcBorders>
            <w:shd w:val="clear" w:color="auto" w:fill="auto"/>
            <w:noWrap/>
            <w:hideMark/>
          </w:tcPr>
          <w:p w14:paraId="1FF4128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176FB03"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7C8890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92 (143.2)</w:t>
            </w:r>
          </w:p>
        </w:tc>
        <w:tc>
          <w:tcPr>
            <w:tcW w:w="1667" w:type="dxa"/>
            <w:tcBorders>
              <w:top w:val="nil"/>
              <w:left w:val="nil"/>
              <w:bottom w:val="nil"/>
              <w:right w:val="nil"/>
            </w:tcBorders>
            <w:shd w:val="clear" w:color="auto" w:fill="auto"/>
            <w:noWrap/>
            <w:hideMark/>
          </w:tcPr>
          <w:p w14:paraId="1E20878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95 (133.7)</w:t>
            </w:r>
          </w:p>
        </w:tc>
        <w:tc>
          <w:tcPr>
            <w:tcW w:w="1668" w:type="dxa"/>
            <w:tcBorders>
              <w:top w:val="nil"/>
              <w:left w:val="nil"/>
              <w:bottom w:val="nil"/>
              <w:right w:val="nil"/>
            </w:tcBorders>
            <w:shd w:val="clear" w:color="auto" w:fill="auto"/>
            <w:noWrap/>
            <w:hideMark/>
          </w:tcPr>
          <w:p w14:paraId="60FB9A8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173 (315.9)</w:t>
            </w:r>
          </w:p>
        </w:tc>
        <w:tc>
          <w:tcPr>
            <w:tcW w:w="1667" w:type="dxa"/>
            <w:tcBorders>
              <w:top w:val="nil"/>
              <w:left w:val="nil"/>
              <w:bottom w:val="nil"/>
              <w:right w:val="nil"/>
            </w:tcBorders>
            <w:shd w:val="clear" w:color="auto" w:fill="auto"/>
            <w:noWrap/>
            <w:hideMark/>
          </w:tcPr>
          <w:p w14:paraId="2F6358F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161 (299.2)</w:t>
            </w:r>
          </w:p>
        </w:tc>
        <w:tc>
          <w:tcPr>
            <w:tcW w:w="1668" w:type="dxa"/>
            <w:tcBorders>
              <w:top w:val="nil"/>
              <w:left w:val="nil"/>
              <w:bottom w:val="nil"/>
              <w:right w:val="nil"/>
            </w:tcBorders>
            <w:shd w:val="clear" w:color="auto" w:fill="auto"/>
            <w:noWrap/>
            <w:hideMark/>
          </w:tcPr>
          <w:p w14:paraId="115929F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134 (221.5)</w:t>
            </w:r>
          </w:p>
        </w:tc>
      </w:tr>
      <w:tr w:rsidR="0055060F" w:rsidRPr="0055060F" w14:paraId="017983CD" w14:textId="77777777" w:rsidTr="006F5124">
        <w:trPr>
          <w:trHeight w:val="288"/>
        </w:trPr>
        <w:tc>
          <w:tcPr>
            <w:tcW w:w="851" w:type="dxa"/>
            <w:tcBorders>
              <w:top w:val="nil"/>
              <w:left w:val="nil"/>
              <w:bottom w:val="nil"/>
              <w:right w:val="nil"/>
            </w:tcBorders>
            <w:shd w:val="clear" w:color="auto" w:fill="auto"/>
            <w:noWrap/>
            <w:hideMark/>
          </w:tcPr>
          <w:p w14:paraId="45E4C76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4C23BC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5A7BB26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$11,823</w:t>
            </w:r>
          </w:p>
        </w:tc>
        <w:tc>
          <w:tcPr>
            <w:tcW w:w="1667" w:type="dxa"/>
            <w:tcBorders>
              <w:top w:val="nil"/>
              <w:left w:val="nil"/>
              <w:bottom w:val="nil"/>
              <w:right w:val="nil"/>
            </w:tcBorders>
            <w:shd w:val="clear" w:color="auto" w:fill="auto"/>
            <w:noWrap/>
            <w:hideMark/>
          </w:tcPr>
          <w:p w14:paraId="56772DE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$15,863</w:t>
            </w:r>
          </w:p>
        </w:tc>
        <w:tc>
          <w:tcPr>
            <w:tcW w:w="1668" w:type="dxa"/>
            <w:tcBorders>
              <w:top w:val="nil"/>
              <w:left w:val="nil"/>
              <w:bottom w:val="nil"/>
              <w:right w:val="nil"/>
            </w:tcBorders>
            <w:shd w:val="clear" w:color="auto" w:fill="auto"/>
            <w:noWrap/>
            <w:hideMark/>
          </w:tcPr>
          <w:p w14:paraId="3528914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$30,749</w:t>
            </w:r>
          </w:p>
        </w:tc>
        <w:tc>
          <w:tcPr>
            <w:tcW w:w="1667" w:type="dxa"/>
            <w:tcBorders>
              <w:top w:val="nil"/>
              <w:left w:val="nil"/>
              <w:bottom w:val="nil"/>
              <w:right w:val="nil"/>
            </w:tcBorders>
            <w:shd w:val="clear" w:color="auto" w:fill="auto"/>
            <w:noWrap/>
            <w:hideMark/>
          </w:tcPr>
          <w:p w14:paraId="705AC1A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$24,871</w:t>
            </w:r>
          </w:p>
        </w:tc>
        <w:tc>
          <w:tcPr>
            <w:tcW w:w="1668" w:type="dxa"/>
            <w:tcBorders>
              <w:top w:val="nil"/>
              <w:left w:val="nil"/>
              <w:bottom w:val="nil"/>
              <w:right w:val="nil"/>
            </w:tcBorders>
            <w:shd w:val="clear" w:color="auto" w:fill="auto"/>
            <w:noWrap/>
            <w:hideMark/>
          </w:tcPr>
          <w:p w14:paraId="64C555C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$15,577</w:t>
            </w:r>
          </w:p>
        </w:tc>
      </w:tr>
      <w:tr w:rsidR="0055060F" w:rsidRPr="0055060F" w14:paraId="36576B5F" w14:textId="77777777" w:rsidTr="006F5124">
        <w:trPr>
          <w:trHeight w:val="288"/>
        </w:trPr>
        <w:tc>
          <w:tcPr>
            <w:tcW w:w="851" w:type="dxa"/>
            <w:tcBorders>
              <w:top w:val="nil"/>
              <w:left w:val="nil"/>
              <w:bottom w:val="nil"/>
              <w:right w:val="nil"/>
            </w:tcBorders>
            <w:shd w:val="clear" w:color="auto" w:fill="auto"/>
            <w:noWrap/>
            <w:hideMark/>
          </w:tcPr>
          <w:p w14:paraId="2DC1F94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58526A3"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6027F44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77D2F45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72F473BC"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2708F41A"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1D894637"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48842DE2" w14:textId="77777777" w:rsidTr="006F5124">
        <w:trPr>
          <w:trHeight w:val="288"/>
        </w:trPr>
        <w:tc>
          <w:tcPr>
            <w:tcW w:w="851" w:type="dxa"/>
            <w:tcBorders>
              <w:top w:val="nil"/>
              <w:left w:val="nil"/>
              <w:bottom w:val="nil"/>
              <w:right w:val="nil"/>
            </w:tcBorders>
            <w:shd w:val="clear" w:color="auto" w:fill="auto"/>
            <w:noWrap/>
            <w:hideMark/>
          </w:tcPr>
          <w:p w14:paraId="52BEE89D"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00EEA55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5E4A512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977 (2.9%)</w:t>
            </w:r>
          </w:p>
        </w:tc>
        <w:tc>
          <w:tcPr>
            <w:tcW w:w="1667" w:type="dxa"/>
            <w:tcBorders>
              <w:top w:val="nil"/>
              <w:left w:val="nil"/>
              <w:bottom w:val="nil"/>
              <w:right w:val="nil"/>
            </w:tcBorders>
            <w:shd w:val="clear" w:color="auto" w:fill="auto"/>
            <w:noWrap/>
            <w:hideMark/>
          </w:tcPr>
          <w:p w14:paraId="641713E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6,338 (14.5%)</w:t>
            </w:r>
          </w:p>
        </w:tc>
        <w:tc>
          <w:tcPr>
            <w:tcW w:w="1668" w:type="dxa"/>
            <w:tcBorders>
              <w:top w:val="nil"/>
              <w:left w:val="nil"/>
              <w:bottom w:val="nil"/>
              <w:right w:val="nil"/>
            </w:tcBorders>
            <w:shd w:val="clear" w:color="auto" w:fill="auto"/>
            <w:noWrap/>
            <w:hideMark/>
          </w:tcPr>
          <w:p w14:paraId="6462D9E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6,390 (8.8%)</w:t>
            </w:r>
          </w:p>
        </w:tc>
        <w:tc>
          <w:tcPr>
            <w:tcW w:w="1667" w:type="dxa"/>
            <w:tcBorders>
              <w:top w:val="nil"/>
              <w:left w:val="nil"/>
              <w:bottom w:val="nil"/>
              <w:right w:val="nil"/>
            </w:tcBorders>
            <w:shd w:val="clear" w:color="auto" w:fill="auto"/>
            <w:noWrap/>
            <w:hideMark/>
          </w:tcPr>
          <w:p w14:paraId="3F4E8F7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11,488 (10.5%)</w:t>
            </w:r>
          </w:p>
        </w:tc>
        <w:tc>
          <w:tcPr>
            <w:tcW w:w="1668" w:type="dxa"/>
            <w:tcBorders>
              <w:top w:val="nil"/>
              <w:left w:val="nil"/>
              <w:bottom w:val="nil"/>
              <w:right w:val="nil"/>
            </w:tcBorders>
            <w:shd w:val="clear" w:color="auto" w:fill="auto"/>
            <w:noWrap/>
            <w:hideMark/>
          </w:tcPr>
          <w:p w14:paraId="43E1CD0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983 (3.5%)</w:t>
            </w:r>
          </w:p>
        </w:tc>
      </w:tr>
      <w:tr w:rsidR="0055060F" w:rsidRPr="0055060F" w14:paraId="30505BE0" w14:textId="77777777" w:rsidTr="006F5124">
        <w:trPr>
          <w:trHeight w:val="288"/>
        </w:trPr>
        <w:tc>
          <w:tcPr>
            <w:tcW w:w="851" w:type="dxa"/>
            <w:tcBorders>
              <w:top w:val="nil"/>
              <w:left w:val="nil"/>
              <w:bottom w:val="nil"/>
              <w:right w:val="nil"/>
            </w:tcBorders>
            <w:shd w:val="clear" w:color="auto" w:fill="auto"/>
            <w:noWrap/>
            <w:hideMark/>
          </w:tcPr>
          <w:p w14:paraId="11E11FD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48FC57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1A98175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4,606 (13.6%)</w:t>
            </w:r>
          </w:p>
        </w:tc>
        <w:tc>
          <w:tcPr>
            <w:tcW w:w="1667" w:type="dxa"/>
            <w:tcBorders>
              <w:top w:val="nil"/>
              <w:left w:val="nil"/>
              <w:bottom w:val="nil"/>
              <w:right w:val="nil"/>
            </w:tcBorders>
            <w:shd w:val="clear" w:color="auto" w:fill="auto"/>
            <w:noWrap/>
            <w:hideMark/>
          </w:tcPr>
          <w:p w14:paraId="57C430A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22,917 (52.6%)</w:t>
            </w:r>
          </w:p>
        </w:tc>
        <w:tc>
          <w:tcPr>
            <w:tcW w:w="1668" w:type="dxa"/>
            <w:tcBorders>
              <w:top w:val="nil"/>
              <w:left w:val="nil"/>
              <w:bottom w:val="nil"/>
              <w:right w:val="nil"/>
            </w:tcBorders>
            <w:shd w:val="clear" w:color="auto" w:fill="auto"/>
            <w:noWrap/>
            <w:hideMark/>
          </w:tcPr>
          <w:p w14:paraId="1C8B84E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45,923 (62.9%)</w:t>
            </w:r>
          </w:p>
        </w:tc>
        <w:tc>
          <w:tcPr>
            <w:tcW w:w="1667" w:type="dxa"/>
            <w:tcBorders>
              <w:top w:val="nil"/>
              <w:left w:val="nil"/>
              <w:bottom w:val="nil"/>
              <w:right w:val="nil"/>
            </w:tcBorders>
            <w:shd w:val="clear" w:color="auto" w:fill="auto"/>
            <w:noWrap/>
            <w:hideMark/>
          </w:tcPr>
          <w:p w14:paraId="2F75A28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64,891 (59.5%)</w:t>
            </w:r>
          </w:p>
        </w:tc>
        <w:tc>
          <w:tcPr>
            <w:tcW w:w="1668" w:type="dxa"/>
            <w:tcBorders>
              <w:top w:val="nil"/>
              <w:left w:val="nil"/>
              <w:bottom w:val="nil"/>
              <w:right w:val="nil"/>
            </w:tcBorders>
            <w:shd w:val="clear" w:color="auto" w:fill="auto"/>
            <w:noWrap/>
            <w:hideMark/>
          </w:tcPr>
          <w:p w14:paraId="4EE7DE8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4,290 (15.2%)</w:t>
            </w:r>
          </w:p>
        </w:tc>
      </w:tr>
      <w:tr w:rsidR="0055060F" w:rsidRPr="0055060F" w14:paraId="0D72F32A" w14:textId="77777777" w:rsidTr="006F5124">
        <w:trPr>
          <w:trHeight w:val="288"/>
        </w:trPr>
        <w:tc>
          <w:tcPr>
            <w:tcW w:w="851" w:type="dxa"/>
            <w:tcBorders>
              <w:top w:val="nil"/>
              <w:left w:val="nil"/>
              <w:bottom w:val="nil"/>
              <w:right w:val="nil"/>
            </w:tcBorders>
            <w:shd w:val="clear" w:color="auto" w:fill="auto"/>
            <w:noWrap/>
            <w:hideMark/>
          </w:tcPr>
          <w:p w14:paraId="15E165C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309A4F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240A30E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1,306 (3.9%)</w:t>
            </w:r>
          </w:p>
        </w:tc>
        <w:tc>
          <w:tcPr>
            <w:tcW w:w="1667" w:type="dxa"/>
            <w:tcBorders>
              <w:top w:val="nil"/>
              <w:left w:val="nil"/>
              <w:bottom w:val="nil"/>
              <w:right w:val="nil"/>
            </w:tcBorders>
            <w:shd w:val="clear" w:color="auto" w:fill="auto"/>
            <w:noWrap/>
            <w:hideMark/>
          </w:tcPr>
          <w:p w14:paraId="36030F5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6,326 (14.5%)</w:t>
            </w:r>
          </w:p>
        </w:tc>
        <w:tc>
          <w:tcPr>
            <w:tcW w:w="1668" w:type="dxa"/>
            <w:tcBorders>
              <w:top w:val="nil"/>
              <w:left w:val="nil"/>
              <w:bottom w:val="nil"/>
              <w:right w:val="nil"/>
            </w:tcBorders>
            <w:shd w:val="clear" w:color="auto" w:fill="auto"/>
            <w:noWrap/>
            <w:hideMark/>
          </w:tcPr>
          <w:p w14:paraId="2E6FA1D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14,202 (19.5%)</w:t>
            </w:r>
          </w:p>
        </w:tc>
        <w:tc>
          <w:tcPr>
            <w:tcW w:w="1667" w:type="dxa"/>
            <w:tcBorders>
              <w:top w:val="nil"/>
              <w:left w:val="nil"/>
              <w:bottom w:val="nil"/>
              <w:right w:val="nil"/>
            </w:tcBorders>
            <w:shd w:val="clear" w:color="auto" w:fill="auto"/>
            <w:noWrap/>
            <w:hideMark/>
          </w:tcPr>
          <w:p w14:paraId="0BA19CC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14,202 (13.0%)</w:t>
            </w:r>
          </w:p>
        </w:tc>
        <w:tc>
          <w:tcPr>
            <w:tcW w:w="1668" w:type="dxa"/>
            <w:tcBorders>
              <w:top w:val="nil"/>
              <w:left w:val="nil"/>
              <w:bottom w:val="nil"/>
              <w:right w:val="nil"/>
            </w:tcBorders>
            <w:shd w:val="clear" w:color="auto" w:fill="auto"/>
            <w:noWrap/>
            <w:hideMark/>
          </w:tcPr>
          <w:p w14:paraId="5207B9E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1,343 (4.7%)</w:t>
            </w:r>
          </w:p>
        </w:tc>
      </w:tr>
      <w:tr w:rsidR="0055060F" w:rsidRPr="0055060F" w14:paraId="56C85873" w14:textId="77777777" w:rsidTr="006F5124">
        <w:trPr>
          <w:trHeight w:val="288"/>
        </w:trPr>
        <w:tc>
          <w:tcPr>
            <w:tcW w:w="851" w:type="dxa"/>
            <w:tcBorders>
              <w:top w:val="nil"/>
              <w:left w:val="nil"/>
              <w:bottom w:val="nil"/>
              <w:right w:val="nil"/>
            </w:tcBorders>
            <w:shd w:val="clear" w:color="auto" w:fill="auto"/>
            <w:noWrap/>
            <w:hideMark/>
          </w:tcPr>
          <w:p w14:paraId="0DE7407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BA1D80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0AE9252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2D428A2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4,648 (10.7%)</w:t>
            </w:r>
          </w:p>
        </w:tc>
        <w:tc>
          <w:tcPr>
            <w:tcW w:w="1668" w:type="dxa"/>
            <w:tcBorders>
              <w:top w:val="nil"/>
              <w:left w:val="nil"/>
              <w:bottom w:val="nil"/>
              <w:right w:val="nil"/>
            </w:tcBorders>
            <w:shd w:val="clear" w:color="auto" w:fill="auto"/>
            <w:noWrap/>
            <w:hideMark/>
          </w:tcPr>
          <w:p w14:paraId="6CBADD3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8,975 (12.3%)</w:t>
            </w:r>
          </w:p>
        </w:tc>
        <w:tc>
          <w:tcPr>
            <w:tcW w:w="1667" w:type="dxa"/>
            <w:tcBorders>
              <w:top w:val="nil"/>
              <w:left w:val="nil"/>
              <w:bottom w:val="nil"/>
              <w:right w:val="nil"/>
            </w:tcBorders>
            <w:shd w:val="clear" w:color="auto" w:fill="auto"/>
            <w:noWrap/>
            <w:hideMark/>
          </w:tcPr>
          <w:p w14:paraId="57C5B27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12,067 (11.1%)</w:t>
            </w:r>
          </w:p>
        </w:tc>
        <w:tc>
          <w:tcPr>
            <w:tcW w:w="1668" w:type="dxa"/>
            <w:tcBorders>
              <w:top w:val="nil"/>
              <w:left w:val="nil"/>
              <w:bottom w:val="nil"/>
              <w:right w:val="nil"/>
            </w:tcBorders>
            <w:shd w:val="clear" w:color="auto" w:fill="auto"/>
            <w:noWrap/>
            <w:hideMark/>
          </w:tcPr>
          <w:p w14:paraId="565D5D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1,179 (4.2%)</w:t>
            </w:r>
          </w:p>
        </w:tc>
      </w:tr>
      <w:tr w:rsidR="0055060F" w:rsidRPr="0055060F" w14:paraId="5EAC1C23" w14:textId="77777777" w:rsidTr="006F5124">
        <w:trPr>
          <w:trHeight w:val="288"/>
        </w:trPr>
        <w:tc>
          <w:tcPr>
            <w:tcW w:w="851" w:type="dxa"/>
            <w:tcBorders>
              <w:top w:val="nil"/>
              <w:left w:val="nil"/>
              <w:bottom w:val="nil"/>
              <w:right w:val="nil"/>
            </w:tcBorders>
            <w:shd w:val="clear" w:color="auto" w:fill="auto"/>
            <w:noWrap/>
            <w:hideMark/>
          </w:tcPr>
          <w:p w14:paraId="5EF616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1CE288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7CF686C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189E880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3,385 (72.8%)</w:t>
            </w:r>
          </w:p>
        </w:tc>
        <w:tc>
          <w:tcPr>
            <w:tcW w:w="1668" w:type="dxa"/>
            <w:tcBorders>
              <w:top w:val="nil"/>
              <w:left w:val="nil"/>
              <w:bottom w:val="nil"/>
              <w:right w:val="nil"/>
            </w:tcBorders>
            <w:shd w:val="clear" w:color="auto" w:fill="auto"/>
            <w:noWrap/>
            <w:hideMark/>
          </w:tcPr>
          <w:p w14:paraId="14D4F2F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6,303 (70.2%)</w:t>
            </w:r>
          </w:p>
        </w:tc>
        <w:tc>
          <w:tcPr>
            <w:tcW w:w="1667" w:type="dxa"/>
            <w:tcBorders>
              <w:top w:val="nil"/>
              <w:left w:val="nil"/>
              <w:bottom w:val="nil"/>
              <w:right w:val="nil"/>
            </w:tcBorders>
            <w:shd w:val="clear" w:color="auto" w:fill="auto"/>
            <w:noWrap/>
            <w:hideMark/>
          </w:tcPr>
          <w:p w14:paraId="4879F50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8,445 (70.0%)</w:t>
            </w:r>
          </w:p>
        </w:tc>
        <w:tc>
          <w:tcPr>
            <w:tcW w:w="1668" w:type="dxa"/>
            <w:tcBorders>
              <w:top w:val="nil"/>
              <w:left w:val="nil"/>
              <w:bottom w:val="nil"/>
              <w:right w:val="nil"/>
            </w:tcBorders>
            <w:shd w:val="clear" w:color="auto" w:fill="auto"/>
            <w:noWrap/>
            <w:hideMark/>
          </w:tcPr>
          <w:p w14:paraId="09BACF3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837 (71.0%)</w:t>
            </w:r>
          </w:p>
        </w:tc>
      </w:tr>
      <w:tr w:rsidR="0055060F" w:rsidRPr="0055060F" w14:paraId="05169DD2" w14:textId="77777777" w:rsidTr="006F5124">
        <w:trPr>
          <w:trHeight w:val="288"/>
        </w:trPr>
        <w:tc>
          <w:tcPr>
            <w:tcW w:w="851" w:type="dxa"/>
            <w:tcBorders>
              <w:top w:val="nil"/>
              <w:left w:val="nil"/>
              <w:bottom w:val="nil"/>
              <w:right w:val="nil"/>
            </w:tcBorders>
            <w:shd w:val="clear" w:color="auto" w:fill="auto"/>
            <w:noWrap/>
            <w:hideMark/>
          </w:tcPr>
          <w:p w14:paraId="0BC05C8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DAAA3D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465D936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0EEBC35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1,263 (27.2%)</w:t>
            </w:r>
          </w:p>
        </w:tc>
        <w:tc>
          <w:tcPr>
            <w:tcW w:w="1668" w:type="dxa"/>
            <w:tcBorders>
              <w:top w:val="nil"/>
              <w:left w:val="nil"/>
              <w:bottom w:val="nil"/>
              <w:right w:val="nil"/>
            </w:tcBorders>
            <w:shd w:val="clear" w:color="auto" w:fill="auto"/>
            <w:noWrap/>
            <w:hideMark/>
          </w:tcPr>
          <w:p w14:paraId="05B17E9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2,672 (29.8%)</w:t>
            </w:r>
          </w:p>
        </w:tc>
        <w:tc>
          <w:tcPr>
            <w:tcW w:w="1667" w:type="dxa"/>
            <w:tcBorders>
              <w:top w:val="nil"/>
              <w:left w:val="nil"/>
              <w:bottom w:val="nil"/>
              <w:right w:val="nil"/>
            </w:tcBorders>
            <w:shd w:val="clear" w:color="auto" w:fill="auto"/>
            <w:noWrap/>
            <w:hideMark/>
          </w:tcPr>
          <w:p w14:paraId="0551C06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3,622 (30.0%)</w:t>
            </w:r>
          </w:p>
        </w:tc>
        <w:tc>
          <w:tcPr>
            <w:tcW w:w="1668" w:type="dxa"/>
            <w:tcBorders>
              <w:top w:val="nil"/>
              <w:left w:val="nil"/>
              <w:bottom w:val="nil"/>
              <w:right w:val="nil"/>
            </w:tcBorders>
            <w:shd w:val="clear" w:color="auto" w:fill="auto"/>
            <w:noWrap/>
            <w:hideMark/>
          </w:tcPr>
          <w:p w14:paraId="2C4F9BB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342 (29.0%)</w:t>
            </w:r>
          </w:p>
        </w:tc>
      </w:tr>
      <w:tr w:rsidR="0055060F" w:rsidRPr="0055060F" w14:paraId="1F158F55" w14:textId="77777777" w:rsidTr="006F5124">
        <w:trPr>
          <w:trHeight w:val="288"/>
        </w:trPr>
        <w:tc>
          <w:tcPr>
            <w:tcW w:w="851" w:type="dxa"/>
            <w:tcBorders>
              <w:top w:val="nil"/>
              <w:left w:val="nil"/>
              <w:bottom w:val="nil"/>
              <w:right w:val="nil"/>
            </w:tcBorders>
            <w:shd w:val="clear" w:color="auto" w:fill="auto"/>
            <w:noWrap/>
            <w:hideMark/>
          </w:tcPr>
          <w:p w14:paraId="4FB133F1" w14:textId="77777777" w:rsidR="0055060F" w:rsidRPr="0055060F" w:rsidRDefault="0055060F" w:rsidP="0055060F">
            <w:pPr>
              <w:keepNext/>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lastRenderedPageBreak/>
              <w:t>2019-20</w:t>
            </w:r>
          </w:p>
        </w:tc>
        <w:tc>
          <w:tcPr>
            <w:tcW w:w="4689" w:type="dxa"/>
            <w:tcBorders>
              <w:top w:val="nil"/>
              <w:left w:val="nil"/>
              <w:bottom w:val="nil"/>
              <w:right w:val="nil"/>
            </w:tcBorders>
            <w:shd w:val="clear" w:color="auto" w:fill="auto"/>
            <w:noWrap/>
            <w:hideMark/>
          </w:tcPr>
          <w:p w14:paraId="5C22764C" w14:textId="77777777" w:rsidR="0055060F" w:rsidRPr="0055060F" w:rsidRDefault="0055060F" w:rsidP="0055060F">
            <w:pPr>
              <w:keepNext/>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312121F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32,064</w:t>
            </w:r>
          </w:p>
        </w:tc>
        <w:tc>
          <w:tcPr>
            <w:tcW w:w="1667" w:type="dxa"/>
            <w:tcBorders>
              <w:top w:val="nil"/>
              <w:left w:val="nil"/>
              <w:bottom w:val="nil"/>
              <w:right w:val="nil"/>
            </w:tcBorders>
            <w:shd w:val="clear" w:color="auto" w:fill="auto"/>
            <w:noWrap/>
            <w:hideMark/>
          </w:tcPr>
          <w:p w14:paraId="5F20F13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40,954</w:t>
            </w:r>
          </w:p>
        </w:tc>
        <w:tc>
          <w:tcPr>
            <w:tcW w:w="1668" w:type="dxa"/>
            <w:tcBorders>
              <w:top w:val="nil"/>
              <w:left w:val="nil"/>
              <w:bottom w:val="nil"/>
              <w:right w:val="nil"/>
            </w:tcBorders>
            <w:shd w:val="clear" w:color="auto" w:fill="auto"/>
            <w:noWrap/>
            <w:hideMark/>
          </w:tcPr>
          <w:p w14:paraId="0DD1FDA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68,286</w:t>
            </w:r>
          </w:p>
        </w:tc>
        <w:tc>
          <w:tcPr>
            <w:tcW w:w="1667" w:type="dxa"/>
            <w:tcBorders>
              <w:top w:val="nil"/>
              <w:left w:val="nil"/>
              <w:bottom w:val="nil"/>
              <w:right w:val="nil"/>
            </w:tcBorders>
            <w:shd w:val="clear" w:color="auto" w:fill="auto"/>
            <w:noWrap/>
            <w:hideMark/>
          </w:tcPr>
          <w:p w14:paraId="4BFCDE7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101,725</w:t>
            </w:r>
          </w:p>
        </w:tc>
        <w:tc>
          <w:tcPr>
            <w:tcW w:w="1668" w:type="dxa"/>
            <w:tcBorders>
              <w:top w:val="nil"/>
              <w:left w:val="nil"/>
              <w:bottom w:val="nil"/>
              <w:right w:val="nil"/>
            </w:tcBorders>
            <w:shd w:val="clear" w:color="auto" w:fill="auto"/>
            <w:noWrap/>
            <w:hideMark/>
          </w:tcPr>
          <w:p w14:paraId="3EF02DB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26,556</w:t>
            </w:r>
          </w:p>
        </w:tc>
      </w:tr>
      <w:tr w:rsidR="0055060F" w:rsidRPr="0055060F" w14:paraId="2C62AD63" w14:textId="77777777" w:rsidTr="006F5124">
        <w:trPr>
          <w:trHeight w:val="288"/>
        </w:trPr>
        <w:tc>
          <w:tcPr>
            <w:tcW w:w="851" w:type="dxa"/>
            <w:tcBorders>
              <w:top w:val="nil"/>
              <w:left w:val="nil"/>
              <w:bottom w:val="nil"/>
              <w:right w:val="nil"/>
            </w:tcBorders>
            <w:shd w:val="clear" w:color="auto" w:fill="auto"/>
            <w:noWrap/>
            <w:hideMark/>
          </w:tcPr>
          <w:p w14:paraId="192873E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FF3AF26"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0293282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w:t>
            </w:r>
          </w:p>
        </w:tc>
        <w:tc>
          <w:tcPr>
            <w:tcW w:w="1667" w:type="dxa"/>
            <w:tcBorders>
              <w:top w:val="nil"/>
              <w:left w:val="nil"/>
              <w:bottom w:val="nil"/>
              <w:right w:val="nil"/>
            </w:tcBorders>
            <w:shd w:val="clear" w:color="auto" w:fill="auto"/>
            <w:noWrap/>
            <w:hideMark/>
          </w:tcPr>
          <w:p w14:paraId="6278813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w:t>
            </w:r>
          </w:p>
        </w:tc>
        <w:tc>
          <w:tcPr>
            <w:tcW w:w="1668" w:type="dxa"/>
            <w:tcBorders>
              <w:top w:val="nil"/>
              <w:left w:val="nil"/>
              <w:bottom w:val="nil"/>
              <w:right w:val="nil"/>
            </w:tcBorders>
            <w:shd w:val="clear" w:color="auto" w:fill="auto"/>
            <w:noWrap/>
            <w:hideMark/>
          </w:tcPr>
          <w:p w14:paraId="4400F58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w:t>
            </w:r>
          </w:p>
        </w:tc>
        <w:tc>
          <w:tcPr>
            <w:tcW w:w="1667" w:type="dxa"/>
            <w:tcBorders>
              <w:top w:val="nil"/>
              <w:left w:val="nil"/>
              <w:bottom w:val="nil"/>
              <w:right w:val="nil"/>
            </w:tcBorders>
            <w:shd w:val="clear" w:color="auto" w:fill="auto"/>
            <w:noWrap/>
            <w:hideMark/>
          </w:tcPr>
          <w:p w14:paraId="73D89D9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34</w:t>
            </w:r>
          </w:p>
        </w:tc>
        <w:tc>
          <w:tcPr>
            <w:tcW w:w="1668" w:type="dxa"/>
            <w:tcBorders>
              <w:top w:val="nil"/>
              <w:left w:val="nil"/>
              <w:bottom w:val="nil"/>
              <w:right w:val="nil"/>
            </w:tcBorders>
            <w:shd w:val="clear" w:color="auto" w:fill="auto"/>
            <w:noWrap/>
            <w:hideMark/>
          </w:tcPr>
          <w:p w14:paraId="5822069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w:t>
            </w:r>
          </w:p>
        </w:tc>
      </w:tr>
      <w:tr w:rsidR="0055060F" w:rsidRPr="0055060F" w14:paraId="71D83652" w14:textId="77777777" w:rsidTr="006F5124">
        <w:trPr>
          <w:trHeight w:val="288"/>
        </w:trPr>
        <w:tc>
          <w:tcPr>
            <w:tcW w:w="851" w:type="dxa"/>
            <w:tcBorders>
              <w:top w:val="nil"/>
              <w:left w:val="nil"/>
              <w:bottom w:val="nil"/>
              <w:right w:val="nil"/>
            </w:tcBorders>
            <w:shd w:val="clear" w:color="auto" w:fill="auto"/>
            <w:noWrap/>
            <w:hideMark/>
          </w:tcPr>
          <w:p w14:paraId="60A2781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3E6155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3CCDCF0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6 (22.3)</w:t>
            </w:r>
          </w:p>
        </w:tc>
        <w:tc>
          <w:tcPr>
            <w:tcW w:w="1667" w:type="dxa"/>
            <w:tcBorders>
              <w:top w:val="nil"/>
              <w:left w:val="nil"/>
              <w:bottom w:val="nil"/>
              <w:right w:val="nil"/>
            </w:tcBorders>
            <w:shd w:val="clear" w:color="auto" w:fill="auto"/>
            <w:noWrap/>
            <w:hideMark/>
          </w:tcPr>
          <w:p w14:paraId="3E8AFA6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(10.2)</w:t>
            </w:r>
          </w:p>
        </w:tc>
        <w:tc>
          <w:tcPr>
            <w:tcW w:w="1668" w:type="dxa"/>
            <w:tcBorders>
              <w:top w:val="nil"/>
              <w:left w:val="nil"/>
              <w:bottom w:val="nil"/>
              <w:right w:val="nil"/>
            </w:tcBorders>
            <w:shd w:val="clear" w:color="auto" w:fill="auto"/>
            <w:noWrap/>
            <w:hideMark/>
          </w:tcPr>
          <w:p w14:paraId="74B5459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14 (25.1)</w:t>
            </w:r>
          </w:p>
        </w:tc>
        <w:tc>
          <w:tcPr>
            <w:tcW w:w="1667" w:type="dxa"/>
            <w:tcBorders>
              <w:top w:val="nil"/>
              <w:left w:val="nil"/>
              <w:bottom w:val="nil"/>
              <w:right w:val="nil"/>
            </w:tcBorders>
            <w:shd w:val="clear" w:color="auto" w:fill="auto"/>
            <w:noWrap/>
            <w:hideMark/>
          </w:tcPr>
          <w:p w14:paraId="693B9B9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 (21.4)</w:t>
            </w:r>
          </w:p>
        </w:tc>
        <w:tc>
          <w:tcPr>
            <w:tcW w:w="1668" w:type="dxa"/>
            <w:tcBorders>
              <w:top w:val="nil"/>
              <w:left w:val="nil"/>
              <w:bottom w:val="nil"/>
              <w:right w:val="nil"/>
            </w:tcBorders>
            <w:shd w:val="clear" w:color="auto" w:fill="auto"/>
            <w:noWrap/>
            <w:hideMark/>
          </w:tcPr>
          <w:p w14:paraId="2ECC61F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(13.3)</w:t>
            </w:r>
          </w:p>
        </w:tc>
      </w:tr>
      <w:tr w:rsidR="0055060F" w:rsidRPr="0055060F" w14:paraId="50CFCEC7" w14:textId="77777777" w:rsidTr="006F5124">
        <w:trPr>
          <w:trHeight w:val="288"/>
        </w:trPr>
        <w:tc>
          <w:tcPr>
            <w:tcW w:w="851" w:type="dxa"/>
            <w:tcBorders>
              <w:top w:val="nil"/>
              <w:left w:val="nil"/>
              <w:bottom w:val="nil"/>
              <w:right w:val="nil"/>
            </w:tcBorders>
            <w:shd w:val="clear" w:color="auto" w:fill="auto"/>
            <w:noWrap/>
            <w:hideMark/>
          </w:tcPr>
          <w:p w14:paraId="0EA8DAF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EE4A38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246220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2,910 (9.1%)</w:t>
            </w:r>
          </w:p>
        </w:tc>
        <w:tc>
          <w:tcPr>
            <w:tcW w:w="1667" w:type="dxa"/>
            <w:tcBorders>
              <w:top w:val="nil"/>
              <w:left w:val="nil"/>
              <w:bottom w:val="nil"/>
              <w:right w:val="nil"/>
            </w:tcBorders>
            <w:shd w:val="clear" w:color="auto" w:fill="auto"/>
            <w:noWrap/>
            <w:hideMark/>
          </w:tcPr>
          <w:p w14:paraId="637A1A2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7,500 (18.3%)</w:t>
            </w:r>
          </w:p>
        </w:tc>
        <w:tc>
          <w:tcPr>
            <w:tcW w:w="1668" w:type="dxa"/>
            <w:tcBorders>
              <w:top w:val="nil"/>
              <w:left w:val="nil"/>
              <w:bottom w:val="nil"/>
              <w:right w:val="nil"/>
            </w:tcBorders>
            <w:shd w:val="clear" w:color="auto" w:fill="auto"/>
            <w:noWrap/>
            <w:hideMark/>
          </w:tcPr>
          <w:p w14:paraId="5E4AD51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21,409 (31.4%)</w:t>
            </w:r>
          </w:p>
        </w:tc>
        <w:tc>
          <w:tcPr>
            <w:tcW w:w="1667" w:type="dxa"/>
            <w:tcBorders>
              <w:top w:val="nil"/>
              <w:left w:val="nil"/>
              <w:bottom w:val="nil"/>
              <w:right w:val="nil"/>
            </w:tcBorders>
            <w:shd w:val="clear" w:color="auto" w:fill="auto"/>
            <w:noWrap/>
            <w:hideMark/>
          </w:tcPr>
          <w:p w14:paraId="77DCA0C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24,665 (24.2%)</w:t>
            </w:r>
          </w:p>
        </w:tc>
        <w:tc>
          <w:tcPr>
            <w:tcW w:w="1668" w:type="dxa"/>
            <w:tcBorders>
              <w:top w:val="nil"/>
              <w:left w:val="nil"/>
              <w:bottom w:val="nil"/>
              <w:right w:val="nil"/>
            </w:tcBorders>
            <w:shd w:val="clear" w:color="auto" w:fill="auto"/>
            <w:noWrap/>
            <w:hideMark/>
          </w:tcPr>
          <w:p w14:paraId="6611B81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3,008 (11.3%)</w:t>
            </w:r>
          </w:p>
        </w:tc>
      </w:tr>
      <w:tr w:rsidR="0055060F" w:rsidRPr="0055060F" w14:paraId="05314638" w14:textId="77777777" w:rsidTr="006F5124">
        <w:trPr>
          <w:trHeight w:val="288"/>
        </w:trPr>
        <w:tc>
          <w:tcPr>
            <w:tcW w:w="851" w:type="dxa"/>
            <w:tcBorders>
              <w:top w:val="nil"/>
              <w:left w:val="nil"/>
              <w:bottom w:val="nil"/>
              <w:right w:val="nil"/>
            </w:tcBorders>
            <w:shd w:val="clear" w:color="auto" w:fill="auto"/>
            <w:noWrap/>
            <w:hideMark/>
          </w:tcPr>
          <w:p w14:paraId="4F3C774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DB856C6"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03E5D96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106 (228.8)</w:t>
            </w:r>
          </w:p>
        </w:tc>
        <w:tc>
          <w:tcPr>
            <w:tcW w:w="1667" w:type="dxa"/>
            <w:tcBorders>
              <w:top w:val="nil"/>
              <w:left w:val="nil"/>
              <w:bottom w:val="nil"/>
              <w:right w:val="nil"/>
            </w:tcBorders>
            <w:shd w:val="clear" w:color="auto" w:fill="auto"/>
            <w:noWrap/>
            <w:hideMark/>
          </w:tcPr>
          <w:p w14:paraId="23D2E8D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99 (142.3)</w:t>
            </w:r>
          </w:p>
        </w:tc>
        <w:tc>
          <w:tcPr>
            <w:tcW w:w="1668" w:type="dxa"/>
            <w:tcBorders>
              <w:top w:val="nil"/>
              <w:left w:val="nil"/>
              <w:bottom w:val="nil"/>
              <w:right w:val="nil"/>
            </w:tcBorders>
            <w:shd w:val="clear" w:color="auto" w:fill="auto"/>
            <w:noWrap/>
            <w:hideMark/>
          </w:tcPr>
          <w:p w14:paraId="6D3C3DF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178 (347.8)</w:t>
            </w:r>
          </w:p>
        </w:tc>
        <w:tc>
          <w:tcPr>
            <w:tcW w:w="1667" w:type="dxa"/>
            <w:tcBorders>
              <w:top w:val="nil"/>
              <w:left w:val="nil"/>
              <w:bottom w:val="nil"/>
              <w:right w:val="nil"/>
            </w:tcBorders>
            <w:shd w:val="clear" w:color="auto" w:fill="auto"/>
            <w:noWrap/>
            <w:hideMark/>
          </w:tcPr>
          <w:p w14:paraId="3B21810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165 (328.5)</w:t>
            </w:r>
          </w:p>
        </w:tc>
        <w:tc>
          <w:tcPr>
            <w:tcW w:w="1668" w:type="dxa"/>
            <w:tcBorders>
              <w:top w:val="nil"/>
              <w:left w:val="nil"/>
              <w:bottom w:val="nil"/>
              <w:right w:val="nil"/>
            </w:tcBorders>
            <w:shd w:val="clear" w:color="auto" w:fill="auto"/>
            <w:noWrap/>
            <w:hideMark/>
          </w:tcPr>
          <w:p w14:paraId="0F60873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127 (245.8)</w:t>
            </w:r>
          </w:p>
        </w:tc>
      </w:tr>
      <w:tr w:rsidR="0055060F" w:rsidRPr="0055060F" w14:paraId="72F2CE53" w14:textId="77777777" w:rsidTr="006F5124">
        <w:trPr>
          <w:trHeight w:val="288"/>
        </w:trPr>
        <w:tc>
          <w:tcPr>
            <w:tcW w:w="851" w:type="dxa"/>
            <w:tcBorders>
              <w:top w:val="nil"/>
              <w:left w:val="nil"/>
              <w:bottom w:val="nil"/>
              <w:right w:val="nil"/>
            </w:tcBorders>
            <w:shd w:val="clear" w:color="auto" w:fill="auto"/>
            <w:noWrap/>
            <w:hideMark/>
          </w:tcPr>
          <w:p w14:paraId="4E5F8D0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2B18E8C"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30B65E4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$12,100</w:t>
            </w:r>
          </w:p>
        </w:tc>
        <w:tc>
          <w:tcPr>
            <w:tcW w:w="1667" w:type="dxa"/>
            <w:tcBorders>
              <w:top w:val="nil"/>
              <w:left w:val="nil"/>
              <w:bottom w:val="nil"/>
              <w:right w:val="nil"/>
            </w:tcBorders>
            <w:shd w:val="clear" w:color="auto" w:fill="auto"/>
            <w:noWrap/>
            <w:hideMark/>
          </w:tcPr>
          <w:p w14:paraId="5F4AFC2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$15,587</w:t>
            </w:r>
          </w:p>
        </w:tc>
        <w:tc>
          <w:tcPr>
            <w:tcW w:w="1668" w:type="dxa"/>
            <w:tcBorders>
              <w:top w:val="nil"/>
              <w:left w:val="nil"/>
              <w:bottom w:val="nil"/>
              <w:right w:val="nil"/>
            </w:tcBorders>
            <w:shd w:val="clear" w:color="auto" w:fill="auto"/>
            <w:noWrap/>
            <w:hideMark/>
          </w:tcPr>
          <w:p w14:paraId="5AB8D09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$31,658</w:t>
            </w:r>
          </w:p>
        </w:tc>
        <w:tc>
          <w:tcPr>
            <w:tcW w:w="1667" w:type="dxa"/>
            <w:tcBorders>
              <w:top w:val="nil"/>
              <w:left w:val="nil"/>
              <w:bottom w:val="nil"/>
              <w:right w:val="nil"/>
            </w:tcBorders>
            <w:shd w:val="clear" w:color="auto" w:fill="auto"/>
            <w:noWrap/>
            <w:hideMark/>
          </w:tcPr>
          <w:p w14:paraId="7F2627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$25,338</w:t>
            </w:r>
          </w:p>
        </w:tc>
        <w:tc>
          <w:tcPr>
            <w:tcW w:w="1668" w:type="dxa"/>
            <w:tcBorders>
              <w:top w:val="nil"/>
              <w:left w:val="nil"/>
              <w:bottom w:val="nil"/>
              <w:right w:val="nil"/>
            </w:tcBorders>
            <w:shd w:val="clear" w:color="auto" w:fill="auto"/>
            <w:noWrap/>
            <w:hideMark/>
          </w:tcPr>
          <w:p w14:paraId="75C3C89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$15,168</w:t>
            </w:r>
          </w:p>
        </w:tc>
      </w:tr>
      <w:tr w:rsidR="0055060F" w:rsidRPr="0055060F" w14:paraId="763246DF" w14:textId="77777777" w:rsidTr="006F5124">
        <w:trPr>
          <w:trHeight w:val="288"/>
        </w:trPr>
        <w:tc>
          <w:tcPr>
            <w:tcW w:w="851" w:type="dxa"/>
            <w:tcBorders>
              <w:top w:val="nil"/>
              <w:left w:val="nil"/>
              <w:bottom w:val="nil"/>
              <w:right w:val="nil"/>
            </w:tcBorders>
            <w:shd w:val="clear" w:color="auto" w:fill="auto"/>
            <w:noWrap/>
            <w:hideMark/>
          </w:tcPr>
          <w:p w14:paraId="67E22A0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A7353B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655E7E8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7528B09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350CAAB7"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41FDF823"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47251F65"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1C556BE8" w14:textId="77777777" w:rsidTr="006F5124">
        <w:trPr>
          <w:trHeight w:val="288"/>
        </w:trPr>
        <w:tc>
          <w:tcPr>
            <w:tcW w:w="851" w:type="dxa"/>
            <w:tcBorders>
              <w:top w:val="nil"/>
              <w:left w:val="nil"/>
              <w:bottom w:val="nil"/>
              <w:right w:val="nil"/>
            </w:tcBorders>
            <w:shd w:val="clear" w:color="auto" w:fill="auto"/>
            <w:noWrap/>
            <w:hideMark/>
          </w:tcPr>
          <w:p w14:paraId="01D5C969"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019C5FF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67196D2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965 (3.0%)</w:t>
            </w:r>
          </w:p>
        </w:tc>
        <w:tc>
          <w:tcPr>
            <w:tcW w:w="1667" w:type="dxa"/>
            <w:tcBorders>
              <w:top w:val="nil"/>
              <w:left w:val="nil"/>
              <w:bottom w:val="nil"/>
              <w:right w:val="nil"/>
            </w:tcBorders>
            <w:shd w:val="clear" w:color="auto" w:fill="auto"/>
            <w:noWrap/>
            <w:hideMark/>
          </w:tcPr>
          <w:p w14:paraId="557C6DE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6,303 (15.4%)</w:t>
            </w:r>
          </w:p>
        </w:tc>
        <w:tc>
          <w:tcPr>
            <w:tcW w:w="1668" w:type="dxa"/>
            <w:tcBorders>
              <w:top w:val="nil"/>
              <w:left w:val="nil"/>
              <w:bottom w:val="nil"/>
              <w:right w:val="nil"/>
            </w:tcBorders>
            <w:shd w:val="clear" w:color="auto" w:fill="auto"/>
            <w:noWrap/>
            <w:hideMark/>
          </w:tcPr>
          <w:p w14:paraId="2190819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6,579 (9.6%)</w:t>
            </w:r>
          </w:p>
        </w:tc>
        <w:tc>
          <w:tcPr>
            <w:tcW w:w="1667" w:type="dxa"/>
            <w:tcBorders>
              <w:top w:val="nil"/>
              <w:left w:val="nil"/>
              <w:bottom w:val="nil"/>
              <w:right w:val="nil"/>
            </w:tcBorders>
            <w:shd w:val="clear" w:color="auto" w:fill="auto"/>
            <w:noWrap/>
            <w:hideMark/>
          </w:tcPr>
          <w:p w14:paraId="3FC78B4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11,602 (11.4%)</w:t>
            </w:r>
          </w:p>
        </w:tc>
        <w:tc>
          <w:tcPr>
            <w:tcW w:w="1668" w:type="dxa"/>
            <w:tcBorders>
              <w:top w:val="nil"/>
              <w:left w:val="nil"/>
              <w:bottom w:val="nil"/>
              <w:right w:val="nil"/>
            </w:tcBorders>
            <w:shd w:val="clear" w:color="auto" w:fill="auto"/>
            <w:noWrap/>
            <w:hideMark/>
          </w:tcPr>
          <w:p w14:paraId="65377A2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1,042 (3.9%)</w:t>
            </w:r>
          </w:p>
        </w:tc>
      </w:tr>
      <w:tr w:rsidR="0055060F" w:rsidRPr="0055060F" w14:paraId="4590C018" w14:textId="77777777" w:rsidTr="006F5124">
        <w:trPr>
          <w:trHeight w:val="288"/>
        </w:trPr>
        <w:tc>
          <w:tcPr>
            <w:tcW w:w="851" w:type="dxa"/>
            <w:tcBorders>
              <w:top w:val="nil"/>
              <w:left w:val="nil"/>
              <w:bottom w:val="nil"/>
              <w:right w:val="nil"/>
            </w:tcBorders>
            <w:shd w:val="clear" w:color="auto" w:fill="auto"/>
            <w:noWrap/>
            <w:hideMark/>
          </w:tcPr>
          <w:p w14:paraId="141958E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B757E6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557EE40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4,165 (13.0%)</w:t>
            </w:r>
          </w:p>
        </w:tc>
        <w:tc>
          <w:tcPr>
            <w:tcW w:w="1667" w:type="dxa"/>
            <w:tcBorders>
              <w:top w:val="nil"/>
              <w:left w:val="nil"/>
              <w:bottom w:val="nil"/>
              <w:right w:val="nil"/>
            </w:tcBorders>
            <w:shd w:val="clear" w:color="auto" w:fill="auto"/>
            <w:noWrap/>
            <w:hideMark/>
          </w:tcPr>
          <w:p w14:paraId="7FFE934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21,897 (53.5%)</w:t>
            </w:r>
          </w:p>
        </w:tc>
        <w:tc>
          <w:tcPr>
            <w:tcW w:w="1668" w:type="dxa"/>
            <w:tcBorders>
              <w:top w:val="nil"/>
              <w:left w:val="nil"/>
              <w:bottom w:val="nil"/>
              <w:right w:val="nil"/>
            </w:tcBorders>
            <w:shd w:val="clear" w:color="auto" w:fill="auto"/>
            <w:noWrap/>
            <w:hideMark/>
          </w:tcPr>
          <w:p w14:paraId="646496C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43,562 (63.8%)</w:t>
            </w:r>
          </w:p>
        </w:tc>
        <w:tc>
          <w:tcPr>
            <w:tcW w:w="1667" w:type="dxa"/>
            <w:tcBorders>
              <w:top w:val="nil"/>
              <w:left w:val="nil"/>
              <w:bottom w:val="nil"/>
              <w:right w:val="nil"/>
            </w:tcBorders>
            <w:shd w:val="clear" w:color="auto" w:fill="auto"/>
            <w:noWrap/>
            <w:hideMark/>
          </w:tcPr>
          <w:p w14:paraId="01F952E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61,605 (60.6%)</w:t>
            </w:r>
          </w:p>
        </w:tc>
        <w:tc>
          <w:tcPr>
            <w:tcW w:w="1668" w:type="dxa"/>
            <w:tcBorders>
              <w:top w:val="nil"/>
              <w:left w:val="nil"/>
              <w:bottom w:val="nil"/>
              <w:right w:val="nil"/>
            </w:tcBorders>
            <w:shd w:val="clear" w:color="auto" w:fill="auto"/>
            <w:noWrap/>
            <w:hideMark/>
          </w:tcPr>
          <w:p w14:paraId="54EDE5A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3,940 (14.8%)</w:t>
            </w:r>
          </w:p>
        </w:tc>
      </w:tr>
      <w:tr w:rsidR="0055060F" w:rsidRPr="0055060F" w14:paraId="51ED5B84" w14:textId="77777777" w:rsidTr="006F5124">
        <w:trPr>
          <w:trHeight w:val="288"/>
        </w:trPr>
        <w:tc>
          <w:tcPr>
            <w:tcW w:w="851" w:type="dxa"/>
            <w:tcBorders>
              <w:top w:val="nil"/>
              <w:left w:val="nil"/>
              <w:bottom w:val="nil"/>
              <w:right w:val="nil"/>
            </w:tcBorders>
            <w:shd w:val="clear" w:color="auto" w:fill="auto"/>
            <w:noWrap/>
            <w:hideMark/>
          </w:tcPr>
          <w:p w14:paraId="5D26239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B2F837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08D4180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1,287 (4.0%)</w:t>
            </w:r>
          </w:p>
        </w:tc>
        <w:tc>
          <w:tcPr>
            <w:tcW w:w="1667" w:type="dxa"/>
            <w:tcBorders>
              <w:top w:val="nil"/>
              <w:left w:val="nil"/>
              <w:bottom w:val="nil"/>
              <w:right w:val="nil"/>
            </w:tcBorders>
            <w:shd w:val="clear" w:color="auto" w:fill="auto"/>
            <w:noWrap/>
            <w:hideMark/>
          </w:tcPr>
          <w:p w14:paraId="4BAA47D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6,419 (15.7%)</w:t>
            </w:r>
          </w:p>
        </w:tc>
        <w:tc>
          <w:tcPr>
            <w:tcW w:w="1668" w:type="dxa"/>
            <w:tcBorders>
              <w:top w:val="nil"/>
              <w:left w:val="nil"/>
              <w:bottom w:val="nil"/>
              <w:right w:val="nil"/>
            </w:tcBorders>
            <w:shd w:val="clear" w:color="auto" w:fill="auto"/>
            <w:noWrap/>
            <w:hideMark/>
          </w:tcPr>
          <w:p w14:paraId="5E92DCA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14,471 (21.2%)</w:t>
            </w:r>
          </w:p>
        </w:tc>
        <w:tc>
          <w:tcPr>
            <w:tcW w:w="1667" w:type="dxa"/>
            <w:tcBorders>
              <w:top w:val="nil"/>
              <w:left w:val="nil"/>
              <w:bottom w:val="nil"/>
              <w:right w:val="nil"/>
            </w:tcBorders>
            <w:shd w:val="clear" w:color="auto" w:fill="auto"/>
            <w:noWrap/>
            <w:hideMark/>
          </w:tcPr>
          <w:p w14:paraId="4327821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14,471 (14.2%)</w:t>
            </w:r>
          </w:p>
        </w:tc>
        <w:tc>
          <w:tcPr>
            <w:tcW w:w="1668" w:type="dxa"/>
            <w:tcBorders>
              <w:top w:val="nil"/>
              <w:left w:val="nil"/>
              <w:bottom w:val="nil"/>
              <w:right w:val="nil"/>
            </w:tcBorders>
            <w:shd w:val="clear" w:color="auto" w:fill="auto"/>
            <w:noWrap/>
            <w:hideMark/>
          </w:tcPr>
          <w:p w14:paraId="5DB7095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1,304 (4.9%)</w:t>
            </w:r>
          </w:p>
        </w:tc>
      </w:tr>
      <w:tr w:rsidR="0055060F" w:rsidRPr="0055060F" w14:paraId="6A5FBCF2" w14:textId="77777777" w:rsidTr="006F5124">
        <w:trPr>
          <w:trHeight w:val="288"/>
        </w:trPr>
        <w:tc>
          <w:tcPr>
            <w:tcW w:w="851" w:type="dxa"/>
            <w:tcBorders>
              <w:top w:val="nil"/>
              <w:left w:val="nil"/>
              <w:bottom w:val="nil"/>
              <w:right w:val="nil"/>
            </w:tcBorders>
            <w:shd w:val="clear" w:color="auto" w:fill="auto"/>
            <w:noWrap/>
            <w:hideMark/>
          </w:tcPr>
          <w:p w14:paraId="19DCB0C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2772D6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71163B4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CEC479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4,731 (11.6%)</w:t>
            </w:r>
          </w:p>
        </w:tc>
        <w:tc>
          <w:tcPr>
            <w:tcW w:w="1668" w:type="dxa"/>
            <w:tcBorders>
              <w:top w:val="nil"/>
              <w:left w:val="nil"/>
              <w:bottom w:val="nil"/>
              <w:right w:val="nil"/>
            </w:tcBorders>
            <w:shd w:val="clear" w:color="auto" w:fill="auto"/>
            <w:noWrap/>
            <w:hideMark/>
          </w:tcPr>
          <w:p w14:paraId="0F82516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8,642 (12.7%)</w:t>
            </w:r>
          </w:p>
        </w:tc>
        <w:tc>
          <w:tcPr>
            <w:tcW w:w="1667" w:type="dxa"/>
            <w:tcBorders>
              <w:top w:val="nil"/>
              <w:left w:val="nil"/>
              <w:bottom w:val="nil"/>
              <w:right w:val="nil"/>
            </w:tcBorders>
            <w:shd w:val="clear" w:color="auto" w:fill="auto"/>
            <w:noWrap/>
            <w:hideMark/>
          </w:tcPr>
          <w:p w14:paraId="157AB50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11,831 (11.6%)</w:t>
            </w:r>
          </w:p>
        </w:tc>
        <w:tc>
          <w:tcPr>
            <w:tcW w:w="1668" w:type="dxa"/>
            <w:tcBorders>
              <w:top w:val="nil"/>
              <w:left w:val="nil"/>
              <w:bottom w:val="nil"/>
              <w:right w:val="nil"/>
            </w:tcBorders>
            <w:shd w:val="clear" w:color="auto" w:fill="auto"/>
            <w:noWrap/>
            <w:hideMark/>
          </w:tcPr>
          <w:p w14:paraId="1F7F1BF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1,039 (3.9%)</w:t>
            </w:r>
          </w:p>
        </w:tc>
      </w:tr>
      <w:tr w:rsidR="0055060F" w:rsidRPr="0055060F" w14:paraId="031C11B3" w14:textId="77777777" w:rsidTr="006F5124">
        <w:trPr>
          <w:trHeight w:val="288"/>
        </w:trPr>
        <w:tc>
          <w:tcPr>
            <w:tcW w:w="851" w:type="dxa"/>
            <w:tcBorders>
              <w:top w:val="nil"/>
              <w:left w:val="nil"/>
              <w:bottom w:val="nil"/>
              <w:right w:val="nil"/>
            </w:tcBorders>
            <w:shd w:val="clear" w:color="auto" w:fill="auto"/>
            <w:noWrap/>
            <w:hideMark/>
          </w:tcPr>
          <w:p w14:paraId="75E08C4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273072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51E6C21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1CB061B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3,348 (70.8%)</w:t>
            </w:r>
          </w:p>
        </w:tc>
        <w:tc>
          <w:tcPr>
            <w:tcW w:w="1668" w:type="dxa"/>
            <w:tcBorders>
              <w:top w:val="nil"/>
              <w:left w:val="nil"/>
              <w:bottom w:val="nil"/>
              <w:right w:val="nil"/>
            </w:tcBorders>
            <w:shd w:val="clear" w:color="auto" w:fill="auto"/>
            <w:noWrap/>
            <w:hideMark/>
          </w:tcPr>
          <w:p w14:paraId="35A18B4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6,185 (71.6%)</w:t>
            </w:r>
          </w:p>
        </w:tc>
        <w:tc>
          <w:tcPr>
            <w:tcW w:w="1667" w:type="dxa"/>
            <w:tcBorders>
              <w:top w:val="nil"/>
              <w:left w:val="nil"/>
              <w:bottom w:val="nil"/>
              <w:right w:val="nil"/>
            </w:tcBorders>
            <w:shd w:val="clear" w:color="auto" w:fill="auto"/>
            <w:noWrap/>
            <w:hideMark/>
          </w:tcPr>
          <w:p w14:paraId="116864C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8,293 (70.1%)</w:t>
            </w:r>
          </w:p>
        </w:tc>
        <w:tc>
          <w:tcPr>
            <w:tcW w:w="1668" w:type="dxa"/>
            <w:tcBorders>
              <w:top w:val="nil"/>
              <w:left w:val="nil"/>
              <w:bottom w:val="nil"/>
              <w:right w:val="nil"/>
            </w:tcBorders>
            <w:shd w:val="clear" w:color="auto" w:fill="auto"/>
            <w:noWrap/>
            <w:hideMark/>
          </w:tcPr>
          <w:p w14:paraId="6CEE0AA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714 (68.7%)</w:t>
            </w:r>
          </w:p>
        </w:tc>
      </w:tr>
      <w:tr w:rsidR="0055060F" w:rsidRPr="0055060F" w14:paraId="7D98522A" w14:textId="77777777" w:rsidTr="006F5124">
        <w:trPr>
          <w:trHeight w:val="288"/>
        </w:trPr>
        <w:tc>
          <w:tcPr>
            <w:tcW w:w="851" w:type="dxa"/>
            <w:tcBorders>
              <w:top w:val="nil"/>
              <w:left w:val="nil"/>
              <w:bottom w:val="nil"/>
              <w:right w:val="nil"/>
            </w:tcBorders>
            <w:shd w:val="clear" w:color="auto" w:fill="auto"/>
            <w:noWrap/>
            <w:hideMark/>
          </w:tcPr>
          <w:p w14:paraId="66DFAFE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E6C33B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0809F66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013EF3B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1,383 (29.2%)</w:t>
            </w:r>
          </w:p>
        </w:tc>
        <w:tc>
          <w:tcPr>
            <w:tcW w:w="1668" w:type="dxa"/>
            <w:tcBorders>
              <w:top w:val="nil"/>
              <w:left w:val="nil"/>
              <w:bottom w:val="nil"/>
              <w:right w:val="nil"/>
            </w:tcBorders>
            <w:shd w:val="clear" w:color="auto" w:fill="auto"/>
            <w:noWrap/>
            <w:hideMark/>
          </w:tcPr>
          <w:p w14:paraId="67175CB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2,457 (28.4%)</w:t>
            </w:r>
          </w:p>
        </w:tc>
        <w:tc>
          <w:tcPr>
            <w:tcW w:w="1667" w:type="dxa"/>
            <w:tcBorders>
              <w:top w:val="nil"/>
              <w:left w:val="nil"/>
              <w:bottom w:val="nil"/>
              <w:right w:val="nil"/>
            </w:tcBorders>
            <w:shd w:val="clear" w:color="auto" w:fill="auto"/>
            <w:noWrap/>
            <w:hideMark/>
          </w:tcPr>
          <w:p w14:paraId="064D822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3,538 (29.9%)</w:t>
            </w:r>
          </w:p>
        </w:tc>
        <w:tc>
          <w:tcPr>
            <w:tcW w:w="1668" w:type="dxa"/>
            <w:tcBorders>
              <w:top w:val="nil"/>
              <w:left w:val="nil"/>
              <w:bottom w:val="nil"/>
              <w:right w:val="nil"/>
            </w:tcBorders>
            <w:shd w:val="clear" w:color="auto" w:fill="auto"/>
            <w:noWrap/>
            <w:hideMark/>
          </w:tcPr>
          <w:p w14:paraId="6687AA2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325 (31.3%)</w:t>
            </w:r>
          </w:p>
        </w:tc>
      </w:tr>
      <w:tr w:rsidR="0055060F" w:rsidRPr="0055060F" w14:paraId="6DE4B065" w14:textId="77777777" w:rsidTr="006F5124">
        <w:trPr>
          <w:trHeight w:val="288"/>
        </w:trPr>
        <w:tc>
          <w:tcPr>
            <w:tcW w:w="851" w:type="dxa"/>
            <w:tcBorders>
              <w:top w:val="nil"/>
              <w:left w:val="nil"/>
              <w:bottom w:val="nil"/>
              <w:right w:val="nil"/>
            </w:tcBorders>
            <w:shd w:val="clear" w:color="auto" w:fill="auto"/>
            <w:noWrap/>
            <w:hideMark/>
          </w:tcPr>
          <w:p w14:paraId="579522F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2020-21</w:t>
            </w:r>
          </w:p>
        </w:tc>
        <w:tc>
          <w:tcPr>
            <w:tcW w:w="4689" w:type="dxa"/>
            <w:tcBorders>
              <w:top w:val="nil"/>
              <w:left w:val="nil"/>
              <w:bottom w:val="nil"/>
              <w:right w:val="nil"/>
            </w:tcBorders>
            <w:shd w:val="clear" w:color="auto" w:fill="auto"/>
            <w:noWrap/>
            <w:hideMark/>
          </w:tcPr>
          <w:p w14:paraId="0F6A8A57"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0549D8B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32,238</w:t>
            </w:r>
          </w:p>
        </w:tc>
        <w:tc>
          <w:tcPr>
            <w:tcW w:w="1667" w:type="dxa"/>
            <w:tcBorders>
              <w:top w:val="nil"/>
              <w:left w:val="nil"/>
              <w:bottom w:val="nil"/>
              <w:right w:val="nil"/>
            </w:tcBorders>
            <w:shd w:val="clear" w:color="auto" w:fill="auto"/>
            <w:noWrap/>
            <w:hideMark/>
          </w:tcPr>
          <w:p w14:paraId="7D0BA54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39,918</w:t>
            </w:r>
          </w:p>
        </w:tc>
        <w:tc>
          <w:tcPr>
            <w:tcW w:w="1668" w:type="dxa"/>
            <w:tcBorders>
              <w:top w:val="nil"/>
              <w:left w:val="nil"/>
              <w:bottom w:val="nil"/>
              <w:right w:val="nil"/>
            </w:tcBorders>
            <w:shd w:val="clear" w:color="auto" w:fill="auto"/>
            <w:noWrap/>
            <w:hideMark/>
          </w:tcPr>
          <w:p w14:paraId="42D10CA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67,725</w:t>
            </w:r>
          </w:p>
        </w:tc>
        <w:tc>
          <w:tcPr>
            <w:tcW w:w="1667" w:type="dxa"/>
            <w:tcBorders>
              <w:top w:val="nil"/>
              <w:left w:val="nil"/>
              <w:bottom w:val="nil"/>
              <w:right w:val="nil"/>
            </w:tcBorders>
            <w:shd w:val="clear" w:color="auto" w:fill="auto"/>
            <w:noWrap/>
            <w:hideMark/>
          </w:tcPr>
          <w:p w14:paraId="68DF5DC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99,856</w:t>
            </w:r>
          </w:p>
        </w:tc>
        <w:tc>
          <w:tcPr>
            <w:tcW w:w="1668" w:type="dxa"/>
            <w:tcBorders>
              <w:top w:val="nil"/>
              <w:left w:val="nil"/>
              <w:bottom w:val="nil"/>
              <w:right w:val="nil"/>
            </w:tcBorders>
            <w:shd w:val="clear" w:color="auto" w:fill="auto"/>
            <w:noWrap/>
            <w:hideMark/>
          </w:tcPr>
          <w:p w14:paraId="5C1D5F7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26,710</w:t>
            </w:r>
          </w:p>
        </w:tc>
      </w:tr>
      <w:tr w:rsidR="0055060F" w:rsidRPr="0055060F" w14:paraId="674723CA" w14:textId="77777777" w:rsidTr="006F5124">
        <w:trPr>
          <w:trHeight w:val="288"/>
        </w:trPr>
        <w:tc>
          <w:tcPr>
            <w:tcW w:w="851" w:type="dxa"/>
            <w:tcBorders>
              <w:top w:val="nil"/>
              <w:left w:val="nil"/>
              <w:bottom w:val="nil"/>
              <w:right w:val="nil"/>
            </w:tcBorders>
            <w:shd w:val="clear" w:color="auto" w:fill="auto"/>
            <w:noWrap/>
            <w:hideMark/>
          </w:tcPr>
          <w:p w14:paraId="7950142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0228AA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182E7BE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w:t>
            </w:r>
          </w:p>
        </w:tc>
        <w:tc>
          <w:tcPr>
            <w:tcW w:w="1667" w:type="dxa"/>
            <w:tcBorders>
              <w:top w:val="nil"/>
              <w:left w:val="nil"/>
              <w:bottom w:val="nil"/>
              <w:right w:val="nil"/>
            </w:tcBorders>
            <w:shd w:val="clear" w:color="auto" w:fill="auto"/>
            <w:noWrap/>
            <w:hideMark/>
          </w:tcPr>
          <w:p w14:paraId="4A53B56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w:t>
            </w:r>
          </w:p>
        </w:tc>
        <w:tc>
          <w:tcPr>
            <w:tcW w:w="1668" w:type="dxa"/>
            <w:tcBorders>
              <w:top w:val="nil"/>
              <w:left w:val="nil"/>
              <w:bottom w:val="nil"/>
              <w:right w:val="nil"/>
            </w:tcBorders>
            <w:shd w:val="clear" w:color="auto" w:fill="auto"/>
            <w:noWrap/>
            <w:hideMark/>
          </w:tcPr>
          <w:p w14:paraId="086295D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w:t>
            </w:r>
          </w:p>
        </w:tc>
        <w:tc>
          <w:tcPr>
            <w:tcW w:w="1667" w:type="dxa"/>
            <w:tcBorders>
              <w:top w:val="nil"/>
              <w:left w:val="nil"/>
              <w:bottom w:val="nil"/>
              <w:right w:val="nil"/>
            </w:tcBorders>
            <w:shd w:val="clear" w:color="auto" w:fill="auto"/>
            <w:noWrap/>
            <w:hideMark/>
          </w:tcPr>
          <w:p w14:paraId="491A609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33</w:t>
            </w:r>
          </w:p>
        </w:tc>
        <w:tc>
          <w:tcPr>
            <w:tcW w:w="1668" w:type="dxa"/>
            <w:tcBorders>
              <w:top w:val="nil"/>
              <w:left w:val="nil"/>
              <w:bottom w:val="nil"/>
              <w:right w:val="nil"/>
            </w:tcBorders>
            <w:shd w:val="clear" w:color="auto" w:fill="auto"/>
            <w:noWrap/>
            <w:hideMark/>
          </w:tcPr>
          <w:p w14:paraId="13F98A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w:t>
            </w:r>
          </w:p>
        </w:tc>
      </w:tr>
      <w:tr w:rsidR="0055060F" w:rsidRPr="0055060F" w14:paraId="13D1F5DC" w14:textId="77777777" w:rsidTr="006F5124">
        <w:trPr>
          <w:trHeight w:val="288"/>
        </w:trPr>
        <w:tc>
          <w:tcPr>
            <w:tcW w:w="851" w:type="dxa"/>
            <w:tcBorders>
              <w:top w:val="nil"/>
              <w:left w:val="nil"/>
              <w:bottom w:val="nil"/>
              <w:right w:val="nil"/>
            </w:tcBorders>
            <w:shd w:val="clear" w:color="auto" w:fill="auto"/>
            <w:noWrap/>
            <w:hideMark/>
          </w:tcPr>
          <w:p w14:paraId="2F34E12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AAEC78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3E2838A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6 (11.3)</w:t>
            </w:r>
          </w:p>
        </w:tc>
        <w:tc>
          <w:tcPr>
            <w:tcW w:w="1667" w:type="dxa"/>
            <w:tcBorders>
              <w:top w:val="nil"/>
              <w:left w:val="nil"/>
              <w:bottom w:val="nil"/>
              <w:right w:val="nil"/>
            </w:tcBorders>
            <w:shd w:val="clear" w:color="auto" w:fill="auto"/>
            <w:noWrap/>
            <w:hideMark/>
          </w:tcPr>
          <w:p w14:paraId="2812B05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(9.6)</w:t>
            </w:r>
          </w:p>
        </w:tc>
        <w:tc>
          <w:tcPr>
            <w:tcW w:w="1668" w:type="dxa"/>
            <w:tcBorders>
              <w:top w:val="nil"/>
              <w:left w:val="nil"/>
              <w:bottom w:val="nil"/>
              <w:right w:val="nil"/>
            </w:tcBorders>
            <w:shd w:val="clear" w:color="auto" w:fill="auto"/>
            <w:noWrap/>
            <w:hideMark/>
          </w:tcPr>
          <w:p w14:paraId="7002F61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 (21.1)</w:t>
            </w:r>
          </w:p>
        </w:tc>
        <w:tc>
          <w:tcPr>
            <w:tcW w:w="1667" w:type="dxa"/>
            <w:tcBorders>
              <w:top w:val="nil"/>
              <w:left w:val="nil"/>
              <w:bottom w:val="nil"/>
              <w:right w:val="nil"/>
            </w:tcBorders>
            <w:shd w:val="clear" w:color="auto" w:fill="auto"/>
            <w:noWrap/>
            <w:hideMark/>
          </w:tcPr>
          <w:p w14:paraId="3CA84C1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11 (18.2)</w:t>
            </w:r>
          </w:p>
        </w:tc>
        <w:tc>
          <w:tcPr>
            <w:tcW w:w="1668" w:type="dxa"/>
            <w:tcBorders>
              <w:top w:val="nil"/>
              <w:left w:val="nil"/>
              <w:bottom w:val="nil"/>
              <w:right w:val="nil"/>
            </w:tcBorders>
            <w:shd w:val="clear" w:color="auto" w:fill="auto"/>
            <w:noWrap/>
            <w:hideMark/>
          </w:tcPr>
          <w:p w14:paraId="1F7CDA5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(13.4)</w:t>
            </w:r>
          </w:p>
        </w:tc>
      </w:tr>
      <w:tr w:rsidR="0055060F" w:rsidRPr="0055060F" w14:paraId="1817E5B2" w14:textId="77777777" w:rsidTr="006F5124">
        <w:trPr>
          <w:trHeight w:val="288"/>
        </w:trPr>
        <w:tc>
          <w:tcPr>
            <w:tcW w:w="851" w:type="dxa"/>
            <w:tcBorders>
              <w:top w:val="nil"/>
              <w:left w:val="nil"/>
              <w:bottom w:val="nil"/>
              <w:right w:val="nil"/>
            </w:tcBorders>
            <w:shd w:val="clear" w:color="auto" w:fill="auto"/>
            <w:noWrap/>
            <w:hideMark/>
          </w:tcPr>
          <w:p w14:paraId="78D1A4C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DAA63EC"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2CC8061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2,982 (9.2%)</w:t>
            </w:r>
          </w:p>
        </w:tc>
        <w:tc>
          <w:tcPr>
            <w:tcW w:w="1667" w:type="dxa"/>
            <w:tcBorders>
              <w:top w:val="nil"/>
              <w:left w:val="nil"/>
              <w:bottom w:val="nil"/>
              <w:right w:val="nil"/>
            </w:tcBorders>
            <w:shd w:val="clear" w:color="auto" w:fill="auto"/>
            <w:noWrap/>
            <w:hideMark/>
          </w:tcPr>
          <w:p w14:paraId="109F54E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7,372 (18.5%)</w:t>
            </w:r>
          </w:p>
        </w:tc>
        <w:tc>
          <w:tcPr>
            <w:tcW w:w="1668" w:type="dxa"/>
            <w:tcBorders>
              <w:top w:val="nil"/>
              <w:left w:val="nil"/>
              <w:bottom w:val="nil"/>
              <w:right w:val="nil"/>
            </w:tcBorders>
            <w:shd w:val="clear" w:color="auto" w:fill="auto"/>
            <w:noWrap/>
            <w:hideMark/>
          </w:tcPr>
          <w:p w14:paraId="4B89485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21,061 (31.1%)</w:t>
            </w:r>
          </w:p>
        </w:tc>
        <w:tc>
          <w:tcPr>
            <w:tcW w:w="1667" w:type="dxa"/>
            <w:tcBorders>
              <w:top w:val="nil"/>
              <w:left w:val="nil"/>
              <w:bottom w:val="nil"/>
              <w:right w:val="nil"/>
            </w:tcBorders>
            <w:shd w:val="clear" w:color="auto" w:fill="auto"/>
            <w:noWrap/>
            <w:hideMark/>
          </w:tcPr>
          <w:p w14:paraId="6CA8CEF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24,081 (24.1%)</w:t>
            </w:r>
          </w:p>
        </w:tc>
        <w:tc>
          <w:tcPr>
            <w:tcW w:w="1668" w:type="dxa"/>
            <w:tcBorders>
              <w:top w:val="nil"/>
              <w:left w:val="nil"/>
              <w:bottom w:val="nil"/>
              <w:right w:val="nil"/>
            </w:tcBorders>
            <w:shd w:val="clear" w:color="auto" w:fill="auto"/>
            <w:noWrap/>
            <w:hideMark/>
          </w:tcPr>
          <w:p w14:paraId="23192E7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3,066 (11.5%)</w:t>
            </w:r>
          </w:p>
        </w:tc>
      </w:tr>
      <w:tr w:rsidR="0055060F" w:rsidRPr="0055060F" w14:paraId="0F925838" w14:textId="77777777" w:rsidTr="006F5124">
        <w:trPr>
          <w:trHeight w:val="288"/>
        </w:trPr>
        <w:tc>
          <w:tcPr>
            <w:tcW w:w="851" w:type="dxa"/>
            <w:tcBorders>
              <w:top w:val="nil"/>
              <w:left w:val="nil"/>
              <w:bottom w:val="nil"/>
              <w:right w:val="nil"/>
            </w:tcBorders>
            <w:shd w:val="clear" w:color="auto" w:fill="auto"/>
            <w:noWrap/>
            <w:hideMark/>
          </w:tcPr>
          <w:p w14:paraId="67D3911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A7103E1"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1CAEAC4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95 (168.9)</w:t>
            </w:r>
          </w:p>
        </w:tc>
        <w:tc>
          <w:tcPr>
            <w:tcW w:w="1667" w:type="dxa"/>
            <w:tcBorders>
              <w:top w:val="nil"/>
              <w:left w:val="nil"/>
              <w:bottom w:val="nil"/>
              <w:right w:val="nil"/>
            </w:tcBorders>
            <w:shd w:val="clear" w:color="auto" w:fill="auto"/>
            <w:noWrap/>
            <w:hideMark/>
          </w:tcPr>
          <w:p w14:paraId="7412E11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94 (119.3)</w:t>
            </w:r>
          </w:p>
        </w:tc>
        <w:tc>
          <w:tcPr>
            <w:tcW w:w="1668" w:type="dxa"/>
            <w:tcBorders>
              <w:top w:val="nil"/>
              <w:left w:val="nil"/>
              <w:bottom w:val="nil"/>
              <w:right w:val="nil"/>
            </w:tcBorders>
            <w:shd w:val="clear" w:color="auto" w:fill="auto"/>
            <w:noWrap/>
            <w:hideMark/>
          </w:tcPr>
          <w:p w14:paraId="135271B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174 (306.8)</w:t>
            </w:r>
          </w:p>
        </w:tc>
        <w:tc>
          <w:tcPr>
            <w:tcW w:w="1667" w:type="dxa"/>
            <w:tcBorders>
              <w:top w:val="nil"/>
              <w:left w:val="nil"/>
              <w:bottom w:val="nil"/>
              <w:right w:val="nil"/>
            </w:tcBorders>
            <w:shd w:val="clear" w:color="auto" w:fill="auto"/>
            <w:noWrap/>
            <w:hideMark/>
          </w:tcPr>
          <w:p w14:paraId="5CE1809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162 (291.0)</w:t>
            </w:r>
          </w:p>
        </w:tc>
        <w:tc>
          <w:tcPr>
            <w:tcW w:w="1668" w:type="dxa"/>
            <w:tcBorders>
              <w:top w:val="nil"/>
              <w:left w:val="nil"/>
              <w:bottom w:val="nil"/>
              <w:right w:val="nil"/>
            </w:tcBorders>
            <w:shd w:val="clear" w:color="auto" w:fill="auto"/>
            <w:noWrap/>
            <w:hideMark/>
          </w:tcPr>
          <w:p w14:paraId="520E745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130 (217.3)</w:t>
            </w:r>
          </w:p>
        </w:tc>
      </w:tr>
      <w:tr w:rsidR="0055060F" w:rsidRPr="0055060F" w14:paraId="33619016" w14:textId="77777777" w:rsidTr="006F5124">
        <w:trPr>
          <w:trHeight w:val="288"/>
        </w:trPr>
        <w:tc>
          <w:tcPr>
            <w:tcW w:w="851" w:type="dxa"/>
            <w:tcBorders>
              <w:top w:val="nil"/>
              <w:left w:val="nil"/>
              <w:bottom w:val="nil"/>
              <w:right w:val="nil"/>
            </w:tcBorders>
            <w:shd w:val="clear" w:color="auto" w:fill="auto"/>
            <w:noWrap/>
            <w:hideMark/>
          </w:tcPr>
          <w:p w14:paraId="7C4F26A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38B758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18282B7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$12,399</w:t>
            </w:r>
          </w:p>
        </w:tc>
        <w:tc>
          <w:tcPr>
            <w:tcW w:w="1667" w:type="dxa"/>
            <w:tcBorders>
              <w:top w:val="nil"/>
              <w:left w:val="nil"/>
              <w:bottom w:val="nil"/>
              <w:right w:val="nil"/>
            </w:tcBorders>
            <w:shd w:val="clear" w:color="auto" w:fill="auto"/>
            <w:noWrap/>
            <w:hideMark/>
          </w:tcPr>
          <w:p w14:paraId="5819086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$16,199</w:t>
            </w:r>
          </w:p>
        </w:tc>
        <w:tc>
          <w:tcPr>
            <w:tcW w:w="1668" w:type="dxa"/>
            <w:tcBorders>
              <w:top w:val="nil"/>
              <w:left w:val="nil"/>
              <w:bottom w:val="nil"/>
              <w:right w:val="nil"/>
            </w:tcBorders>
            <w:shd w:val="clear" w:color="auto" w:fill="auto"/>
            <w:noWrap/>
            <w:hideMark/>
          </w:tcPr>
          <w:p w14:paraId="5364B89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$32,535</w:t>
            </w:r>
          </w:p>
        </w:tc>
        <w:tc>
          <w:tcPr>
            <w:tcW w:w="1667" w:type="dxa"/>
            <w:tcBorders>
              <w:top w:val="nil"/>
              <w:left w:val="nil"/>
              <w:bottom w:val="nil"/>
              <w:right w:val="nil"/>
            </w:tcBorders>
            <w:shd w:val="clear" w:color="auto" w:fill="auto"/>
            <w:noWrap/>
            <w:hideMark/>
          </w:tcPr>
          <w:p w14:paraId="5A09D9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$26,229</w:t>
            </w:r>
          </w:p>
        </w:tc>
        <w:tc>
          <w:tcPr>
            <w:tcW w:w="1668" w:type="dxa"/>
            <w:tcBorders>
              <w:top w:val="nil"/>
              <w:left w:val="nil"/>
              <w:bottom w:val="nil"/>
              <w:right w:val="nil"/>
            </w:tcBorders>
            <w:shd w:val="clear" w:color="auto" w:fill="auto"/>
            <w:noWrap/>
            <w:hideMark/>
          </w:tcPr>
          <w:p w14:paraId="46D9FA3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$16,099</w:t>
            </w:r>
          </w:p>
        </w:tc>
      </w:tr>
      <w:tr w:rsidR="0055060F" w:rsidRPr="0055060F" w14:paraId="6884E2E0" w14:textId="77777777" w:rsidTr="006F5124">
        <w:trPr>
          <w:trHeight w:val="288"/>
        </w:trPr>
        <w:tc>
          <w:tcPr>
            <w:tcW w:w="851" w:type="dxa"/>
            <w:tcBorders>
              <w:top w:val="nil"/>
              <w:left w:val="nil"/>
              <w:bottom w:val="nil"/>
              <w:right w:val="nil"/>
            </w:tcBorders>
            <w:shd w:val="clear" w:color="auto" w:fill="auto"/>
            <w:noWrap/>
            <w:hideMark/>
          </w:tcPr>
          <w:p w14:paraId="40E16FF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392082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344F0EA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57F180F2"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66EC95C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1D3C147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24EB0E00"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47FAB79D" w14:textId="77777777" w:rsidTr="006F5124">
        <w:trPr>
          <w:trHeight w:val="288"/>
        </w:trPr>
        <w:tc>
          <w:tcPr>
            <w:tcW w:w="851" w:type="dxa"/>
            <w:tcBorders>
              <w:top w:val="nil"/>
              <w:left w:val="nil"/>
              <w:bottom w:val="nil"/>
              <w:right w:val="nil"/>
            </w:tcBorders>
            <w:shd w:val="clear" w:color="auto" w:fill="auto"/>
            <w:noWrap/>
            <w:hideMark/>
          </w:tcPr>
          <w:p w14:paraId="4D009326"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2A1A089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43C8AFB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1,004 (3.1%)</w:t>
            </w:r>
          </w:p>
        </w:tc>
        <w:tc>
          <w:tcPr>
            <w:tcW w:w="1667" w:type="dxa"/>
            <w:tcBorders>
              <w:top w:val="nil"/>
              <w:left w:val="nil"/>
              <w:bottom w:val="nil"/>
              <w:right w:val="nil"/>
            </w:tcBorders>
            <w:shd w:val="clear" w:color="auto" w:fill="auto"/>
            <w:noWrap/>
            <w:hideMark/>
          </w:tcPr>
          <w:p w14:paraId="050A136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6,375 (16.0%)</w:t>
            </w:r>
          </w:p>
        </w:tc>
        <w:tc>
          <w:tcPr>
            <w:tcW w:w="1668" w:type="dxa"/>
            <w:tcBorders>
              <w:top w:val="nil"/>
              <w:left w:val="nil"/>
              <w:bottom w:val="nil"/>
              <w:right w:val="nil"/>
            </w:tcBorders>
            <w:shd w:val="clear" w:color="auto" w:fill="auto"/>
            <w:noWrap/>
            <w:hideMark/>
          </w:tcPr>
          <w:p w14:paraId="6E96AC3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6,815 (10.1%)</w:t>
            </w:r>
          </w:p>
        </w:tc>
        <w:tc>
          <w:tcPr>
            <w:tcW w:w="1667" w:type="dxa"/>
            <w:tcBorders>
              <w:top w:val="nil"/>
              <w:left w:val="nil"/>
              <w:bottom w:val="nil"/>
              <w:right w:val="nil"/>
            </w:tcBorders>
            <w:shd w:val="clear" w:color="auto" w:fill="auto"/>
            <w:noWrap/>
            <w:hideMark/>
          </w:tcPr>
          <w:p w14:paraId="255A498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11,802 (11.8%)</w:t>
            </w:r>
          </w:p>
        </w:tc>
        <w:tc>
          <w:tcPr>
            <w:tcW w:w="1668" w:type="dxa"/>
            <w:tcBorders>
              <w:top w:val="nil"/>
              <w:left w:val="nil"/>
              <w:bottom w:val="nil"/>
              <w:right w:val="nil"/>
            </w:tcBorders>
            <w:shd w:val="clear" w:color="auto" w:fill="auto"/>
            <w:noWrap/>
            <w:hideMark/>
          </w:tcPr>
          <w:p w14:paraId="13C3575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1,007 (3.8%)</w:t>
            </w:r>
          </w:p>
        </w:tc>
      </w:tr>
      <w:tr w:rsidR="0055060F" w:rsidRPr="0055060F" w14:paraId="6DC761DC" w14:textId="77777777" w:rsidTr="006F5124">
        <w:trPr>
          <w:trHeight w:val="288"/>
        </w:trPr>
        <w:tc>
          <w:tcPr>
            <w:tcW w:w="851" w:type="dxa"/>
            <w:tcBorders>
              <w:top w:val="nil"/>
              <w:left w:val="nil"/>
              <w:bottom w:val="nil"/>
              <w:right w:val="nil"/>
            </w:tcBorders>
            <w:shd w:val="clear" w:color="auto" w:fill="auto"/>
            <w:noWrap/>
            <w:hideMark/>
          </w:tcPr>
          <w:p w14:paraId="7862EA6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5C798F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5543CE8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4,380 (13.6%)</w:t>
            </w:r>
          </w:p>
        </w:tc>
        <w:tc>
          <w:tcPr>
            <w:tcW w:w="1667" w:type="dxa"/>
            <w:tcBorders>
              <w:top w:val="nil"/>
              <w:left w:val="nil"/>
              <w:bottom w:val="nil"/>
              <w:right w:val="nil"/>
            </w:tcBorders>
            <w:shd w:val="clear" w:color="auto" w:fill="auto"/>
            <w:noWrap/>
            <w:hideMark/>
          </w:tcPr>
          <w:p w14:paraId="25574E5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21,253 (53.2%)</w:t>
            </w:r>
          </w:p>
        </w:tc>
        <w:tc>
          <w:tcPr>
            <w:tcW w:w="1668" w:type="dxa"/>
            <w:tcBorders>
              <w:top w:val="nil"/>
              <w:left w:val="nil"/>
              <w:bottom w:val="nil"/>
              <w:right w:val="nil"/>
            </w:tcBorders>
            <w:shd w:val="clear" w:color="auto" w:fill="auto"/>
            <w:noWrap/>
            <w:hideMark/>
          </w:tcPr>
          <w:p w14:paraId="2164262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43,212 (63.8%)</w:t>
            </w:r>
          </w:p>
        </w:tc>
        <w:tc>
          <w:tcPr>
            <w:tcW w:w="1667" w:type="dxa"/>
            <w:tcBorders>
              <w:top w:val="nil"/>
              <w:left w:val="nil"/>
              <w:bottom w:val="nil"/>
              <w:right w:val="nil"/>
            </w:tcBorders>
            <w:shd w:val="clear" w:color="auto" w:fill="auto"/>
            <w:noWrap/>
            <w:hideMark/>
          </w:tcPr>
          <w:p w14:paraId="1A18B73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60,382 (60.5%)</w:t>
            </w:r>
          </w:p>
        </w:tc>
        <w:tc>
          <w:tcPr>
            <w:tcW w:w="1668" w:type="dxa"/>
            <w:tcBorders>
              <w:top w:val="nil"/>
              <w:left w:val="nil"/>
              <w:bottom w:val="nil"/>
              <w:right w:val="nil"/>
            </w:tcBorders>
            <w:shd w:val="clear" w:color="auto" w:fill="auto"/>
            <w:noWrap/>
            <w:hideMark/>
          </w:tcPr>
          <w:p w14:paraId="413A1F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4,122 (15.4%)</w:t>
            </w:r>
          </w:p>
        </w:tc>
      </w:tr>
      <w:tr w:rsidR="0055060F" w:rsidRPr="0055060F" w14:paraId="08DF4961" w14:textId="77777777" w:rsidTr="006F5124">
        <w:trPr>
          <w:trHeight w:val="288"/>
        </w:trPr>
        <w:tc>
          <w:tcPr>
            <w:tcW w:w="851" w:type="dxa"/>
            <w:tcBorders>
              <w:top w:val="nil"/>
              <w:left w:val="nil"/>
              <w:bottom w:val="nil"/>
              <w:right w:val="nil"/>
            </w:tcBorders>
            <w:shd w:val="clear" w:color="auto" w:fill="auto"/>
            <w:noWrap/>
            <w:hideMark/>
          </w:tcPr>
          <w:p w14:paraId="1502311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1021A55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75D16CC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1,449 (4.5%)</w:t>
            </w:r>
          </w:p>
        </w:tc>
        <w:tc>
          <w:tcPr>
            <w:tcW w:w="1667" w:type="dxa"/>
            <w:tcBorders>
              <w:top w:val="nil"/>
              <w:left w:val="nil"/>
              <w:bottom w:val="nil"/>
              <w:right w:val="nil"/>
            </w:tcBorders>
            <w:shd w:val="clear" w:color="auto" w:fill="auto"/>
            <w:noWrap/>
            <w:hideMark/>
          </w:tcPr>
          <w:p w14:paraId="7E46C42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6,701 (16.8%)</w:t>
            </w:r>
          </w:p>
        </w:tc>
        <w:tc>
          <w:tcPr>
            <w:tcW w:w="1668" w:type="dxa"/>
            <w:tcBorders>
              <w:top w:val="nil"/>
              <w:left w:val="nil"/>
              <w:bottom w:val="nil"/>
              <w:right w:val="nil"/>
            </w:tcBorders>
            <w:shd w:val="clear" w:color="auto" w:fill="auto"/>
            <w:noWrap/>
            <w:hideMark/>
          </w:tcPr>
          <w:p w14:paraId="7BE0702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15,158 (22.4%)</w:t>
            </w:r>
          </w:p>
        </w:tc>
        <w:tc>
          <w:tcPr>
            <w:tcW w:w="1667" w:type="dxa"/>
            <w:tcBorders>
              <w:top w:val="nil"/>
              <w:left w:val="nil"/>
              <w:bottom w:val="nil"/>
              <w:right w:val="nil"/>
            </w:tcBorders>
            <w:shd w:val="clear" w:color="auto" w:fill="auto"/>
            <w:noWrap/>
            <w:hideMark/>
          </w:tcPr>
          <w:p w14:paraId="6C3C3DF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15,158 (15.2%)</w:t>
            </w:r>
          </w:p>
        </w:tc>
        <w:tc>
          <w:tcPr>
            <w:tcW w:w="1668" w:type="dxa"/>
            <w:tcBorders>
              <w:top w:val="nil"/>
              <w:left w:val="nil"/>
              <w:bottom w:val="nil"/>
              <w:right w:val="nil"/>
            </w:tcBorders>
            <w:shd w:val="clear" w:color="auto" w:fill="auto"/>
            <w:noWrap/>
            <w:hideMark/>
          </w:tcPr>
          <w:p w14:paraId="5E233CC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1,463 (5.5%)</w:t>
            </w:r>
          </w:p>
        </w:tc>
      </w:tr>
      <w:tr w:rsidR="0055060F" w:rsidRPr="0055060F" w14:paraId="57BFE29C" w14:textId="77777777" w:rsidTr="006F5124">
        <w:trPr>
          <w:trHeight w:val="288"/>
        </w:trPr>
        <w:tc>
          <w:tcPr>
            <w:tcW w:w="851" w:type="dxa"/>
            <w:tcBorders>
              <w:top w:val="nil"/>
              <w:left w:val="nil"/>
              <w:bottom w:val="nil"/>
              <w:right w:val="nil"/>
            </w:tcBorders>
            <w:shd w:val="clear" w:color="auto" w:fill="auto"/>
            <w:noWrap/>
            <w:hideMark/>
          </w:tcPr>
          <w:p w14:paraId="790ED2B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8B6DDCC"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2A67A5D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6550FA1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4,616 (11.6%)</w:t>
            </w:r>
          </w:p>
        </w:tc>
        <w:tc>
          <w:tcPr>
            <w:tcW w:w="1668" w:type="dxa"/>
            <w:tcBorders>
              <w:top w:val="nil"/>
              <w:left w:val="nil"/>
              <w:bottom w:val="nil"/>
              <w:right w:val="nil"/>
            </w:tcBorders>
            <w:shd w:val="clear" w:color="auto" w:fill="auto"/>
            <w:noWrap/>
            <w:hideMark/>
          </w:tcPr>
          <w:p w14:paraId="6E9678C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8,441 (12.5%)</w:t>
            </w:r>
          </w:p>
        </w:tc>
        <w:tc>
          <w:tcPr>
            <w:tcW w:w="1667" w:type="dxa"/>
            <w:tcBorders>
              <w:top w:val="nil"/>
              <w:left w:val="nil"/>
              <w:bottom w:val="nil"/>
              <w:right w:val="nil"/>
            </w:tcBorders>
            <w:shd w:val="clear" w:color="auto" w:fill="auto"/>
            <w:noWrap/>
            <w:hideMark/>
          </w:tcPr>
          <w:p w14:paraId="1DA3536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11,520 (11.5%)</w:t>
            </w:r>
          </w:p>
        </w:tc>
        <w:tc>
          <w:tcPr>
            <w:tcW w:w="1668" w:type="dxa"/>
            <w:tcBorders>
              <w:top w:val="nil"/>
              <w:left w:val="nil"/>
              <w:bottom w:val="nil"/>
              <w:right w:val="nil"/>
            </w:tcBorders>
            <w:shd w:val="clear" w:color="auto" w:fill="auto"/>
            <w:noWrap/>
            <w:hideMark/>
          </w:tcPr>
          <w:p w14:paraId="1DC2DDB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997 (3.7%)</w:t>
            </w:r>
          </w:p>
        </w:tc>
      </w:tr>
      <w:tr w:rsidR="0055060F" w:rsidRPr="0055060F" w14:paraId="7C2302FF" w14:textId="77777777" w:rsidTr="006F5124">
        <w:trPr>
          <w:trHeight w:val="288"/>
        </w:trPr>
        <w:tc>
          <w:tcPr>
            <w:tcW w:w="851" w:type="dxa"/>
            <w:tcBorders>
              <w:top w:val="nil"/>
              <w:left w:val="nil"/>
              <w:bottom w:val="nil"/>
              <w:right w:val="nil"/>
            </w:tcBorders>
            <w:shd w:val="clear" w:color="auto" w:fill="auto"/>
            <w:noWrap/>
            <w:hideMark/>
          </w:tcPr>
          <w:p w14:paraId="7765588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0603304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435FF4D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340251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3,085 (66.8%)</w:t>
            </w:r>
          </w:p>
        </w:tc>
        <w:tc>
          <w:tcPr>
            <w:tcW w:w="1668" w:type="dxa"/>
            <w:tcBorders>
              <w:top w:val="nil"/>
              <w:left w:val="nil"/>
              <w:bottom w:val="nil"/>
              <w:right w:val="nil"/>
            </w:tcBorders>
            <w:shd w:val="clear" w:color="auto" w:fill="auto"/>
            <w:noWrap/>
            <w:hideMark/>
          </w:tcPr>
          <w:p w14:paraId="5EDC709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5,805 (68.8%)</w:t>
            </w:r>
          </w:p>
        </w:tc>
        <w:tc>
          <w:tcPr>
            <w:tcW w:w="1667" w:type="dxa"/>
            <w:tcBorders>
              <w:top w:val="nil"/>
              <w:left w:val="nil"/>
              <w:bottom w:val="nil"/>
              <w:right w:val="nil"/>
            </w:tcBorders>
            <w:shd w:val="clear" w:color="auto" w:fill="auto"/>
            <w:noWrap/>
            <w:hideMark/>
          </w:tcPr>
          <w:p w14:paraId="49D7833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7,702 (66.9%)</w:t>
            </w:r>
          </w:p>
        </w:tc>
        <w:tc>
          <w:tcPr>
            <w:tcW w:w="1668" w:type="dxa"/>
            <w:tcBorders>
              <w:top w:val="nil"/>
              <w:left w:val="nil"/>
              <w:bottom w:val="nil"/>
              <w:right w:val="nil"/>
            </w:tcBorders>
            <w:shd w:val="clear" w:color="auto" w:fill="auto"/>
            <w:noWrap/>
            <w:hideMark/>
          </w:tcPr>
          <w:p w14:paraId="6BD2416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708 (71.0%)</w:t>
            </w:r>
          </w:p>
        </w:tc>
      </w:tr>
      <w:tr w:rsidR="0055060F" w:rsidRPr="0055060F" w14:paraId="34008736" w14:textId="77777777" w:rsidTr="006F5124">
        <w:trPr>
          <w:trHeight w:val="288"/>
        </w:trPr>
        <w:tc>
          <w:tcPr>
            <w:tcW w:w="851" w:type="dxa"/>
            <w:tcBorders>
              <w:top w:val="nil"/>
              <w:left w:val="nil"/>
              <w:bottom w:val="nil"/>
              <w:right w:val="nil"/>
            </w:tcBorders>
            <w:shd w:val="clear" w:color="auto" w:fill="auto"/>
            <w:noWrap/>
            <w:hideMark/>
          </w:tcPr>
          <w:p w14:paraId="6636EC0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40A422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7897C78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1CF44B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1,531 (33.2%)</w:t>
            </w:r>
          </w:p>
        </w:tc>
        <w:tc>
          <w:tcPr>
            <w:tcW w:w="1668" w:type="dxa"/>
            <w:tcBorders>
              <w:top w:val="nil"/>
              <w:left w:val="nil"/>
              <w:bottom w:val="nil"/>
              <w:right w:val="nil"/>
            </w:tcBorders>
            <w:shd w:val="clear" w:color="auto" w:fill="auto"/>
            <w:noWrap/>
            <w:hideMark/>
          </w:tcPr>
          <w:p w14:paraId="378BE7E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2,636 (31.2%)</w:t>
            </w:r>
          </w:p>
        </w:tc>
        <w:tc>
          <w:tcPr>
            <w:tcW w:w="1667" w:type="dxa"/>
            <w:tcBorders>
              <w:top w:val="nil"/>
              <w:left w:val="nil"/>
              <w:bottom w:val="nil"/>
              <w:right w:val="nil"/>
            </w:tcBorders>
            <w:shd w:val="clear" w:color="auto" w:fill="auto"/>
            <w:noWrap/>
            <w:hideMark/>
          </w:tcPr>
          <w:p w14:paraId="0D4BCD5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3,818 (33.1%)</w:t>
            </w:r>
          </w:p>
        </w:tc>
        <w:tc>
          <w:tcPr>
            <w:tcW w:w="1668" w:type="dxa"/>
            <w:tcBorders>
              <w:top w:val="nil"/>
              <w:left w:val="nil"/>
              <w:bottom w:val="nil"/>
              <w:right w:val="nil"/>
            </w:tcBorders>
            <w:shd w:val="clear" w:color="auto" w:fill="auto"/>
            <w:noWrap/>
            <w:hideMark/>
          </w:tcPr>
          <w:p w14:paraId="3011C00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289 (29.0%)</w:t>
            </w:r>
          </w:p>
        </w:tc>
      </w:tr>
      <w:tr w:rsidR="0055060F" w:rsidRPr="0055060F" w14:paraId="4DF2AC29" w14:textId="77777777" w:rsidTr="006F5124">
        <w:trPr>
          <w:trHeight w:val="288"/>
        </w:trPr>
        <w:tc>
          <w:tcPr>
            <w:tcW w:w="851" w:type="dxa"/>
            <w:tcBorders>
              <w:top w:val="nil"/>
              <w:left w:val="nil"/>
              <w:bottom w:val="nil"/>
              <w:right w:val="nil"/>
            </w:tcBorders>
            <w:shd w:val="clear" w:color="auto" w:fill="auto"/>
            <w:noWrap/>
            <w:hideMark/>
          </w:tcPr>
          <w:p w14:paraId="13500513" w14:textId="77777777" w:rsidR="0055060F" w:rsidRPr="0055060F" w:rsidRDefault="0055060F" w:rsidP="0055060F">
            <w:pPr>
              <w:keepNext/>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2021-22</w:t>
            </w:r>
          </w:p>
        </w:tc>
        <w:tc>
          <w:tcPr>
            <w:tcW w:w="4689" w:type="dxa"/>
            <w:tcBorders>
              <w:top w:val="nil"/>
              <w:left w:val="nil"/>
              <w:bottom w:val="nil"/>
              <w:right w:val="nil"/>
            </w:tcBorders>
            <w:shd w:val="clear" w:color="auto" w:fill="auto"/>
            <w:noWrap/>
            <w:hideMark/>
          </w:tcPr>
          <w:p w14:paraId="7FDF774D" w14:textId="77777777" w:rsidR="0055060F" w:rsidRPr="0055060F" w:rsidRDefault="0055060F" w:rsidP="0055060F">
            <w:pPr>
              <w:keepNext/>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3AF0B72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30,945</w:t>
            </w:r>
          </w:p>
        </w:tc>
        <w:tc>
          <w:tcPr>
            <w:tcW w:w="1667" w:type="dxa"/>
            <w:tcBorders>
              <w:top w:val="nil"/>
              <w:left w:val="nil"/>
              <w:bottom w:val="nil"/>
              <w:right w:val="nil"/>
            </w:tcBorders>
            <w:shd w:val="clear" w:color="auto" w:fill="auto"/>
            <w:noWrap/>
            <w:hideMark/>
          </w:tcPr>
          <w:p w14:paraId="3FAF993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38,795</w:t>
            </w:r>
          </w:p>
        </w:tc>
        <w:tc>
          <w:tcPr>
            <w:tcW w:w="1668" w:type="dxa"/>
            <w:tcBorders>
              <w:top w:val="nil"/>
              <w:left w:val="nil"/>
              <w:bottom w:val="nil"/>
              <w:right w:val="nil"/>
            </w:tcBorders>
            <w:shd w:val="clear" w:color="auto" w:fill="auto"/>
            <w:noWrap/>
            <w:hideMark/>
          </w:tcPr>
          <w:p w14:paraId="4E953CA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69,035</w:t>
            </w:r>
          </w:p>
        </w:tc>
        <w:tc>
          <w:tcPr>
            <w:tcW w:w="1667" w:type="dxa"/>
            <w:tcBorders>
              <w:top w:val="nil"/>
              <w:left w:val="nil"/>
              <w:bottom w:val="nil"/>
              <w:right w:val="nil"/>
            </w:tcBorders>
            <w:shd w:val="clear" w:color="auto" w:fill="auto"/>
            <w:noWrap/>
            <w:hideMark/>
          </w:tcPr>
          <w:p w14:paraId="4E44A79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99,739</w:t>
            </w:r>
          </w:p>
        </w:tc>
        <w:tc>
          <w:tcPr>
            <w:tcW w:w="1668" w:type="dxa"/>
            <w:tcBorders>
              <w:top w:val="nil"/>
              <w:left w:val="nil"/>
              <w:bottom w:val="nil"/>
              <w:right w:val="nil"/>
            </w:tcBorders>
            <w:shd w:val="clear" w:color="auto" w:fill="auto"/>
            <w:noWrap/>
            <w:hideMark/>
          </w:tcPr>
          <w:p w14:paraId="3ADD11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26,067</w:t>
            </w:r>
          </w:p>
        </w:tc>
      </w:tr>
      <w:tr w:rsidR="0055060F" w:rsidRPr="0055060F" w14:paraId="35879A2E" w14:textId="77777777" w:rsidTr="006F5124">
        <w:trPr>
          <w:trHeight w:val="288"/>
        </w:trPr>
        <w:tc>
          <w:tcPr>
            <w:tcW w:w="851" w:type="dxa"/>
            <w:tcBorders>
              <w:top w:val="nil"/>
              <w:left w:val="nil"/>
              <w:bottom w:val="nil"/>
              <w:right w:val="nil"/>
            </w:tcBorders>
            <w:shd w:val="clear" w:color="auto" w:fill="auto"/>
            <w:noWrap/>
            <w:hideMark/>
          </w:tcPr>
          <w:p w14:paraId="71C37CC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395EC7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599DE19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c>
          <w:tcPr>
            <w:tcW w:w="1667" w:type="dxa"/>
            <w:tcBorders>
              <w:top w:val="nil"/>
              <w:left w:val="nil"/>
              <w:bottom w:val="nil"/>
              <w:right w:val="nil"/>
            </w:tcBorders>
            <w:shd w:val="clear" w:color="auto" w:fill="auto"/>
            <w:noWrap/>
            <w:hideMark/>
          </w:tcPr>
          <w:p w14:paraId="18E4D6B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w:t>
            </w:r>
          </w:p>
        </w:tc>
        <w:tc>
          <w:tcPr>
            <w:tcW w:w="1668" w:type="dxa"/>
            <w:tcBorders>
              <w:top w:val="nil"/>
              <w:left w:val="nil"/>
              <w:bottom w:val="nil"/>
              <w:right w:val="nil"/>
            </w:tcBorders>
            <w:shd w:val="clear" w:color="auto" w:fill="auto"/>
            <w:noWrap/>
            <w:hideMark/>
          </w:tcPr>
          <w:p w14:paraId="1E0D26E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22</w:t>
            </w:r>
          </w:p>
        </w:tc>
        <w:tc>
          <w:tcPr>
            <w:tcW w:w="1667" w:type="dxa"/>
            <w:tcBorders>
              <w:top w:val="nil"/>
              <w:left w:val="nil"/>
              <w:bottom w:val="nil"/>
              <w:right w:val="nil"/>
            </w:tcBorders>
            <w:shd w:val="clear" w:color="auto" w:fill="auto"/>
            <w:noWrap/>
            <w:hideMark/>
          </w:tcPr>
          <w:p w14:paraId="799A6D9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w:t>
            </w:r>
          </w:p>
        </w:tc>
        <w:tc>
          <w:tcPr>
            <w:tcW w:w="1668" w:type="dxa"/>
            <w:tcBorders>
              <w:top w:val="nil"/>
              <w:left w:val="nil"/>
              <w:bottom w:val="nil"/>
              <w:right w:val="nil"/>
            </w:tcBorders>
            <w:shd w:val="clear" w:color="auto" w:fill="auto"/>
            <w:noWrap/>
            <w:hideMark/>
          </w:tcPr>
          <w:p w14:paraId="346C305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w:t>
            </w:r>
          </w:p>
        </w:tc>
      </w:tr>
      <w:tr w:rsidR="0055060F" w:rsidRPr="0055060F" w14:paraId="6DC2B023" w14:textId="77777777" w:rsidTr="006F5124">
        <w:trPr>
          <w:trHeight w:val="288"/>
        </w:trPr>
        <w:tc>
          <w:tcPr>
            <w:tcW w:w="851" w:type="dxa"/>
            <w:tcBorders>
              <w:top w:val="nil"/>
              <w:left w:val="nil"/>
              <w:bottom w:val="nil"/>
              <w:right w:val="nil"/>
            </w:tcBorders>
            <w:shd w:val="clear" w:color="auto" w:fill="auto"/>
            <w:noWrap/>
            <w:hideMark/>
          </w:tcPr>
          <w:p w14:paraId="2E32940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564B42A"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6360AC3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7 (18.5)</w:t>
            </w:r>
          </w:p>
        </w:tc>
        <w:tc>
          <w:tcPr>
            <w:tcW w:w="1667" w:type="dxa"/>
            <w:tcBorders>
              <w:top w:val="nil"/>
              <w:left w:val="nil"/>
              <w:bottom w:val="nil"/>
              <w:right w:val="nil"/>
            </w:tcBorders>
            <w:shd w:val="clear" w:color="auto" w:fill="auto"/>
            <w:noWrap/>
            <w:hideMark/>
          </w:tcPr>
          <w:p w14:paraId="0EBC791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(10.3)</w:t>
            </w:r>
          </w:p>
        </w:tc>
        <w:tc>
          <w:tcPr>
            <w:tcW w:w="1668" w:type="dxa"/>
            <w:tcBorders>
              <w:top w:val="nil"/>
              <w:left w:val="nil"/>
              <w:bottom w:val="nil"/>
              <w:right w:val="nil"/>
            </w:tcBorders>
            <w:shd w:val="clear" w:color="auto" w:fill="auto"/>
            <w:noWrap/>
            <w:hideMark/>
          </w:tcPr>
          <w:p w14:paraId="6F7EA53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14 (23.1)</w:t>
            </w:r>
          </w:p>
        </w:tc>
        <w:tc>
          <w:tcPr>
            <w:tcW w:w="1667" w:type="dxa"/>
            <w:tcBorders>
              <w:top w:val="nil"/>
              <w:left w:val="nil"/>
              <w:bottom w:val="nil"/>
              <w:right w:val="nil"/>
            </w:tcBorders>
            <w:shd w:val="clear" w:color="auto" w:fill="auto"/>
            <w:noWrap/>
            <w:hideMark/>
          </w:tcPr>
          <w:p w14:paraId="6895602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 (20.1)</w:t>
            </w:r>
          </w:p>
        </w:tc>
        <w:tc>
          <w:tcPr>
            <w:tcW w:w="1668" w:type="dxa"/>
            <w:tcBorders>
              <w:top w:val="nil"/>
              <w:left w:val="nil"/>
              <w:bottom w:val="nil"/>
              <w:right w:val="nil"/>
            </w:tcBorders>
            <w:shd w:val="clear" w:color="auto" w:fill="auto"/>
            <w:noWrap/>
            <w:hideMark/>
          </w:tcPr>
          <w:p w14:paraId="4597DB3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(13.3)</w:t>
            </w:r>
          </w:p>
        </w:tc>
      </w:tr>
      <w:tr w:rsidR="0055060F" w:rsidRPr="0055060F" w14:paraId="3EA330C3" w14:textId="77777777" w:rsidTr="006F5124">
        <w:trPr>
          <w:trHeight w:val="288"/>
        </w:trPr>
        <w:tc>
          <w:tcPr>
            <w:tcW w:w="851" w:type="dxa"/>
            <w:tcBorders>
              <w:top w:val="nil"/>
              <w:left w:val="nil"/>
              <w:bottom w:val="nil"/>
              <w:right w:val="nil"/>
            </w:tcBorders>
            <w:shd w:val="clear" w:color="auto" w:fill="auto"/>
            <w:noWrap/>
            <w:hideMark/>
          </w:tcPr>
          <w:p w14:paraId="60EC2E0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FAE40A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3AF3CB9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2,820 (9.1%)</w:t>
            </w:r>
          </w:p>
        </w:tc>
        <w:tc>
          <w:tcPr>
            <w:tcW w:w="1667" w:type="dxa"/>
            <w:tcBorders>
              <w:top w:val="nil"/>
              <w:left w:val="nil"/>
              <w:bottom w:val="nil"/>
              <w:right w:val="nil"/>
            </w:tcBorders>
            <w:shd w:val="clear" w:color="auto" w:fill="auto"/>
            <w:noWrap/>
            <w:hideMark/>
          </w:tcPr>
          <w:p w14:paraId="35D565A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6,712 (17.3%)</w:t>
            </w:r>
          </w:p>
        </w:tc>
        <w:tc>
          <w:tcPr>
            <w:tcW w:w="1668" w:type="dxa"/>
            <w:tcBorders>
              <w:top w:val="nil"/>
              <w:left w:val="nil"/>
              <w:bottom w:val="nil"/>
              <w:right w:val="nil"/>
            </w:tcBorders>
            <w:shd w:val="clear" w:color="auto" w:fill="auto"/>
            <w:noWrap/>
            <w:hideMark/>
          </w:tcPr>
          <w:p w14:paraId="56A9615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20,713 (30.0%)</w:t>
            </w:r>
          </w:p>
        </w:tc>
        <w:tc>
          <w:tcPr>
            <w:tcW w:w="1667" w:type="dxa"/>
            <w:tcBorders>
              <w:top w:val="nil"/>
              <w:left w:val="nil"/>
              <w:bottom w:val="nil"/>
              <w:right w:val="nil"/>
            </w:tcBorders>
            <w:shd w:val="clear" w:color="auto" w:fill="auto"/>
            <w:noWrap/>
            <w:hideMark/>
          </w:tcPr>
          <w:p w14:paraId="3B07AD0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23,249 (23.3%)</w:t>
            </w:r>
          </w:p>
        </w:tc>
        <w:tc>
          <w:tcPr>
            <w:tcW w:w="1668" w:type="dxa"/>
            <w:tcBorders>
              <w:top w:val="nil"/>
              <w:left w:val="nil"/>
              <w:bottom w:val="nil"/>
              <w:right w:val="nil"/>
            </w:tcBorders>
            <w:shd w:val="clear" w:color="auto" w:fill="auto"/>
            <w:noWrap/>
            <w:hideMark/>
          </w:tcPr>
          <w:p w14:paraId="3086CE4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2,924 (11.2%)</w:t>
            </w:r>
          </w:p>
        </w:tc>
      </w:tr>
      <w:tr w:rsidR="0055060F" w:rsidRPr="0055060F" w14:paraId="3DDDB26A" w14:textId="77777777" w:rsidTr="006F5124">
        <w:trPr>
          <w:trHeight w:val="288"/>
        </w:trPr>
        <w:tc>
          <w:tcPr>
            <w:tcW w:w="851" w:type="dxa"/>
            <w:tcBorders>
              <w:top w:val="nil"/>
              <w:left w:val="nil"/>
              <w:bottom w:val="nil"/>
              <w:right w:val="nil"/>
            </w:tcBorders>
            <w:shd w:val="clear" w:color="auto" w:fill="auto"/>
            <w:noWrap/>
            <w:hideMark/>
          </w:tcPr>
          <w:p w14:paraId="1592759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EB5158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74073A9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105 (194.8)</w:t>
            </w:r>
          </w:p>
        </w:tc>
        <w:tc>
          <w:tcPr>
            <w:tcW w:w="1667" w:type="dxa"/>
            <w:tcBorders>
              <w:top w:val="nil"/>
              <w:left w:val="nil"/>
              <w:bottom w:val="nil"/>
              <w:right w:val="nil"/>
            </w:tcBorders>
            <w:shd w:val="clear" w:color="auto" w:fill="auto"/>
            <w:noWrap/>
            <w:hideMark/>
          </w:tcPr>
          <w:p w14:paraId="5460E58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98 (123.3)</w:t>
            </w:r>
          </w:p>
        </w:tc>
        <w:tc>
          <w:tcPr>
            <w:tcW w:w="1668" w:type="dxa"/>
            <w:tcBorders>
              <w:top w:val="nil"/>
              <w:left w:val="nil"/>
              <w:bottom w:val="nil"/>
              <w:right w:val="nil"/>
            </w:tcBorders>
            <w:shd w:val="clear" w:color="auto" w:fill="auto"/>
            <w:noWrap/>
            <w:hideMark/>
          </w:tcPr>
          <w:p w14:paraId="2451C74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186 (336.6)</w:t>
            </w:r>
          </w:p>
        </w:tc>
        <w:tc>
          <w:tcPr>
            <w:tcW w:w="1667" w:type="dxa"/>
            <w:tcBorders>
              <w:top w:val="nil"/>
              <w:left w:val="nil"/>
              <w:bottom w:val="nil"/>
              <w:right w:val="nil"/>
            </w:tcBorders>
            <w:shd w:val="clear" w:color="auto" w:fill="auto"/>
            <w:noWrap/>
            <w:hideMark/>
          </w:tcPr>
          <w:p w14:paraId="7055DB5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175 (321.0)</w:t>
            </w:r>
          </w:p>
        </w:tc>
        <w:tc>
          <w:tcPr>
            <w:tcW w:w="1668" w:type="dxa"/>
            <w:tcBorders>
              <w:top w:val="nil"/>
              <w:left w:val="nil"/>
              <w:bottom w:val="nil"/>
              <w:right w:val="nil"/>
            </w:tcBorders>
            <w:shd w:val="clear" w:color="auto" w:fill="auto"/>
            <w:noWrap/>
            <w:hideMark/>
          </w:tcPr>
          <w:p w14:paraId="28CC3A1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139 (207.1)</w:t>
            </w:r>
          </w:p>
        </w:tc>
      </w:tr>
      <w:tr w:rsidR="0055060F" w:rsidRPr="0055060F" w14:paraId="2B666989" w14:textId="77777777" w:rsidTr="006F5124">
        <w:trPr>
          <w:trHeight w:val="288"/>
        </w:trPr>
        <w:tc>
          <w:tcPr>
            <w:tcW w:w="851" w:type="dxa"/>
            <w:tcBorders>
              <w:top w:val="nil"/>
              <w:left w:val="nil"/>
              <w:bottom w:val="nil"/>
              <w:right w:val="nil"/>
            </w:tcBorders>
            <w:shd w:val="clear" w:color="auto" w:fill="auto"/>
            <w:noWrap/>
            <w:hideMark/>
          </w:tcPr>
          <w:p w14:paraId="7D12647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5A5593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735D468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$13,754</w:t>
            </w:r>
          </w:p>
        </w:tc>
        <w:tc>
          <w:tcPr>
            <w:tcW w:w="1667" w:type="dxa"/>
            <w:tcBorders>
              <w:top w:val="nil"/>
              <w:left w:val="nil"/>
              <w:bottom w:val="nil"/>
              <w:right w:val="nil"/>
            </w:tcBorders>
            <w:shd w:val="clear" w:color="auto" w:fill="auto"/>
            <w:noWrap/>
            <w:hideMark/>
          </w:tcPr>
          <w:p w14:paraId="5C68CE2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$17,048</w:t>
            </w:r>
          </w:p>
        </w:tc>
        <w:tc>
          <w:tcPr>
            <w:tcW w:w="1668" w:type="dxa"/>
            <w:tcBorders>
              <w:top w:val="nil"/>
              <w:left w:val="nil"/>
              <w:bottom w:val="nil"/>
              <w:right w:val="nil"/>
            </w:tcBorders>
            <w:shd w:val="clear" w:color="auto" w:fill="auto"/>
            <w:noWrap/>
            <w:hideMark/>
          </w:tcPr>
          <w:p w14:paraId="3BB90E0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$35,002</w:t>
            </w:r>
          </w:p>
        </w:tc>
        <w:tc>
          <w:tcPr>
            <w:tcW w:w="1667" w:type="dxa"/>
            <w:tcBorders>
              <w:top w:val="nil"/>
              <w:left w:val="nil"/>
              <w:bottom w:val="nil"/>
              <w:right w:val="nil"/>
            </w:tcBorders>
            <w:shd w:val="clear" w:color="auto" w:fill="auto"/>
            <w:noWrap/>
            <w:hideMark/>
          </w:tcPr>
          <w:p w14:paraId="455BD8F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$28,442</w:t>
            </w:r>
          </w:p>
        </w:tc>
        <w:tc>
          <w:tcPr>
            <w:tcW w:w="1668" w:type="dxa"/>
            <w:tcBorders>
              <w:top w:val="nil"/>
              <w:left w:val="nil"/>
              <w:bottom w:val="nil"/>
              <w:right w:val="nil"/>
            </w:tcBorders>
            <w:shd w:val="clear" w:color="auto" w:fill="auto"/>
            <w:noWrap/>
            <w:hideMark/>
          </w:tcPr>
          <w:p w14:paraId="6F9E6A7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$17,581</w:t>
            </w:r>
          </w:p>
        </w:tc>
      </w:tr>
      <w:tr w:rsidR="0055060F" w:rsidRPr="0055060F" w14:paraId="20E03880" w14:textId="77777777" w:rsidTr="006F5124">
        <w:trPr>
          <w:trHeight w:val="288"/>
        </w:trPr>
        <w:tc>
          <w:tcPr>
            <w:tcW w:w="851" w:type="dxa"/>
            <w:tcBorders>
              <w:top w:val="nil"/>
              <w:left w:val="nil"/>
              <w:bottom w:val="nil"/>
              <w:right w:val="nil"/>
            </w:tcBorders>
            <w:shd w:val="clear" w:color="auto" w:fill="auto"/>
            <w:noWrap/>
            <w:hideMark/>
          </w:tcPr>
          <w:p w14:paraId="12EB899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10ADB2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4886F4FC"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7C7144D4"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206A7EB1"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308B0193"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5FC843DC"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0268709C" w14:textId="77777777" w:rsidTr="006F5124">
        <w:trPr>
          <w:trHeight w:val="288"/>
        </w:trPr>
        <w:tc>
          <w:tcPr>
            <w:tcW w:w="851" w:type="dxa"/>
            <w:tcBorders>
              <w:top w:val="nil"/>
              <w:left w:val="nil"/>
              <w:bottom w:val="nil"/>
              <w:right w:val="nil"/>
            </w:tcBorders>
            <w:shd w:val="clear" w:color="auto" w:fill="auto"/>
            <w:noWrap/>
            <w:hideMark/>
          </w:tcPr>
          <w:p w14:paraId="54E4375A"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522C620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0BB929F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979 (3.2%)</w:t>
            </w:r>
          </w:p>
        </w:tc>
        <w:tc>
          <w:tcPr>
            <w:tcW w:w="1667" w:type="dxa"/>
            <w:tcBorders>
              <w:top w:val="nil"/>
              <w:left w:val="nil"/>
              <w:bottom w:val="nil"/>
              <w:right w:val="nil"/>
            </w:tcBorders>
            <w:shd w:val="clear" w:color="auto" w:fill="auto"/>
            <w:noWrap/>
            <w:hideMark/>
          </w:tcPr>
          <w:p w14:paraId="598CB66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5,893 (15.2%)</w:t>
            </w:r>
          </w:p>
        </w:tc>
        <w:tc>
          <w:tcPr>
            <w:tcW w:w="1668" w:type="dxa"/>
            <w:tcBorders>
              <w:top w:val="nil"/>
              <w:left w:val="nil"/>
              <w:bottom w:val="nil"/>
              <w:right w:val="nil"/>
            </w:tcBorders>
            <w:shd w:val="clear" w:color="auto" w:fill="auto"/>
            <w:noWrap/>
            <w:hideMark/>
          </w:tcPr>
          <w:p w14:paraId="063DC7E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6,648 (9.6%)</w:t>
            </w:r>
          </w:p>
        </w:tc>
        <w:tc>
          <w:tcPr>
            <w:tcW w:w="1667" w:type="dxa"/>
            <w:tcBorders>
              <w:top w:val="nil"/>
              <w:left w:val="nil"/>
              <w:bottom w:val="nil"/>
              <w:right w:val="nil"/>
            </w:tcBorders>
            <w:shd w:val="clear" w:color="auto" w:fill="auto"/>
            <w:noWrap/>
            <w:hideMark/>
          </w:tcPr>
          <w:p w14:paraId="0B2A13B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11,165 (11.2%)</w:t>
            </w:r>
          </w:p>
        </w:tc>
        <w:tc>
          <w:tcPr>
            <w:tcW w:w="1668" w:type="dxa"/>
            <w:tcBorders>
              <w:top w:val="nil"/>
              <w:left w:val="nil"/>
              <w:bottom w:val="nil"/>
              <w:right w:val="nil"/>
            </w:tcBorders>
            <w:shd w:val="clear" w:color="auto" w:fill="auto"/>
            <w:noWrap/>
            <w:hideMark/>
          </w:tcPr>
          <w:p w14:paraId="68438C4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1,030 (4.0%)</w:t>
            </w:r>
          </w:p>
        </w:tc>
      </w:tr>
      <w:tr w:rsidR="0055060F" w:rsidRPr="0055060F" w14:paraId="77516056" w14:textId="77777777" w:rsidTr="006F5124">
        <w:trPr>
          <w:trHeight w:val="288"/>
        </w:trPr>
        <w:tc>
          <w:tcPr>
            <w:tcW w:w="851" w:type="dxa"/>
            <w:tcBorders>
              <w:top w:val="nil"/>
              <w:left w:val="nil"/>
              <w:bottom w:val="nil"/>
              <w:right w:val="nil"/>
            </w:tcBorders>
            <w:shd w:val="clear" w:color="auto" w:fill="auto"/>
            <w:noWrap/>
            <w:hideMark/>
          </w:tcPr>
          <w:p w14:paraId="7BB4BFB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02C1F1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17B24C2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4,175 (13.5%)</w:t>
            </w:r>
          </w:p>
        </w:tc>
        <w:tc>
          <w:tcPr>
            <w:tcW w:w="1667" w:type="dxa"/>
            <w:tcBorders>
              <w:top w:val="nil"/>
              <w:left w:val="nil"/>
              <w:bottom w:val="nil"/>
              <w:right w:val="nil"/>
            </w:tcBorders>
            <w:shd w:val="clear" w:color="auto" w:fill="auto"/>
            <w:noWrap/>
            <w:hideMark/>
          </w:tcPr>
          <w:p w14:paraId="2E20BCA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20,809 (53.6%)</w:t>
            </w:r>
          </w:p>
        </w:tc>
        <w:tc>
          <w:tcPr>
            <w:tcW w:w="1668" w:type="dxa"/>
            <w:tcBorders>
              <w:top w:val="nil"/>
              <w:left w:val="nil"/>
              <w:bottom w:val="nil"/>
              <w:right w:val="nil"/>
            </w:tcBorders>
            <w:shd w:val="clear" w:color="auto" w:fill="auto"/>
            <w:noWrap/>
            <w:hideMark/>
          </w:tcPr>
          <w:p w14:paraId="38F3156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44,622 (64.6%)</w:t>
            </w:r>
          </w:p>
        </w:tc>
        <w:tc>
          <w:tcPr>
            <w:tcW w:w="1667" w:type="dxa"/>
            <w:tcBorders>
              <w:top w:val="nil"/>
              <w:left w:val="nil"/>
              <w:bottom w:val="nil"/>
              <w:right w:val="nil"/>
            </w:tcBorders>
            <w:shd w:val="clear" w:color="auto" w:fill="auto"/>
            <w:noWrap/>
            <w:hideMark/>
          </w:tcPr>
          <w:p w14:paraId="608836F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61,214 (61.4%)</w:t>
            </w:r>
          </w:p>
        </w:tc>
        <w:tc>
          <w:tcPr>
            <w:tcW w:w="1668" w:type="dxa"/>
            <w:tcBorders>
              <w:top w:val="nil"/>
              <w:left w:val="nil"/>
              <w:bottom w:val="nil"/>
              <w:right w:val="nil"/>
            </w:tcBorders>
            <w:shd w:val="clear" w:color="auto" w:fill="auto"/>
            <w:noWrap/>
            <w:hideMark/>
          </w:tcPr>
          <w:p w14:paraId="64B10D2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3,990 (15.3%)</w:t>
            </w:r>
          </w:p>
        </w:tc>
      </w:tr>
      <w:tr w:rsidR="0055060F" w:rsidRPr="0055060F" w14:paraId="3FBE1691" w14:textId="77777777" w:rsidTr="006F5124">
        <w:trPr>
          <w:trHeight w:val="288"/>
        </w:trPr>
        <w:tc>
          <w:tcPr>
            <w:tcW w:w="851" w:type="dxa"/>
            <w:tcBorders>
              <w:top w:val="nil"/>
              <w:left w:val="nil"/>
              <w:bottom w:val="nil"/>
              <w:right w:val="nil"/>
            </w:tcBorders>
            <w:shd w:val="clear" w:color="auto" w:fill="auto"/>
            <w:noWrap/>
            <w:hideMark/>
          </w:tcPr>
          <w:p w14:paraId="07E9A9A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A1EEAA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7F1CC0D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1,514 (4.9%)</w:t>
            </w:r>
          </w:p>
        </w:tc>
        <w:tc>
          <w:tcPr>
            <w:tcW w:w="1667" w:type="dxa"/>
            <w:tcBorders>
              <w:top w:val="nil"/>
              <w:left w:val="nil"/>
              <w:bottom w:val="nil"/>
              <w:right w:val="nil"/>
            </w:tcBorders>
            <w:shd w:val="clear" w:color="auto" w:fill="auto"/>
            <w:noWrap/>
            <w:hideMark/>
          </w:tcPr>
          <w:p w14:paraId="0D1FC0F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7,034 (18.1%)</w:t>
            </w:r>
          </w:p>
        </w:tc>
        <w:tc>
          <w:tcPr>
            <w:tcW w:w="1668" w:type="dxa"/>
            <w:tcBorders>
              <w:top w:val="nil"/>
              <w:left w:val="nil"/>
              <w:bottom w:val="nil"/>
              <w:right w:val="nil"/>
            </w:tcBorders>
            <w:shd w:val="clear" w:color="auto" w:fill="auto"/>
            <w:noWrap/>
            <w:hideMark/>
          </w:tcPr>
          <w:p w14:paraId="163AA61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16,257 (23.5%)</w:t>
            </w:r>
          </w:p>
        </w:tc>
        <w:tc>
          <w:tcPr>
            <w:tcW w:w="1667" w:type="dxa"/>
            <w:tcBorders>
              <w:top w:val="nil"/>
              <w:left w:val="nil"/>
              <w:bottom w:val="nil"/>
              <w:right w:val="nil"/>
            </w:tcBorders>
            <w:shd w:val="clear" w:color="auto" w:fill="auto"/>
            <w:noWrap/>
            <w:hideMark/>
          </w:tcPr>
          <w:p w14:paraId="63036CF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16,257 (16.3%)</w:t>
            </w:r>
          </w:p>
        </w:tc>
        <w:tc>
          <w:tcPr>
            <w:tcW w:w="1668" w:type="dxa"/>
            <w:tcBorders>
              <w:top w:val="nil"/>
              <w:left w:val="nil"/>
              <w:bottom w:val="nil"/>
              <w:right w:val="nil"/>
            </w:tcBorders>
            <w:shd w:val="clear" w:color="auto" w:fill="auto"/>
            <w:noWrap/>
            <w:hideMark/>
          </w:tcPr>
          <w:p w14:paraId="1578360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1,492 (5.7%)</w:t>
            </w:r>
          </w:p>
        </w:tc>
      </w:tr>
      <w:tr w:rsidR="0055060F" w:rsidRPr="0055060F" w14:paraId="0293A608" w14:textId="77777777" w:rsidTr="006F5124">
        <w:trPr>
          <w:trHeight w:val="288"/>
        </w:trPr>
        <w:tc>
          <w:tcPr>
            <w:tcW w:w="851" w:type="dxa"/>
            <w:tcBorders>
              <w:top w:val="nil"/>
              <w:left w:val="nil"/>
              <w:bottom w:val="nil"/>
              <w:right w:val="nil"/>
            </w:tcBorders>
            <w:shd w:val="clear" w:color="auto" w:fill="auto"/>
            <w:noWrap/>
            <w:hideMark/>
          </w:tcPr>
          <w:p w14:paraId="7A7498F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61CD88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7BAA9D1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B5A299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5,226 (13.5%)</w:t>
            </w:r>
          </w:p>
        </w:tc>
        <w:tc>
          <w:tcPr>
            <w:tcW w:w="1668" w:type="dxa"/>
            <w:tcBorders>
              <w:top w:val="nil"/>
              <w:left w:val="nil"/>
              <w:bottom w:val="nil"/>
              <w:right w:val="nil"/>
            </w:tcBorders>
            <w:shd w:val="clear" w:color="auto" w:fill="auto"/>
            <w:noWrap/>
            <w:hideMark/>
          </w:tcPr>
          <w:p w14:paraId="2CFB625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9,856 (14.3%)</w:t>
            </w:r>
          </w:p>
        </w:tc>
        <w:tc>
          <w:tcPr>
            <w:tcW w:w="1667" w:type="dxa"/>
            <w:tcBorders>
              <w:top w:val="nil"/>
              <w:left w:val="nil"/>
              <w:bottom w:val="nil"/>
              <w:right w:val="nil"/>
            </w:tcBorders>
            <w:shd w:val="clear" w:color="auto" w:fill="auto"/>
            <w:noWrap/>
            <w:hideMark/>
          </w:tcPr>
          <w:p w14:paraId="42F8C2E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13,252 (13.3%)</w:t>
            </w:r>
          </w:p>
        </w:tc>
        <w:tc>
          <w:tcPr>
            <w:tcW w:w="1668" w:type="dxa"/>
            <w:tcBorders>
              <w:top w:val="nil"/>
              <w:left w:val="nil"/>
              <w:bottom w:val="nil"/>
              <w:right w:val="nil"/>
            </w:tcBorders>
            <w:shd w:val="clear" w:color="auto" w:fill="auto"/>
            <w:noWrap/>
            <w:hideMark/>
          </w:tcPr>
          <w:p w14:paraId="5C59F8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1,121 (4.3%)</w:t>
            </w:r>
          </w:p>
        </w:tc>
      </w:tr>
      <w:tr w:rsidR="0055060F" w:rsidRPr="0055060F" w14:paraId="3B4F8037" w14:textId="77777777" w:rsidTr="006F5124">
        <w:trPr>
          <w:trHeight w:val="288"/>
        </w:trPr>
        <w:tc>
          <w:tcPr>
            <w:tcW w:w="851" w:type="dxa"/>
            <w:tcBorders>
              <w:top w:val="nil"/>
              <w:left w:val="nil"/>
              <w:bottom w:val="nil"/>
              <w:right w:val="nil"/>
            </w:tcBorders>
            <w:shd w:val="clear" w:color="auto" w:fill="auto"/>
            <w:noWrap/>
            <w:hideMark/>
          </w:tcPr>
          <w:p w14:paraId="75552AC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F5775D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39502CE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53D70FB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3,506 (67.1%)</w:t>
            </w:r>
          </w:p>
        </w:tc>
        <w:tc>
          <w:tcPr>
            <w:tcW w:w="1668" w:type="dxa"/>
            <w:tcBorders>
              <w:top w:val="nil"/>
              <w:left w:val="nil"/>
              <w:bottom w:val="nil"/>
              <w:right w:val="nil"/>
            </w:tcBorders>
            <w:shd w:val="clear" w:color="auto" w:fill="auto"/>
            <w:noWrap/>
            <w:hideMark/>
          </w:tcPr>
          <w:p w14:paraId="7C8337C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6,818 (69.2%)</w:t>
            </w:r>
          </w:p>
        </w:tc>
        <w:tc>
          <w:tcPr>
            <w:tcW w:w="1667" w:type="dxa"/>
            <w:tcBorders>
              <w:top w:val="nil"/>
              <w:left w:val="nil"/>
              <w:bottom w:val="nil"/>
              <w:right w:val="nil"/>
            </w:tcBorders>
            <w:shd w:val="clear" w:color="auto" w:fill="auto"/>
            <w:noWrap/>
            <w:hideMark/>
          </w:tcPr>
          <w:p w14:paraId="5100762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8,933 (67.4%)</w:t>
            </w:r>
          </w:p>
        </w:tc>
        <w:tc>
          <w:tcPr>
            <w:tcW w:w="1668" w:type="dxa"/>
            <w:tcBorders>
              <w:top w:val="nil"/>
              <w:left w:val="nil"/>
              <w:bottom w:val="nil"/>
              <w:right w:val="nil"/>
            </w:tcBorders>
            <w:shd w:val="clear" w:color="auto" w:fill="auto"/>
            <w:noWrap/>
            <w:hideMark/>
          </w:tcPr>
          <w:p w14:paraId="19C1CFD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775 (69.1%)</w:t>
            </w:r>
          </w:p>
        </w:tc>
      </w:tr>
      <w:tr w:rsidR="0055060F" w:rsidRPr="0055060F" w14:paraId="2A3D5AB4" w14:textId="77777777" w:rsidTr="006F5124">
        <w:trPr>
          <w:trHeight w:val="288"/>
        </w:trPr>
        <w:tc>
          <w:tcPr>
            <w:tcW w:w="851" w:type="dxa"/>
            <w:tcBorders>
              <w:top w:val="nil"/>
              <w:left w:val="nil"/>
              <w:bottom w:val="nil"/>
              <w:right w:val="nil"/>
            </w:tcBorders>
            <w:shd w:val="clear" w:color="auto" w:fill="auto"/>
            <w:noWrap/>
            <w:hideMark/>
          </w:tcPr>
          <w:p w14:paraId="73F6834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317886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48D874B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33026B2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1,720 (32.9%)</w:t>
            </w:r>
          </w:p>
        </w:tc>
        <w:tc>
          <w:tcPr>
            <w:tcW w:w="1668" w:type="dxa"/>
            <w:tcBorders>
              <w:top w:val="nil"/>
              <w:left w:val="nil"/>
              <w:bottom w:val="nil"/>
              <w:right w:val="nil"/>
            </w:tcBorders>
            <w:shd w:val="clear" w:color="auto" w:fill="auto"/>
            <w:noWrap/>
            <w:hideMark/>
          </w:tcPr>
          <w:p w14:paraId="7ED53C0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3,038 (30.8%)</w:t>
            </w:r>
          </w:p>
        </w:tc>
        <w:tc>
          <w:tcPr>
            <w:tcW w:w="1667" w:type="dxa"/>
            <w:tcBorders>
              <w:top w:val="nil"/>
              <w:left w:val="nil"/>
              <w:bottom w:val="nil"/>
              <w:right w:val="nil"/>
            </w:tcBorders>
            <w:shd w:val="clear" w:color="auto" w:fill="auto"/>
            <w:noWrap/>
            <w:hideMark/>
          </w:tcPr>
          <w:p w14:paraId="556D1E0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4,319 (32.6%)</w:t>
            </w:r>
          </w:p>
        </w:tc>
        <w:tc>
          <w:tcPr>
            <w:tcW w:w="1668" w:type="dxa"/>
            <w:tcBorders>
              <w:top w:val="nil"/>
              <w:left w:val="nil"/>
              <w:bottom w:val="nil"/>
              <w:right w:val="nil"/>
            </w:tcBorders>
            <w:shd w:val="clear" w:color="auto" w:fill="auto"/>
            <w:noWrap/>
            <w:hideMark/>
          </w:tcPr>
          <w:p w14:paraId="5626D16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346 (30.9%)</w:t>
            </w:r>
          </w:p>
        </w:tc>
      </w:tr>
      <w:tr w:rsidR="0055060F" w:rsidRPr="0055060F" w14:paraId="7A23C428" w14:textId="77777777" w:rsidTr="006F5124">
        <w:trPr>
          <w:trHeight w:val="288"/>
        </w:trPr>
        <w:tc>
          <w:tcPr>
            <w:tcW w:w="851" w:type="dxa"/>
            <w:tcBorders>
              <w:top w:val="nil"/>
              <w:left w:val="nil"/>
              <w:bottom w:val="nil"/>
              <w:right w:val="nil"/>
            </w:tcBorders>
            <w:shd w:val="clear" w:color="auto" w:fill="auto"/>
            <w:noWrap/>
            <w:hideMark/>
          </w:tcPr>
          <w:p w14:paraId="0ECD7AE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2022-23</w:t>
            </w:r>
          </w:p>
        </w:tc>
        <w:tc>
          <w:tcPr>
            <w:tcW w:w="4689" w:type="dxa"/>
            <w:tcBorders>
              <w:top w:val="nil"/>
              <w:left w:val="nil"/>
              <w:bottom w:val="nil"/>
              <w:right w:val="nil"/>
            </w:tcBorders>
            <w:shd w:val="clear" w:color="auto" w:fill="auto"/>
            <w:noWrap/>
            <w:hideMark/>
          </w:tcPr>
          <w:p w14:paraId="7BF04BF3"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w:t>
            </w:r>
          </w:p>
        </w:tc>
        <w:tc>
          <w:tcPr>
            <w:tcW w:w="1667" w:type="dxa"/>
            <w:tcBorders>
              <w:top w:val="nil"/>
              <w:left w:val="nil"/>
              <w:bottom w:val="nil"/>
              <w:right w:val="nil"/>
            </w:tcBorders>
            <w:shd w:val="clear" w:color="auto" w:fill="auto"/>
            <w:noWrap/>
            <w:hideMark/>
          </w:tcPr>
          <w:p w14:paraId="4C9EA24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24,498</w:t>
            </w:r>
          </w:p>
        </w:tc>
        <w:tc>
          <w:tcPr>
            <w:tcW w:w="1667" w:type="dxa"/>
            <w:tcBorders>
              <w:top w:val="nil"/>
              <w:left w:val="nil"/>
              <w:bottom w:val="nil"/>
              <w:right w:val="nil"/>
            </w:tcBorders>
            <w:shd w:val="clear" w:color="auto" w:fill="auto"/>
            <w:noWrap/>
            <w:hideMark/>
          </w:tcPr>
          <w:p w14:paraId="7CC4B1D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32,608</w:t>
            </w:r>
          </w:p>
        </w:tc>
        <w:tc>
          <w:tcPr>
            <w:tcW w:w="1668" w:type="dxa"/>
            <w:tcBorders>
              <w:top w:val="nil"/>
              <w:left w:val="nil"/>
              <w:bottom w:val="nil"/>
              <w:right w:val="nil"/>
            </w:tcBorders>
            <w:shd w:val="clear" w:color="auto" w:fill="auto"/>
            <w:noWrap/>
            <w:hideMark/>
          </w:tcPr>
          <w:p w14:paraId="20E797D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60,258</w:t>
            </w:r>
          </w:p>
        </w:tc>
        <w:tc>
          <w:tcPr>
            <w:tcW w:w="1667" w:type="dxa"/>
            <w:tcBorders>
              <w:top w:val="nil"/>
              <w:left w:val="nil"/>
              <w:bottom w:val="nil"/>
              <w:right w:val="nil"/>
            </w:tcBorders>
            <w:shd w:val="clear" w:color="auto" w:fill="auto"/>
            <w:noWrap/>
            <w:hideMark/>
          </w:tcPr>
          <w:p w14:paraId="6FB7F99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84,382</w:t>
            </w:r>
          </w:p>
        </w:tc>
        <w:tc>
          <w:tcPr>
            <w:tcW w:w="1668" w:type="dxa"/>
            <w:tcBorders>
              <w:top w:val="nil"/>
              <w:left w:val="nil"/>
              <w:bottom w:val="nil"/>
              <w:right w:val="nil"/>
            </w:tcBorders>
            <w:shd w:val="clear" w:color="auto" w:fill="auto"/>
            <w:noWrap/>
            <w:hideMark/>
          </w:tcPr>
          <w:p w14:paraId="7FEE75A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21,434</w:t>
            </w:r>
          </w:p>
        </w:tc>
      </w:tr>
      <w:tr w:rsidR="0055060F" w:rsidRPr="0055060F" w14:paraId="04C77507" w14:textId="77777777" w:rsidTr="006F5124">
        <w:trPr>
          <w:trHeight w:val="288"/>
        </w:trPr>
        <w:tc>
          <w:tcPr>
            <w:tcW w:w="851" w:type="dxa"/>
            <w:tcBorders>
              <w:top w:val="nil"/>
              <w:left w:val="nil"/>
              <w:bottom w:val="nil"/>
              <w:right w:val="nil"/>
            </w:tcBorders>
            <w:shd w:val="clear" w:color="auto" w:fill="auto"/>
            <w:noWrap/>
            <w:hideMark/>
          </w:tcPr>
          <w:p w14:paraId="4929198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8C6537F"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Rate per 10,000 population, age and sex standardised</w:t>
            </w:r>
          </w:p>
        </w:tc>
        <w:tc>
          <w:tcPr>
            <w:tcW w:w="1667" w:type="dxa"/>
            <w:tcBorders>
              <w:top w:val="nil"/>
              <w:left w:val="nil"/>
              <w:bottom w:val="nil"/>
              <w:right w:val="nil"/>
            </w:tcBorders>
            <w:shd w:val="clear" w:color="auto" w:fill="auto"/>
            <w:noWrap/>
            <w:hideMark/>
          </w:tcPr>
          <w:p w14:paraId="7B7E13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w:t>
            </w:r>
          </w:p>
        </w:tc>
        <w:tc>
          <w:tcPr>
            <w:tcW w:w="1667" w:type="dxa"/>
            <w:tcBorders>
              <w:top w:val="nil"/>
              <w:left w:val="nil"/>
              <w:bottom w:val="nil"/>
              <w:right w:val="nil"/>
            </w:tcBorders>
            <w:shd w:val="clear" w:color="auto" w:fill="auto"/>
            <w:noWrap/>
            <w:hideMark/>
          </w:tcPr>
          <w:p w14:paraId="2EAF3F0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w:t>
            </w:r>
          </w:p>
        </w:tc>
        <w:tc>
          <w:tcPr>
            <w:tcW w:w="1668" w:type="dxa"/>
            <w:tcBorders>
              <w:top w:val="nil"/>
              <w:left w:val="nil"/>
              <w:bottom w:val="nil"/>
              <w:right w:val="nil"/>
            </w:tcBorders>
            <w:shd w:val="clear" w:color="auto" w:fill="auto"/>
            <w:noWrap/>
            <w:hideMark/>
          </w:tcPr>
          <w:p w14:paraId="1412027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19</w:t>
            </w:r>
          </w:p>
        </w:tc>
        <w:tc>
          <w:tcPr>
            <w:tcW w:w="1667" w:type="dxa"/>
            <w:tcBorders>
              <w:top w:val="nil"/>
              <w:left w:val="nil"/>
              <w:bottom w:val="nil"/>
              <w:right w:val="nil"/>
            </w:tcBorders>
            <w:shd w:val="clear" w:color="auto" w:fill="auto"/>
            <w:noWrap/>
            <w:hideMark/>
          </w:tcPr>
          <w:p w14:paraId="11F5E3B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w:t>
            </w:r>
          </w:p>
        </w:tc>
        <w:tc>
          <w:tcPr>
            <w:tcW w:w="1668" w:type="dxa"/>
            <w:tcBorders>
              <w:top w:val="nil"/>
              <w:left w:val="nil"/>
              <w:bottom w:val="nil"/>
              <w:right w:val="nil"/>
            </w:tcBorders>
            <w:shd w:val="clear" w:color="auto" w:fill="auto"/>
            <w:noWrap/>
            <w:hideMark/>
          </w:tcPr>
          <w:p w14:paraId="212E358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w:t>
            </w:r>
          </w:p>
        </w:tc>
      </w:tr>
      <w:tr w:rsidR="0055060F" w:rsidRPr="0055060F" w14:paraId="190FA047" w14:textId="77777777" w:rsidTr="006F5124">
        <w:trPr>
          <w:trHeight w:val="288"/>
        </w:trPr>
        <w:tc>
          <w:tcPr>
            <w:tcW w:w="851" w:type="dxa"/>
            <w:tcBorders>
              <w:top w:val="nil"/>
              <w:left w:val="nil"/>
              <w:bottom w:val="nil"/>
              <w:right w:val="nil"/>
            </w:tcBorders>
            <w:shd w:val="clear" w:color="auto" w:fill="auto"/>
            <w:noWrap/>
            <w:hideMark/>
          </w:tcPr>
          <w:p w14:paraId="72E134E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4B68370"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length of stay (days)</w:t>
            </w:r>
          </w:p>
        </w:tc>
        <w:tc>
          <w:tcPr>
            <w:tcW w:w="1667" w:type="dxa"/>
            <w:tcBorders>
              <w:top w:val="nil"/>
              <w:left w:val="nil"/>
              <w:bottom w:val="nil"/>
              <w:right w:val="nil"/>
            </w:tcBorders>
            <w:shd w:val="clear" w:color="auto" w:fill="auto"/>
            <w:noWrap/>
            <w:hideMark/>
          </w:tcPr>
          <w:p w14:paraId="28DD488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7 (15.0)</w:t>
            </w:r>
          </w:p>
        </w:tc>
        <w:tc>
          <w:tcPr>
            <w:tcW w:w="1667" w:type="dxa"/>
            <w:tcBorders>
              <w:top w:val="nil"/>
              <w:left w:val="nil"/>
              <w:bottom w:val="nil"/>
              <w:right w:val="nil"/>
            </w:tcBorders>
            <w:shd w:val="clear" w:color="auto" w:fill="auto"/>
            <w:noWrap/>
            <w:hideMark/>
          </w:tcPr>
          <w:p w14:paraId="4C33A7D9" w14:textId="329B1FFD"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w:t>
            </w:r>
            <w:r w:rsidR="00961093" w:rsidRPr="0055060F">
              <w:rPr>
                <w:rFonts w:ascii="Calibri" w:eastAsia="Times New Roman" w:hAnsi="Calibri" w:cs="Calibri"/>
                <w:color w:val="auto"/>
                <w:sz w:val="20"/>
                <w:szCs w:val="20"/>
                <w:lang w:eastAsia="en-AU"/>
              </w:rPr>
              <w:t>(11.5</w:t>
            </w:r>
            <w:r w:rsidRPr="0055060F">
              <w:rPr>
                <w:rFonts w:ascii="Calibri" w:eastAsia="Times New Roman" w:hAnsi="Calibri" w:cs="Calibri"/>
                <w:color w:val="auto"/>
                <w:sz w:val="20"/>
                <w:szCs w:val="20"/>
                <w:lang w:eastAsia="en-AU"/>
              </w:rPr>
              <w:t>)</w:t>
            </w:r>
          </w:p>
        </w:tc>
        <w:tc>
          <w:tcPr>
            <w:tcW w:w="1668" w:type="dxa"/>
            <w:tcBorders>
              <w:top w:val="nil"/>
              <w:left w:val="nil"/>
              <w:bottom w:val="nil"/>
              <w:right w:val="nil"/>
            </w:tcBorders>
            <w:shd w:val="clear" w:color="auto" w:fill="auto"/>
            <w:noWrap/>
            <w:hideMark/>
          </w:tcPr>
          <w:p w14:paraId="74BB1D00"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15 (25.3)</w:t>
            </w:r>
          </w:p>
        </w:tc>
        <w:tc>
          <w:tcPr>
            <w:tcW w:w="1667" w:type="dxa"/>
            <w:tcBorders>
              <w:top w:val="nil"/>
              <w:left w:val="nil"/>
              <w:bottom w:val="nil"/>
              <w:right w:val="nil"/>
            </w:tcBorders>
            <w:shd w:val="clear" w:color="auto" w:fill="auto"/>
            <w:noWrap/>
            <w:hideMark/>
          </w:tcPr>
          <w:p w14:paraId="49547BC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13 (22.2)</w:t>
            </w:r>
          </w:p>
        </w:tc>
        <w:tc>
          <w:tcPr>
            <w:tcW w:w="1668" w:type="dxa"/>
            <w:tcBorders>
              <w:top w:val="nil"/>
              <w:left w:val="nil"/>
              <w:bottom w:val="nil"/>
              <w:right w:val="nil"/>
            </w:tcBorders>
            <w:shd w:val="clear" w:color="auto" w:fill="auto"/>
            <w:noWrap/>
            <w:hideMark/>
          </w:tcPr>
          <w:p w14:paraId="491DD8B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8 (12.0)</w:t>
            </w:r>
          </w:p>
        </w:tc>
      </w:tr>
      <w:tr w:rsidR="0055060F" w:rsidRPr="0055060F" w14:paraId="6F25886F" w14:textId="77777777" w:rsidTr="006F5124">
        <w:trPr>
          <w:trHeight w:val="288"/>
        </w:trPr>
        <w:tc>
          <w:tcPr>
            <w:tcW w:w="851" w:type="dxa"/>
            <w:tcBorders>
              <w:top w:val="nil"/>
              <w:left w:val="nil"/>
              <w:bottom w:val="nil"/>
              <w:right w:val="nil"/>
            </w:tcBorders>
            <w:shd w:val="clear" w:color="auto" w:fill="auto"/>
            <w:noWrap/>
            <w:hideMark/>
          </w:tcPr>
          <w:p w14:paraId="0784755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7F95A719"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Admission to ICU, n(%)</w:t>
            </w:r>
          </w:p>
        </w:tc>
        <w:tc>
          <w:tcPr>
            <w:tcW w:w="1667" w:type="dxa"/>
            <w:tcBorders>
              <w:top w:val="nil"/>
              <w:left w:val="nil"/>
              <w:bottom w:val="nil"/>
              <w:right w:val="nil"/>
            </w:tcBorders>
            <w:shd w:val="clear" w:color="auto" w:fill="auto"/>
            <w:noWrap/>
            <w:hideMark/>
          </w:tcPr>
          <w:p w14:paraId="2B3861E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2,314 (9.4%)</w:t>
            </w:r>
          </w:p>
        </w:tc>
        <w:tc>
          <w:tcPr>
            <w:tcW w:w="1667" w:type="dxa"/>
            <w:tcBorders>
              <w:top w:val="nil"/>
              <w:left w:val="nil"/>
              <w:bottom w:val="nil"/>
              <w:right w:val="nil"/>
            </w:tcBorders>
            <w:shd w:val="clear" w:color="auto" w:fill="auto"/>
            <w:noWrap/>
            <w:hideMark/>
          </w:tcPr>
          <w:p w14:paraId="2D1052C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7,096 (21.8%)</w:t>
            </w:r>
          </w:p>
        </w:tc>
        <w:tc>
          <w:tcPr>
            <w:tcW w:w="1668" w:type="dxa"/>
            <w:tcBorders>
              <w:top w:val="nil"/>
              <w:left w:val="nil"/>
              <w:bottom w:val="nil"/>
              <w:right w:val="nil"/>
            </w:tcBorders>
            <w:shd w:val="clear" w:color="auto" w:fill="auto"/>
            <w:noWrap/>
            <w:hideMark/>
          </w:tcPr>
          <w:p w14:paraId="6643714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21,223 (35.2%)</w:t>
            </w:r>
          </w:p>
        </w:tc>
        <w:tc>
          <w:tcPr>
            <w:tcW w:w="1667" w:type="dxa"/>
            <w:tcBorders>
              <w:top w:val="nil"/>
              <w:left w:val="nil"/>
              <w:bottom w:val="nil"/>
              <w:right w:val="nil"/>
            </w:tcBorders>
            <w:shd w:val="clear" w:color="auto" w:fill="auto"/>
            <w:noWrap/>
            <w:hideMark/>
          </w:tcPr>
          <w:p w14:paraId="445EAA3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23,422 (27.8%)</w:t>
            </w:r>
          </w:p>
        </w:tc>
        <w:tc>
          <w:tcPr>
            <w:tcW w:w="1668" w:type="dxa"/>
            <w:tcBorders>
              <w:top w:val="nil"/>
              <w:left w:val="nil"/>
              <w:bottom w:val="nil"/>
              <w:right w:val="nil"/>
            </w:tcBorders>
            <w:shd w:val="clear" w:color="auto" w:fill="auto"/>
            <w:noWrap/>
            <w:hideMark/>
          </w:tcPr>
          <w:p w14:paraId="7EB48A2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2,572 (12.0%)</w:t>
            </w:r>
          </w:p>
        </w:tc>
      </w:tr>
      <w:tr w:rsidR="0055060F" w:rsidRPr="0055060F" w14:paraId="49C09FCD" w14:textId="77777777" w:rsidTr="006F5124">
        <w:trPr>
          <w:trHeight w:val="288"/>
        </w:trPr>
        <w:tc>
          <w:tcPr>
            <w:tcW w:w="851" w:type="dxa"/>
            <w:tcBorders>
              <w:top w:val="nil"/>
              <w:left w:val="nil"/>
              <w:bottom w:val="nil"/>
              <w:right w:val="nil"/>
            </w:tcBorders>
            <w:shd w:val="clear" w:color="auto" w:fill="auto"/>
            <w:noWrap/>
            <w:hideMark/>
          </w:tcPr>
          <w:p w14:paraId="0DEFEB0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819651B"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Average ICU length of stay (hrs)</w:t>
            </w:r>
          </w:p>
        </w:tc>
        <w:tc>
          <w:tcPr>
            <w:tcW w:w="1667" w:type="dxa"/>
            <w:tcBorders>
              <w:top w:val="nil"/>
              <w:left w:val="nil"/>
              <w:bottom w:val="nil"/>
              <w:right w:val="nil"/>
            </w:tcBorders>
            <w:shd w:val="clear" w:color="auto" w:fill="auto"/>
            <w:noWrap/>
            <w:hideMark/>
          </w:tcPr>
          <w:p w14:paraId="1148A1A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103 (157.4)</w:t>
            </w:r>
          </w:p>
        </w:tc>
        <w:tc>
          <w:tcPr>
            <w:tcW w:w="1667" w:type="dxa"/>
            <w:tcBorders>
              <w:top w:val="nil"/>
              <w:left w:val="nil"/>
              <w:bottom w:val="nil"/>
              <w:right w:val="nil"/>
            </w:tcBorders>
            <w:shd w:val="clear" w:color="auto" w:fill="auto"/>
            <w:noWrap/>
            <w:hideMark/>
          </w:tcPr>
          <w:p w14:paraId="2A6EBCF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104 (125.2)</w:t>
            </w:r>
          </w:p>
        </w:tc>
        <w:tc>
          <w:tcPr>
            <w:tcW w:w="1668" w:type="dxa"/>
            <w:tcBorders>
              <w:top w:val="nil"/>
              <w:left w:val="nil"/>
              <w:bottom w:val="nil"/>
              <w:right w:val="nil"/>
            </w:tcBorders>
            <w:shd w:val="clear" w:color="auto" w:fill="auto"/>
            <w:noWrap/>
            <w:hideMark/>
          </w:tcPr>
          <w:p w14:paraId="7554312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176 (306.4)</w:t>
            </w:r>
          </w:p>
        </w:tc>
        <w:tc>
          <w:tcPr>
            <w:tcW w:w="1667" w:type="dxa"/>
            <w:tcBorders>
              <w:top w:val="nil"/>
              <w:left w:val="nil"/>
              <w:bottom w:val="nil"/>
              <w:right w:val="nil"/>
            </w:tcBorders>
            <w:shd w:val="clear" w:color="auto" w:fill="auto"/>
            <w:noWrap/>
            <w:hideMark/>
          </w:tcPr>
          <w:p w14:paraId="39EDEAA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168 (294.5)</w:t>
            </w:r>
          </w:p>
        </w:tc>
        <w:tc>
          <w:tcPr>
            <w:tcW w:w="1668" w:type="dxa"/>
            <w:tcBorders>
              <w:top w:val="nil"/>
              <w:left w:val="nil"/>
              <w:bottom w:val="nil"/>
              <w:right w:val="nil"/>
            </w:tcBorders>
            <w:shd w:val="clear" w:color="auto" w:fill="auto"/>
            <w:noWrap/>
            <w:hideMark/>
          </w:tcPr>
          <w:p w14:paraId="774FC18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 xml:space="preserve">         129 (168.6)</w:t>
            </w:r>
          </w:p>
        </w:tc>
      </w:tr>
      <w:tr w:rsidR="0055060F" w:rsidRPr="0055060F" w14:paraId="72D78CB4" w14:textId="77777777" w:rsidTr="006F5124">
        <w:trPr>
          <w:trHeight w:val="288"/>
        </w:trPr>
        <w:tc>
          <w:tcPr>
            <w:tcW w:w="851" w:type="dxa"/>
            <w:tcBorders>
              <w:top w:val="nil"/>
              <w:left w:val="nil"/>
              <w:bottom w:val="nil"/>
              <w:right w:val="nil"/>
            </w:tcBorders>
            <w:shd w:val="clear" w:color="auto" w:fill="auto"/>
            <w:noWrap/>
            <w:hideMark/>
          </w:tcPr>
          <w:p w14:paraId="7DBF5F3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31B41EAA"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Estimated cost per separation/readmission</w:t>
            </w:r>
          </w:p>
        </w:tc>
        <w:tc>
          <w:tcPr>
            <w:tcW w:w="1667" w:type="dxa"/>
            <w:tcBorders>
              <w:top w:val="nil"/>
              <w:left w:val="nil"/>
              <w:bottom w:val="nil"/>
              <w:right w:val="nil"/>
            </w:tcBorders>
            <w:shd w:val="clear" w:color="auto" w:fill="auto"/>
            <w:noWrap/>
            <w:hideMark/>
          </w:tcPr>
          <w:p w14:paraId="6609326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$14,038</w:t>
            </w:r>
          </w:p>
        </w:tc>
        <w:tc>
          <w:tcPr>
            <w:tcW w:w="1667" w:type="dxa"/>
            <w:tcBorders>
              <w:top w:val="nil"/>
              <w:left w:val="nil"/>
              <w:bottom w:val="nil"/>
              <w:right w:val="nil"/>
            </w:tcBorders>
            <w:shd w:val="clear" w:color="auto" w:fill="auto"/>
            <w:noWrap/>
            <w:hideMark/>
          </w:tcPr>
          <w:p w14:paraId="09DF80A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$19,722</w:t>
            </w:r>
          </w:p>
        </w:tc>
        <w:tc>
          <w:tcPr>
            <w:tcW w:w="1668" w:type="dxa"/>
            <w:tcBorders>
              <w:top w:val="nil"/>
              <w:left w:val="nil"/>
              <w:bottom w:val="nil"/>
              <w:right w:val="nil"/>
            </w:tcBorders>
            <w:shd w:val="clear" w:color="auto" w:fill="auto"/>
            <w:noWrap/>
            <w:hideMark/>
          </w:tcPr>
          <w:p w14:paraId="5E58057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$38,220</w:t>
            </w:r>
          </w:p>
        </w:tc>
        <w:tc>
          <w:tcPr>
            <w:tcW w:w="1667" w:type="dxa"/>
            <w:tcBorders>
              <w:top w:val="nil"/>
              <w:left w:val="nil"/>
              <w:bottom w:val="nil"/>
              <w:right w:val="nil"/>
            </w:tcBorders>
            <w:shd w:val="clear" w:color="auto" w:fill="auto"/>
            <w:noWrap/>
            <w:hideMark/>
          </w:tcPr>
          <w:p w14:paraId="71D7D01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$31,440</w:t>
            </w:r>
          </w:p>
        </w:tc>
        <w:tc>
          <w:tcPr>
            <w:tcW w:w="1668" w:type="dxa"/>
            <w:tcBorders>
              <w:top w:val="nil"/>
              <w:left w:val="nil"/>
              <w:bottom w:val="nil"/>
              <w:right w:val="nil"/>
            </w:tcBorders>
            <w:shd w:val="clear" w:color="auto" w:fill="auto"/>
            <w:noWrap/>
            <w:hideMark/>
          </w:tcPr>
          <w:p w14:paraId="7F58202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$17,954</w:t>
            </w:r>
          </w:p>
        </w:tc>
      </w:tr>
      <w:tr w:rsidR="0055060F" w:rsidRPr="0055060F" w14:paraId="36F693A4" w14:textId="77777777" w:rsidTr="006F5124">
        <w:trPr>
          <w:trHeight w:val="288"/>
        </w:trPr>
        <w:tc>
          <w:tcPr>
            <w:tcW w:w="851" w:type="dxa"/>
            <w:tcBorders>
              <w:top w:val="nil"/>
              <w:left w:val="nil"/>
              <w:bottom w:val="nil"/>
              <w:right w:val="nil"/>
            </w:tcBorders>
            <w:shd w:val="clear" w:color="auto" w:fill="auto"/>
            <w:noWrap/>
            <w:hideMark/>
          </w:tcPr>
          <w:p w14:paraId="523DC94E"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7608F2D"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Top 3 sepsis codes, n(%)</w:t>
            </w:r>
          </w:p>
        </w:tc>
        <w:tc>
          <w:tcPr>
            <w:tcW w:w="1667" w:type="dxa"/>
            <w:tcBorders>
              <w:top w:val="nil"/>
              <w:left w:val="nil"/>
              <w:bottom w:val="nil"/>
              <w:right w:val="nil"/>
            </w:tcBorders>
            <w:shd w:val="clear" w:color="auto" w:fill="auto"/>
            <w:noWrap/>
            <w:hideMark/>
          </w:tcPr>
          <w:p w14:paraId="3E618305"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nil"/>
              <w:right w:val="nil"/>
            </w:tcBorders>
            <w:shd w:val="clear" w:color="auto" w:fill="auto"/>
            <w:noWrap/>
            <w:hideMark/>
          </w:tcPr>
          <w:p w14:paraId="3DEC3035"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29022F7B"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7" w:type="dxa"/>
            <w:tcBorders>
              <w:top w:val="nil"/>
              <w:left w:val="nil"/>
              <w:bottom w:val="nil"/>
              <w:right w:val="nil"/>
            </w:tcBorders>
            <w:shd w:val="clear" w:color="auto" w:fill="auto"/>
            <w:noWrap/>
            <w:hideMark/>
          </w:tcPr>
          <w:p w14:paraId="53E44D6F"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1668" w:type="dxa"/>
            <w:tcBorders>
              <w:top w:val="nil"/>
              <w:left w:val="nil"/>
              <w:bottom w:val="nil"/>
              <w:right w:val="nil"/>
            </w:tcBorders>
            <w:shd w:val="clear" w:color="auto" w:fill="auto"/>
            <w:noWrap/>
            <w:hideMark/>
          </w:tcPr>
          <w:p w14:paraId="787B8DA9"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r>
      <w:tr w:rsidR="0055060F" w:rsidRPr="0055060F" w14:paraId="2B175691" w14:textId="77777777" w:rsidTr="006F5124">
        <w:trPr>
          <w:trHeight w:val="288"/>
        </w:trPr>
        <w:tc>
          <w:tcPr>
            <w:tcW w:w="851" w:type="dxa"/>
            <w:tcBorders>
              <w:top w:val="nil"/>
              <w:left w:val="nil"/>
              <w:bottom w:val="nil"/>
              <w:right w:val="nil"/>
            </w:tcBorders>
            <w:shd w:val="clear" w:color="auto" w:fill="auto"/>
            <w:noWrap/>
            <w:hideMark/>
          </w:tcPr>
          <w:p w14:paraId="2C8ACF2C" w14:textId="77777777" w:rsidR="0055060F" w:rsidRPr="0055060F" w:rsidRDefault="0055060F" w:rsidP="0055060F">
            <w:pPr>
              <w:spacing w:after="0" w:line="240" w:lineRule="auto"/>
              <w:jc w:val="right"/>
              <w:rPr>
                <w:rFonts w:ascii="Times New Roman" w:eastAsia="Times New Roman" w:hAnsi="Times New Roman"/>
                <w:color w:val="auto"/>
                <w:sz w:val="20"/>
                <w:szCs w:val="20"/>
                <w:lang w:eastAsia="en-AU"/>
              </w:rPr>
            </w:pPr>
          </w:p>
        </w:tc>
        <w:tc>
          <w:tcPr>
            <w:tcW w:w="4689" w:type="dxa"/>
            <w:tcBorders>
              <w:top w:val="nil"/>
              <w:left w:val="nil"/>
              <w:bottom w:val="nil"/>
              <w:right w:val="nil"/>
            </w:tcBorders>
            <w:shd w:val="clear" w:color="auto" w:fill="auto"/>
            <w:noWrap/>
            <w:hideMark/>
          </w:tcPr>
          <w:p w14:paraId="643AA79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due to Escherichia coli [E. Coli] (A4151)</w:t>
            </w:r>
          </w:p>
        </w:tc>
        <w:tc>
          <w:tcPr>
            <w:tcW w:w="1667" w:type="dxa"/>
            <w:tcBorders>
              <w:top w:val="nil"/>
              <w:left w:val="nil"/>
              <w:bottom w:val="nil"/>
              <w:right w:val="nil"/>
            </w:tcBorders>
            <w:shd w:val="clear" w:color="auto" w:fill="auto"/>
            <w:noWrap/>
            <w:hideMark/>
          </w:tcPr>
          <w:p w14:paraId="393C5F8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463 (1.9%)</w:t>
            </w:r>
          </w:p>
        </w:tc>
        <w:tc>
          <w:tcPr>
            <w:tcW w:w="1667" w:type="dxa"/>
            <w:tcBorders>
              <w:top w:val="nil"/>
              <w:left w:val="nil"/>
              <w:bottom w:val="nil"/>
              <w:right w:val="nil"/>
            </w:tcBorders>
            <w:shd w:val="clear" w:color="auto" w:fill="auto"/>
            <w:noWrap/>
            <w:hideMark/>
          </w:tcPr>
          <w:p w14:paraId="5C2A0B7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3,928 (12.0%)</w:t>
            </w:r>
          </w:p>
        </w:tc>
        <w:tc>
          <w:tcPr>
            <w:tcW w:w="1668" w:type="dxa"/>
            <w:tcBorders>
              <w:top w:val="nil"/>
              <w:left w:val="nil"/>
              <w:bottom w:val="nil"/>
              <w:right w:val="nil"/>
            </w:tcBorders>
            <w:shd w:val="clear" w:color="auto" w:fill="auto"/>
            <w:noWrap/>
            <w:hideMark/>
          </w:tcPr>
          <w:p w14:paraId="5407E33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5,610 (9.3%)</w:t>
            </w:r>
          </w:p>
        </w:tc>
        <w:tc>
          <w:tcPr>
            <w:tcW w:w="1667" w:type="dxa"/>
            <w:tcBorders>
              <w:top w:val="nil"/>
              <w:left w:val="nil"/>
              <w:bottom w:val="nil"/>
              <w:right w:val="nil"/>
            </w:tcBorders>
            <w:shd w:val="clear" w:color="auto" w:fill="auto"/>
            <w:noWrap/>
            <w:hideMark/>
          </w:tcPr>
          <w:p w14:paraId="4DA4E49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8,314 (9.9%)</w:t>
            </w:r>
          </w:p>
        </w:tc>
        <w:tc>
          <w:tcPr>
            <w:tcW w:w="1668" w:type="dxa"/>
            <w:tcBorders>
              <w:top w:val="nil"/>
              <w:left w:val="nil"/>
              <w:bottom w:val="nil"/>
              <w:right w:val="nil"/>
            </w:tcBorders>
            <w:shd w:val="clear" w:color="auto" w:fill="auto"/>
            <w:noWrap/>
            <w:hideMark/>
          </w:tcPr>
          <w:p w14:paraId="49E32BE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518 (2.4%)</w:t>
            </w:r>
          </w:p>
        </w:tc>
      </w:tr>
      <w:tr w:rsidR="0055060F" w:rsidRPr="0055060F" w14:paraId="1652B6E5" w14:textId="77777777" w:rsidTr="006F5124">
        <w:trPr>
          <w:trHeight w:val="288"/>
        </w:trPr>
        <w:tc>
          <w:tcPr>
            <w:tcW w:w="851" w:type="dxa"/>
            <w:tcBorders>
              <w:top w:val="nil"/>
              <w:left w:val="nil"/>
              <w:bottom w:val="nil"/>
              <w:right w:val="nil"/>
            </w:tcBorders>
            <w:shd w:val="clear" w:color="auto" w:fill="auto"/>
            <w:noWrap/>
            <w:hideMark/>
          </w:tcPr>
          <w:p w14:paraId="3960CDD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1C6ABA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Sepsis, unspecified (A419)</w:t>
            </w:r>
          </w:p>
        </w:tc>
        <w:tc>
          <w:tcPr>
            <w:tcW w:w="1667" w:type="dxa"/>
            <w:tcBorders>
              <w:top w:val="nil"/>
              <w:left w:val="nil"/>
              <w:bottom w:val="nil"/>
              <w:right w:val="nil"/>
            </w:tcBorders>
            <w:shd w:val="clear" w:color="auto" w:fill="auto"/>
            <w:noWrap/>
            <w:hideMark/>
          </w:tcPr>
          <w:p w14:paraId="4DB3A54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2,899 (11.8%)</w:t>
            </w:r>
          </w:p>
        </w:tc>
        <w:tc>
          <w:tcPr>
            <w:tcW w:w="1667" w:type="dxa"/>
            <w:tcBorders>
              <w:top w:val="nil"/>
              <w:left w:val="nil"/>
              <w:bottom w:val="nil"/>
              <w:right w:val="nil"/>
            </w:tcBorders>
            <w:shd w:val="clear" w:color="auto" w:fill="auto"/>
            <w:noWrap/>
            <w:hideMark/>
          </w:tcPr>
          <w:p w14:paraId="7FD90B9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17,621 (54.0%)</w:t>
            </w:r>
          </w:p>
        </w:tc>
        <w:tc>
          <w:tcPr>
            <w:tcW w:w="1668" w:type="dxa"/>
            <w:tcBorders>
              <w:top w:val="nil"/>
              <w:left w:val="nil"/>
              <w:bottom w:val="nil"/>
              <w:right w:val="nil"/>
            </w:tcBorders>
            <w:shd w:val="clear" w:color="auto" w:fill="auto"/>
            <w:noWrap/>
            <w:hideMark/>
          </w:tcPr>
          <w:p w14:paraId="449F1F9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38,057 (63.2%)</w:t>
            </w:r>
          </w:p>
        </w:tc>
        <w:tc>
          <w:tcPr>
            <w:tcW w:w="1667" w:type="dxa"/>
            <w:tcBorders>
              <w:top w:val="nil"/>
              <w:left w:val="nil"/>
              <w:bottom w:val="nil"/>
              <w:right w:val="nil"/>
            </w:tcBorders>
            <w:shd w:val="clear" w:color="auto" w:fill="auto"/>
            <w:noWrap/>
            <w:hideMark/>
          </w:tcPr>
          <w:p w14:paraId="278B951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51,260 (60.7%)</w:t>
            </w:r>
          </w:p>
        </w:tc>
        <w:tc>
          <w:tcPr>
            <w:tcW w:w="1668" w:type="dxa"/>
            <w:tcBorders>
              <w:top w:val="nil"/>
              <w:left w:val="nil"/>
              <w:bottom w:val="nil"/>
              <w:right w:val="nil"/>
            </w:tcBorders>
            <w:shd w:val="clear" w:color="auto" w:fill="auto"/>
            <w:noWrap/>
            <w:hideMark/>
          </w:tcPr>
          <w:p w14:paraId="30E32D6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2,701 (12.6%)</w:t>
            </w:r>
          </w:p>
        </w:tc>
      </w:tr>
      <w:tr w:rsidR="0055060F" w:rsidRPr="0055060F" w14:paraId="6363E06C" w14:textId="77777777" w:rsidTr="006F5124">
        <w:trPr>
          <w:trHeight w:val="288"/>
        </w:trPr>
        <w:tc>
          <w:tcPr>
            <w:tcW w:w="851" w:type="dxa"/>
            <w:tcBorders>
              <w:top w:val="nil"/>
              <w:left w:val="nil"/>
              <w:bottom w:val="nil"/>
              <w:right w:val="nil"/>
            </w:tcBorders>
            <w:shd w:val="clear" w:color="auto" w:fill="auto"/>
            <w:noWrap/>
            <w:hideMark/>
          </w:tcPr>
          <w:p w14:paraId="7E3F322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5974D10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Septic shock (R572)</w:t>
            </w:r>
          </w:p>
        </w:tc>
        <w:tc>
          <w:tcPr>
            <w:tcW w:w="1667" w:type="dxa"/>
            <w:tcBorders>
              <w:top w:val="nil"/>
              <w:left w:val="nil"/>
              <w:bottom w:val="nil"/>
              <w:right w:val="nil"/>
            </w:tcBorders>
            <w:shd w:val="clear" w:color="auto" w:fill="auto"/>
            <w:noWrap/>
            <w:hideMark/>
          </w:tcPr>
          <w:p w14:paraId="7183A39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1,392 (5.7%)</w:t>
            </w:r>
          </w:p>
        </w:tc>
        <w:tc>
          <w:tcPr>
            <w:tcW w:w="1667" w:type="dxa"/>
            <w:tcBorders>
              <w:top w:val="nil"/>
              <w:left w:val="nil"/>
              <w:bottom w:val="nil"/>
              <w:right w:val="nil"/>
            </w:tcBorders>
            <w:shd w:val="clear" w:color="auto" w:fill="auto"/>
            <w:noWrap/>
            <w:hideMark/>
          </w:tcPr>
          <w:p w14:paraId="62273AC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7,696 (23.6%)</w:t>
            </w:r>
          </w:p>
        </w:tc>
        <w:tc>
          <w:tcPr>
            <w:tcW w:w="1668" w:type="dxa"/>
            <w:tcBorders>
              <w:top w:val="nil"/>
              <w:left w:val="nil"/>
              <w:bottom w:val="nil"/>
              <w:right w:val="nil"/>
            </w:tcBorders>
            <w:shd w:val="clear" w:color="auto" w:fill="auto"/>
            <w:noWrap/>
            <w:hideMark/>
          </w:tcPr>
          <w:p w14:paraId="1606F89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18,467 (30.6%)</w:t>
            </w:r>
          </w:p>
        </w:tc>
        <w:tc>
          <w:tcPr>
            <w:tcW w:w="1667" w:type="dxa"/>
            <w:tcBorders>
              <w:top w:val="nil"/>
              <w:left w:val="nil"/>
              <w:bottom w:val="nil"/>
              <w:right w:val="nil"/>
            </w:tcBorders>
            <w:shd w:val="clear" w:color="auto" w:fill="auto"/>
            <w:noWrap/>
            <w:hideMark/>
          </w:tcPr>
          <w:p w14:paraId="247B0B2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18,467 (21.9%)</w:t>
            </w:r>
          </w:p>
        </w:tc>
        <w:tc>
          <w:tcPr>
            <w:tcW w:w="1668" w:type="dxa"/>
            <w:tcBorders>
              <w:top w:val="nil"/>
              <w:left w:val="nil"/>
              <w:bottom w:val="nil"/>
              <w:right w:val="nil"/>
            </w:tcBorders>
            <w:shd w:val="clear" w:color="auto" w:fill="auto"/>
            <w:noWrap/>
            <w:hideMark/>
          </w:tcPr>
          <w:p w14:paraId="1F67924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1,431 (6.7%)</w:t>
            </w:r>
          </w:p>
        </w:tc>
      </w:tr>
      <w:tr w:rsidR="0055060F" w:rsidRPr="0055060F" w14:paraId="63B2C17E" w14:textId="77777777" w:rsidTr="006F5124">
        <w:trPr>
          <w:trHeight w:val="288"/>
        </w:trPr>
        <w:tc>
          <w:tcPr>
            <w:tcW w:w="851" w:type="dxa"/>
            <w:tcBorders>
              <w:top w:val="nil"/>
              <w:left w:val="nil"/>
              <w:bottom w:val="nil"/>
              <w:right w:val="nil"/>
            </w:tcBorders>
            <w:shd w:val="clear" w:color="auto" w:fill="auto"/>
            <w:noWrap/>
            <w:hideMark/>
          </w:tcPr>
          <w:p w14:paraId="09A56A47"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29EACD82"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In-hospital mortality, n(%)</w:t>
            </w:r>
          </w:p>
        </w:tc>
        <w:tc>
          <w:tcPr>
            <w:tcW w:w="1667" w:type="dxa"/>
            <w:tcBorders>
              <w:top w:val="nil"/>
              <w:left w:val="nil"/>
              <w:bottom w:val="nil"/>
              <w:right w:val="nil"/>
            </w:tcBorders>
            <w:shd w:val="clear" w:color="auto" w:fill="auto"/>
            <w:noWrap/>
            <w:hideMark/>
          </w:tcPr>
          <w:p w14:paraId="2FDAB20B"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N/A</w:t>
            </w:r>
          </w:p>
        </w:tc>
        <w:tc>
          <w:tcPr>
            <w:tcW w:w="1667" w:type="dxa"/>
            <w:tcBorders>
              <w:top w:val="nil"/>
              <w:left w:val="nil"/>
              <w:bottom w:val="nil"/>
              <w:right w:val="nil"/>
            </w:tcBorders>
            <w:shd w:val="clear" w:color="auto" w:fill="auto"/>
            <w:noWrap/>
            <w:hideMark/>
          </w:tcPr>
          <w:p w14:paraId="73ED243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4,925 (15.1%)</w:t>
            </w:r>
          </w:p>
        </w:tc>
        <w:tc>
          <w:tcPr>
            <w:tcW w:w="1668" w:type="dxa"/>
            <w:tcBorders>
              <w:top w:val="nil"/>
              <w:left w:val="nil"/>
              <w:bottom w:val="nil"/>
              <w:right w:val="nil"/>
            </w:tcBorders>
            <w:shd w:val="clear" w:color="auto" w:fill="auto"/>
            <w:noWrap/>
            <w:hideMark/>
          </w:tcPr>
          <w:p w14:paraId="6B93321C"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9,199 (15.3%)</w:t>
            </w:r>
          </w:p>
        </w:tc>
        <w:tc>
          <w:tcPr>
            <w:tcW w:w="1667" w:type="dxa"/>
            <w:tcBorders>
              <w:top w:val="nil"/>
              <w:left w:val="nil"/>
              <w:bottom w:val="nil"/>
              <w:right w:val="nil"/>
            </w:tcBorders>
            <w:shd w:val="clear" w:color="auto" w:fill="auto"/>
            <w:noWrap/>
            <w:hideMark/>
          </w:tcPr>
          <w:p w14:paraId="08F65E2D"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12,273 (14.5%)</w:t>
            </w:r>
          </w:p>
        </w:tc>
        <w:tc>
          <w:tcPr>
            <w:tcW w:w="1668" w:type="dxa"/>
            <w:tcBorders>
              <w:top w:val="nil"/>
              <w:left w:val="nil"/>
              <w:bottom w:val="nil"/>
              <w:right w:val="nil"/>
            </w:tcBorders>
            <w:shd w:val="clear" w:color="auto" w:fill="auto"/>
            <w:noWrap/>
            <w:hideMark/>
          </w:tcPr>
          <w:p w14:paraId="6E879D84"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1,018 (4.7%)</w:t>
            </w:r>
          </w:p>
        </w:tc>
      </w:tr>
      <w:tr w:rsidR="0055060F" w:rsidRPr="0055060F" w14:paraId="4D16F440" w14:textId="77777777" w:rsidTr="006F5124">
        <w:trPr>
          <w:trHeight w:val="288"/>
        </w:trPr>
        <w:tc>
          <w:tcPr>
            <w:tcW w:w="851" w:type="dxa"/>
            <w:tcBorders>
              <w:top w:val="nil"/>
              <w:left w:val="nil"/>
              <w:bottom w:val="nil"/>
              <w:right w:val="nil"/>
            </w:tcBorders>
            <w:shd w:val="clear" w:color="auto" w:fill="auto"/>
            <w:noWrap/>
            <w:hideMark/>
          </w:tcPr>
          <w:p w14:paraId="5BB5F861"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6F0699DF"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Emergency admission*</w:t>
            </w:r>
          </w:p>
        </w:tc>
        <w:tc>
          <w:tcPr>
            <w:tcW w:w="1667" w:type="dxa"/>
            <w:tcBorders>
              <w:top w:val="nil"/>
              <w:left w:val="nil"/>
              <w:bottom w:val="nil"/>
              <w:right w:val="nil"/>
            </w:tcBorders>
            <w:shd w:val="clear" w:color="auto" w:fill="auto"/>
            <w:noWrap/>
            <w:hideMark/>
          </w:tcPr>
          <w:p w14:paraId="6B49EAC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N/A</w:t>
            </w:r>
          </w:p>
        </w:tc>
        <w:tc>
          <w:tcPr>
            <w:tcW w:w="1667" w:type="dxa"/>
            <w:tcBorders>
              <w:top w:val="nil"/>
              <w:left w:val="nil"/>
              <w:bottom w:val="nil"/>
              <w:right w:val="nil"/>
            </w:tcBorders>
            <w:shd w:val="clear" w:color="auto" w:fill="auto"/>
            <w:noWrap/>
            <w:hideMark/>
          </w:tcPr>
          <w:p w14:paraId="0DC0F4B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3,287 (66.7%)</w:t>
            </w:r>
          </w:p>
        </w:tc>
        <w:tc>
          <w:tcPr>
            <w:tcW w:w="1668" w:type="dxa"/>
            <w:tcBorders>
              <w:top w:val="nil"/>
              <w:left w:val="nil"/>
              <w:bottom w:val="nil"/>
              <w:right w:val="nil"/>
            </w:tcBorders>
            <w:shd w:val="clear" w:color="auto" w:fill="auto"/>
            <w:noWrap/>
            <w:hideMark/>
          </w:tcPr>
          <w:p w14:paraId="3E78E646"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6,423 (69.8%)</w:t>
            </w:r>
          </w:p>
        </w:tc>
        <w:tc>
          <w:tcPr>
            <w:tcW w:w="1667" w:type="dxa"/>
            <w:tcBorders>
              <w:top w:val="nil"/>
              <w:left w:val="nil"/>
              <w:bottom w:val="nil"/>
              <w:right w:val="nil"/>
            </w:tcBorders>
            <w:shd w:val="clear" w:color="auto" w:fill="auto"/>
            <w:noWrap/>
            <w:hideMark/>
          </w:tcPr>
          <w:p w14:paraId="3F26E47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8,286 (67.5%)</w:t>
            </w:r>
          </w:p>
        </w:tc>
        <w:tc>
          <w:tcPr>
            <w:tcW w:w="1668" w:type="dxa"/>
            <w:tcBorders>
              <w:top w:val="nil"/>
              <w:left w:val="nil"/>
              <w:bottom w:val="nil"/>
              <w:right w:val="nil"/>
            </w:tcBorders>
            <w:shd w:val="clear" w:color="auto" w:fill="auto"/>
            <w:noWrap/>
            <w:hideMark/>
          </w:tcPr>
          <w:p w14:paraId="5216BB2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673 (66.1%)</w:t>
            </w:r>
          </w:p>
        </w:tc>
      </w:tr>
      <w:tr w:rsidR="0055060F" w:rsidRPr="0055060F" w14:paraId="73FB0024" w14:textId="77777777" w:rsidTr="006F5124">
        <w:trPr>
          <w:trHeight w:val="288"/>
        </w:trPr>
        <w:tc>
          <w:tcPr>
            <w:tcW w:w="851" w:type="dxa"/>
            <w:tcBorders>
              <w:top w:val="nil"/>
              <w:left w:val="nil"/>
              <w:bottom w:val="nil"/>
              <w:right w:val="nil"/>
            </w:tcBorders>
            <w:shd w:val="clear" w:color="auto" w:fill="auto"/>
            <w:noWrap/>
            <w:hideMark/>
          </w:tcPr>
          <w:p w14:paraId="04A52BB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4689" w:type="dxa"/>
            <w:tcBorders>
              <w:top w:val="nil"/>
              <w:left w:val="nil"/>
              <w:bottom w:val="nil"/>
              <w:right w:val="nil"/>
            </w:tcBorders>
            <w:shd w:val="clear" w:color="auto" w:fill="auto"/>
            <w:noWrap/>
            <w:hideMark/>
          </w:tcPr>
          <w:p w14:paraId="4F8AFDF8"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auto"/>
                <w:sz w:val="20"/>
                <w:szCs w:val="20"/>
                <w:lang w:eastAsia="en-AU"/>
              </w:rPr>
              <w:t>Non-Emergency admission*</w:t>
            </w:r>
          </w:p>
        </w:tc>
        <w:tc>
          <w:tcPr>
            <w:tcW w:w="1667" w:type="dxa"/>
            <w:tcBorders>
              <w:top w:val="nil"/>
              <w:left w:val="nil"/>
              <w:bottom w:val="nil"/>
              <w:right w:val="nil"/>
            </w:tcBorders>
            <w:shd w:val="clear" w:color="auto" w:fill="auto"/>
            <w:noWrap/>
            <w:hideMark/>
          </w:tcPr>
          <w:p w14:paraId="223E01E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N/A</w:t>
            </w:r>
          </w:p>
        </w:tc>
        <w:tc>
          <w:tcPr>
            <w:tcW w:w="1667" w:type="dxa"/>
            <w:tcBorders>
              <w:top w:val="nil"/>
              <w:left w:val="nil"/>
              <w:bottom w:val="nil"/>
              <w:right w:val="nil"/>
            </w:tcBorders>
            <w:shd w:val="clear" w:color="auto" w:fill="auto"/>
            <w:noWrap/>
            <w:hideMark/>
          </w:tcPr>
          <w:p w14:paraId="3FDC3A4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1,638 (33.3%)</w:t>
            </w:r>
          </w:p>
        </w:tc>
        <w:tc>
          <w:tcPr>
            <w:tcW w:w="1668" w:type="dxa"/>
            <w:tcBorders>
              <w:top w:val="nil"/>
              <w:left w:val="nil"/>
              <w:bottom w:val="nil"/>
              <w:right w:val="nil"/>
            </w:tcBorders>
            <w:shd w:val="clear" w:color="auto" w:fill="auto"/>
            <w:noWrap/>
            <w:hideMark/>
          </w:tcPr>
          <w:p w14:paraId="7EB4D8E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2,776 (30.2%)</w:t>
            </w:r>
          </w:p>
        </w:tc>
        <w:tc>
          <w:tcPr>
            <w:tcW w:w="1667" w:type="dxa"/>
            <w:tcBorders>
              <w:top w:val="nil"/>
              <w:left w:val="nil"/>
              <w:bottom w:val="nil"/>
              <w:right w:val="nil"/>
            </w:tcBorders>
            <w:shd w:val="clear" w:color="auto" w:fill="auto"/>
            <w:noWrap/>
            <w:hideMark/>
          </w:tcPr>
          <w:p w14:paraId="7AF24D0A"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3,987 (32.5%)</w:t>
            </w:r>
          </w:p>
        </w:tc>
        <w:tc>
          <w:tcPr>
            <w:tcW w:w="1668" w:type="dxa"/>
            <w:tcBorders>
              <w:top w:val="nil"/>
              <w:left w:val="nil"/>
              <w:bottom w:val="nil"/>
              <w:right w:val="nil"/>
            </w:tcBorders>
            <w:shd w:val="clear" w:color="auto" w:fill="auto"/>
            <w:noWrap/>
            <w:hideMark/>
          </w:tcPr>
          <w:p w14:paraId="3C82762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r w:rsidRPr="0055060F">
              <w:rPr>
                <w:rFonts w:ascii="Calibri" w:eastAsia="Times New Roman" w:hAnsi="Calibri" w:cs="Calibri"/>
                <w:color w:val="000000"/>
                <w:sz w:val="20"/>
                <w:szCs w:val="20"/>
                <w:lang w:eastAsia="en-AU"/>
              </w:rPr>
              <w:t>345 (33.9%)</w:t>
            </w:r>
          </w:p>
        </w:tc>
      </w:tr>
      <w:tr w:rsidR="0055060F" w:rsidRPr="0055060F" w14:paraId="75484D10" w14:textId="77777777" w:rsidTr="006F5124">
        <w:trPr>
          <w:trHeight w:val="80"/>
        </w:trPr>
        <w:tc>
          <w:tcPr>
            <w:tcW w:w="851" w:type="dxa"/>
            <w:tcBorders>
              <w:top w:val="nil"/>
              <w:left w:val="nil"/>
              <w:bottom w:val="single" w:sz="4" w:space="0" w:color="auto"/>
              <w:right w:val="nil"/>
            </w:tcBorders>
            <w:shd w:val="clear" w:color="auto" w:fill="auto"/>
            <w:noWrap/>
          </w:tcPr>
          <w:p w14:paraId="7F4166B3"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4689" w:type="dxa"/>
            <w:tcBorders>
              <w:top w:val="nil"/>
              <w:left w:val="nil"/>
              <w:bottom w:val="single" w:sz="4" w:space="0" w:color="auto"/>
              <w:right w:val="nil"/>
            </w:tcBorders>
            <w:shd w:val="clear" w:color="auto" w:fill="auto"/>
            <w:noWrap/>
            <w:hideMark/>
          </w:tcPr>
          <w:p w14:paraId="0B0DEA86"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c>
          <w:tcPr>
            <w:tcW w:w="1667" w:type="dxa"/>
            <w:tcBorders>
              <w:top w:val="nil"/>
              <w:left w:val="nil"/>
              <w:bottom w:val="single" w:sz="4" w:space="0" w:color="auto"/>
              <w:right w:val="nil"/>
            </w:tcBorders>
            <w:shd w:val="clear" w:color="auto" w:fill="auto"/>
            <w:noWrap/>
          </w:tcPr>
          <w:p w14:paraId="2FEAD625"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1667" w:type="dxa"/>
            <w:tcBorders>
              <w:top w:val="nil"/>
              <w:left w:val="nil"/>
              <w:bottom w:val="single" w:sz="4" w:space="0" w:color="auto"/>
              <w:right w:val="nil"/>
            </w:tcBorders>
            <w:shd w:val="clear" w:color="auto" w:fill="auto"/>
            <w:noWrap/>
          </w:tcPr>
          <w:p w14:paraId="5F261D82"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1668" w:type="dxa"/>
            <w:tcBorders>
              <w:top w:val="nil"/>
              <w:left w:val="nil"/>
              <w:bottom w:val="single" w:sz="4" w:space="0" w:color="auto"/>
              <w:right w:val="nil"/>
            </w:tcBorders>
            <w:shd w:val="clear" w:color="auto" w:fill="auto"/>
            <w:noWrap/>
          </w:tcPr>
          <w:p w14:paraId="5446FCC9"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1667" w:type="dxa"/>
            <w:tcBorders>
              <w:top w:val="nil"/>
              <w:left w:val="nil"/>
              <w:bottom w:val="single" w:sz="4" w:space="0" w:color="auto"/>
              <w:right w:val="nil"/>
            </w:tcBorders>
            <w:shd w:val="clear" w:color="auto" w:fill="auto"/>
            <w:noWrap/>
          </w:tcPr>
          <w:p w14:paraId="425C8ED3" w14:textId="77777777" w:rsidR="0055060F" w:rsidRPr="0055060F" w:rsidRDefault="0055060F" w:rsidP="0055060F">
            <w:pPr>
              <w:spacing w:after="0" w:line="240" w:lineRule="auto"/>
              <w:jc w:val="right"/>
              <w:rPr>
                <w:rFonts w:ascii="Calibri" w:eastAsia="Times New Roman" w:hAnsi="Calibri" w:cs="Calibri"/>
                <w:color w:val="auto"/>
                <w:sz w:val="20"/>
                <w:szCs w:val="20"/>
                <w:lang w:eastAsia="en-AU"/>
              </w:rPr>
            </w:pPr>
          </w:p>
        </w:tc>
        <w:tc>
          <w:tcPr>
            <w:tcW w:w="1668" w:type="dxa"/>
            <w:tcBorders>
              <w:top w:val="nil"/>
              <w:left w:val="nil"/>
              <w:bottom w:val="single" w:sz="4" w:space="0" w:color="auto"/>
              <w:right w:val="nil"/>
            </w:tcBorders>
            <w:shd w:val="clear" w:color="auto" w:fill="auto"/>
            <w:noWrap/>
          </w:tcPr>
          <w:p w14:paraId="73E00C64" w14:textId="77777777" w:rsidR="0055060F" w:rsidRPr="0055060F" w:rsidRDefault="0055060F" w:rsidP="0055060F">
            <w:pPr>
              <w:spacing w:after="0" w:line="240" w:lineRule="auto"/>
              <w:rPr>
                <w:rFonts w:ascii="Calibri" w:eastAsia="Times New Roman" w:hAnsi="Calibri" w:cs="Calibri"/>
                <w:color w:val="auto"/>
                <w:sz w:val="20"/>
                <w:szCs w:val="20"/>
                <w:lang w:eastAsia="en-AU"/>
              </w:rPr>
            </w:pPr>
          </w:p>
        </w:tc>
      </w:tr>
    </w:tbl>
    <w:p w14:paraId="71C15F03" w14:textId="77777777" w:rsidR="0055060F" w:rsidRPr="0055060F" w:rsidRDefault="0055060F" w:rsidP="0055060F">
      <w:pPr>
        <w:spacing w:line="240" w:lineRule="auto"/>
        <w:ind w:left="-284" w:hanging="142"/>
        <w:rPr>
          <w:rFonts w:ascii="Arial" w:eastAsia="Times New Roman" w:hAnsi="Arial"/>
          <w:color w:val="auto"/>
          <w:lang w:eastAsia="en-AU"/>
        </w:rPr>
      </w:pPr>
      <w:r w:rsidRPr="0055060F">
        <w:rPr>
          <w:rFonts w:ascii="Arial" w:eastAsia="Times New Roman" w:hAnsi="Arial"/>
          <w:color w:val="auto"/>
          <w:lang w:eastAsia="en-AU"/>
        </w:rPr>
        <w:t>*Percentage based on total in-hospital deaths within each reporting group, not the total number of separations/readmissions represented by N.</w:t>
      </w:r>
    </w:p>
    <w:p w14:paraId="2266EE34" w14:textId="77777777" w:rsidR="0055060F" w:rsidRPr="0055060F" w:rsidRDefault="0055060F" w:rsidP="0055060F">
      <w:pPr>
        <w:spacing w:before="0" w:after="80" w:line="240" w:lineRule="auto"/>
        <w:rPr>
          <w:rFonts w:ascii="Arial" w:eastAsia="Times New Roman" w:hAnsi="Arial"/>
          <w:color w:val="auto"/>
          <w:lang w:eastAsia="en-AU"/>
        </w:rPr>
      </w:pPr>
      <w:r w:rsidRPr="0055060F">
        <w:rPr>
          <w:rFonts w:ascii="Arial" w:eastAsia="Times New Roman" w:hAnsi="Arial"/>
          <w:color w:val="auto"/>
          <w:lang w:eastAsia="en-AU"/>
        </w:rPr>
        <w:br w:type="page"/>
      </w:r>
    </w:p>
    <w:p w14:paraId="0B0BECA2" w14:textId="77777777" w:rsidR="0055060F" w:rsidRDefault="0055060F">
      <w:pPr>
        <w:sectPr w:rsidR="0055060F" w:rsidSect="001F1F64">
          <w:pgSz w:w="16838" w:h="11906" w:orient="landscape" w:code="9"/>
          <w:pgMar w:top="1361" w:right="1361" w:bottom="1361" w:left="1361" w:header="567" w:footer="567" w:gutter="0"/>
          <w:cols w:space="708"/>
          <w:docGrid w:linePitch="360"/>
        </w:sectPr>
      </w:pPr>
    </w:p>
    <w:p w14:paraId="7CFAC0A8" w14:textId="77777777" w:rsidR="0055060F" w:rsidRDefault="0055060F"/>
    <w:tbl>
      <w:tblPr>
        <w:tblW w:w="0" w:type="auto"/>
        <w:tblCellMar>
          <w:top w:w="1213" w:type="dxa"/>
          <w:left w:w="0" w:type="dxa"/>
          <w:right w:w="0" w:type="dxa"/>
        </w:tblCellMar>
        <w:tblLook w:val="04A0" w:firstRow="1" w:lastRow="0" w:firstColumn="1" w:lastColumn="0" w:noHBand="0" w:noVBand="1"/>
      </w:tblPr>
      <w:tblGrid>
        <w:gridCol w:w="9184"/>
      </w:tblGrid>
      <w:tr w:rsidR="0055060F" w14:paraId="25F775EA" w14:textId="77777777" w:rsidTr="00DD242E">
        <w:trPr>
          <w:trHeight w:hRule="exact" w:val="5330"/>
        </w:trPr>
        <w:tc>
          <w:tcPr>
            <w:tcW w:w="9184" w:type="dxa"/>
          </w:tcPr>
          <w:p w14:paraId="3ABDE18C" w14:textId="34218DB2" w:rsidR="0055060F" w:rsidRDefault="0055060F" w:rsidP="00F46705">
            <w:pPr>
              <w:pStyle w:val="Heading1"/>
            </w:pPr>
            <w:bookmarkStart w:id="127" w:name="_Toc206495299"/>
            <w:r>
              <w:t>Appendices, Glossary and References</w:t>
            </w:r>
            <w:bookmarkEnd w:id="127"/>
          </w:p>
          <w:p w14:paraId="21827CB8" w14:textId="0645C2F4" w:rsidR="0055060F" w:rsidRDefault="0055060F" w:rsidP="00F46705"/>
        </w:tc>
      </w:tr>
    </w:tbl>
    <w:p w14:paraId="21734809" w14:textId="77E02D20" w:rsidR="0055060F" w:rsidRDefault="0055060F" w:rsidP="008254F9">
      <w:r>
        <w:rPr>
          <w:noProof/>
        </w:rPr>
        <w:drawing>
          <wp:anchor distT="0" distB="0" distL="114300" distR="114300" simplePos="0" relativeHeight="251697152" behindDoc="1" locked="1" layoutInCell="1" allowOverlap="1" wp14:anchorId="110D1DEB" wp14:editId="3F41877A">
            <wp:simplePos x="866274" y="866274"/>
            <wp:positionH relativeFrom="page">
              <wp:align>left</wp:align>
            </wp:positionH>
            <wp:positionV relativeFrom="page">
              <wp:align>top</wp:align>
            </wp:positionV>
            <wp:extent cx="7560000" cy="10695600"/>
            <wp:effectExtent l="0" t="0" r="3175" b="0"/>
            <wp:wrapNone/>
            <wp:docPr id="329881941" name="Picture 14" descr="A purpl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8083" name="Picture 14" descr="A purple and white rectangl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48D94123" w14:textId="77777777" w:rsidR="0055060F" w:rsidRDefault="0055060F" w:rsidP="008254F9"/>
    <w:p w14:paraId="388AC69A" w14:textId="77777777" w:rsidR="0055060F" w:rsidRDefault="0055060F" w:rsidP="008254F9"/>
    <w:p w14:paraId="5D955631" w14:textId="77777777" w:rsidR="0055060F" w:rsidRDefault="0055060F" w:rsidP="008254F9"/>
    <w:p w14:paraId="59680B3E" w14:textId="77777777" w:rsidR="0055060F" w:rsidRDefault="0055060F" w:rsidP="008254F9"/>
    <w:p w14:paraId="76C8905D" w14:textId="77777777" w:rsidR="0055060F" w:rsidRDefault="0055060F" w:rsidP="008254F9"/>
    <w:p w14:paraId="3772B35A" w14:textId="77777777" w:rsidR="0055060F" w:rsidRDefault="0055060F" w:rsidP="008254F9"/>
    <w:p w14:paraId="1CFA6CFE" w14:textId="77777777" w:rsidR="0055060F" w:rsidRDefault="0055060F" w:rsidP="008254F9"/>
    <w:p w14:paraId="3DCD0491" w14:textId="77777777" w:rsidR="0055060F" w:rsidRDefault="0055060F" w:rsidP="008254F9"/>
    <w:p w14:paraId="75A02C9D" w14:textId="77777777" w:rsidR="0055060F" w:rsidRDefault="0055060F" w:rsidP="008254F9"/>
    <w:p w14:paraId="5355C4E3" w14:textId="77777777" w:rsidR="0055060F" w:rsidRDefault="0055060F" w:rsidP="008254F9"/>
    <w:p w14:paraId="6F0C4A40" w14:textId="77777777" w:rsidR="0055060F" w:rsidRDefault="0055060F" w:rsidP="008254F9"/>
    <w:p w14:paraId="45BD4C32" w14:textId="77777777" w:rsidR="0055060F" w:rsidRDefault="0055060F" w:rsidP="008254F9"/>
    <w:p w14:paraId="2D743994" w14:textId="77777777" w:rsidR="0055060F" w:rsidRDefault="0055060F" w:rsidP="008254F9"/>
    <w:p w14:paraId="2EEFBB79" w14:textId="77777777" w:rsidR="0055060F" w:rsidRDefault="0055060F" w:rsidP="008254F9"/>
    <w:p w14:paraId="6A538D27" w14:textId="77777777" w:rsidR="0055060F" w:rsidRDefault="0055060F" w:rsidP="008254F9"/>
    <w:p w14:paraId="159A5608" w14:textId="77777777" w:rsidR="0055060F" w:rsidRDefault="0055060F" w:rsidP="008254F9"/>
    <w:p w14:paraId="10313E33" w14:textId="77777777" w:rsidR="0055060F" w:rsidRDefault="0055060F" w:rsidP="008254F9"/>
    <w:p w14:paraId="4C3DE386" w14:textId="77777777" w:rsidR="0055060F" w:rsidRDefault="0055060F" w:rsidP="008254F9"/>
    <w:p w14:paraId="43689330" w14:textId="77777777" w:rsidR="0055060F" w:rsidRDefault="0055060F" w:rsidP="008254F9"/>
    <w:p w14:paraId="3895AB9F" w14:textId="77777777" w:rsidR="0055060F" w:rsidRDefault="0055060F" w:rsidP="008254F9"/>
    <w:p w14:paraId="5EE16159" w14:textId="77777777" w:rsidR="0055060F" w:rsidRDefault="0055060F" w:rsidP="008254F9"/>
    <w:p w14:paraId="055D566B" w14:textId="77777777" w:rsidR="002E7E53" w:rsidRPr="00EF4191" w:rsidRDefault="002E7E53" w:rsidP="007C0EA9">
      <w:pPr>
        <w:pStyle w:val="Heading2"/>
      </w:pPr>
      <w:bookmarkStart w:id="128" w:name="_Appendix_A:_Explicit"/>
      <w:bookmarkStart w:id="129" w:name="_Toc203549637"/>
      <w:bookmarkStart w:id="130" w:name="_Toc206495300"/>
      <w:bookmarkEnd w:id="128"/>
      <w:r w:rsidRPr="00EF4191">
        <w:lastRenderedPageBreak/>
        <w:t>Appendix A: Explicit sepsis codes</w:t>
      </w:r>
      <w:bookmarkEnd w:id="129"/>
      <w:bookmarkEnd w:id="130"/>
    </w:p>
    <w:tbl>
      <w:tblPr>
        <w:tblStyle w:val="SQHTable"/>
        <w:tblW w:w="96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4961"/>
        <w:gridCol w:w="2739"/>
      </w:tblGrid>
      <w:tr w:rsidR="002E7E53" w:rsidRPr="00EF4191" w14:paraId="42E28D76" w14:textId="77777777" w:rsidTr="006F5124">
        <w:trPr>
          <w:cnfStyle w:val="100000000000" w:firstRow="1" w:lastRow="0" w:firstColumn="0" w:lastColumn="0" w:oddVBand="0" w:evenVBand="0" w:oddHBand="0" w:evenHBand="0" w:firstRowFirstColumn="0" w:firstRowLastColumn="0" w:lastRowFirstColumn="0" w:lastRowLastColumn="0"/>
          <w:trHeight w:val="680"/>
        </w:trPr>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8C8F0C1" w14:textId="77777777" w:rsidR="002E7E53" w:rsidRPr="00EF4191" w:rsidRDefault="002E7E53" w:rsidP="006F5124">
            <w:pPr>
              <w:spacing w:before="0" w:after="0"/>
              <w:rPr>
                <w:rFonts w:asciiTheme="majorHAnsi" w:hAnsiTheme="majorHAnsi" w:cstheme="majorHAnsi"/>
                <w:b w:val="0"/>
                <w:bCs/>
              </w:rPr>
            </w:pPr>
            <w:r w:rsidRPr="00EF4191">
              <w:rPr>
                <w:rFonts w:asciiTheme="majorHAnsi" w:hAnsiTheme="majorHAnsi" w:cstheme="majorHAnsi"/>
                <w:bCs/>
              </w:rPr>
              <w:t>ICD-10-AM</w:t>
            </w:r>
          </w:p>
        </w:tc>
        <w:tc>
          <w:tcPr>
            <w:tcW w:w="496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FC90A8E" w14:textId="77777777" w:rsidR="002E7E53" w:rsidRPr="00EF4191" w:rsidRDefault="002E7E53" w:rsidP="006F5124">
            <w:pPr>
              <w:spacing w:before="0" w:after="0"/>
              <w:rPr>
                <w:rFonts w:asciiTheme="majorHAnsi" w:hAnsiTheme="majorHAnsi" w:cstheme="majorHAnsi"/>
                <w:b w:val="0"/>
                <w:bCs/>
              </w:rPr>
            </w:pPr>
            <w:r w:rsidRPr="00EF4191">
              <w:rPr>
                <w:rFonts w:asciiTheme="majorHAnsi" w:hAnsiTheme="majorHAnsi" w:cstheme="majorHAnsi"/>
                <w:bCs/>
              </w:rPr>
              <w:t>Description</w:t>
            </w:r>
          </w:p>
        </w:tc>
        <w:tc>
          <w:tcPr>
            <w:tcW w:w="273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EA6DFBF" w14:textId="77777777" w:rsidR="002E7E53" w:rsidRPr="00EF4191" w:rsidRDefault="002E7E53" w:rsidP="006F5124">
            <w:pPr>
              <w:spacing w:before="0" w:after="0"/>
              <w:rPr>
                <w:rFonts w:asciiTheme="majorHAnsi" w:hAnsiTheme="majorHAnsi" w:cstheme="majorHAnsi"/>
                <w:b w:val="0"/>
                <w:bCs/>
              </w:rPr>
            </w:pPr>
            <w:r w:rsidRPr="00EF4191">
              <w:rPr>
                <w:rFonts w:asciiTheme="majorHAnsi" w:hAnsiTheme="majorHAnsi" w:cstheme="majorHAnsi"/>
                <w:bCs/>
              </w:rPr>
              <w:t xml:space="preserve">ICD-10-AM editions </w:t>
            </w:r>
            <w:r w:rsidRPr="00EF4191">
              <w:rPr>
                <w:rFonts w:asciiTheme="majorHAnsi" w:hAnsiTheme="majorHAnsi" w:cstheme="majorHAnsi"/>
                <w:bCs/>
              </w:rPr>
              <w:br/>
              <w:t>(8th to 12th)</w:t>
            </w:r>
          </w:p>
        </w:tc>
      </w:tr>
      <w:tr w:rsidR="002E7E53" w:rsidRPr="00EF4191" w14:paraId="63F88F11" w14:textId="77777777" w:rsidTr="006F5124">
        <w:trPr>
          <w:trHeight w:val="567"/>
        </w:trPr>
        <w:tc>
          <w:tcPr>
            <w:tcW w:w="1980" w:type="dxa"/>
            <w:noWrap/>
            <w:hideMark/>
          </w:tcPr>
          <w:p w14:paraId="0859B10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A021</w:t>
            </w:r>
          </w:p>
        </w:tc>
        <w:tc>
          <w:tcPr>
            <w:tcW w:w="4961" w:type="dxa"/>
            <w:noWrap/>
            <w:hideMark/>
          </w:tcPr>
          <w:p w14:paraId="73E80B4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Salmonella</w:t>
            </w:r>
          </w:p>
        </w:tc>
        <w:tc>
          <w:tcPr>
            <w:tcW w:w="2739" w:type="dxa"/>
            <w:noWrap/>
            <w:hideMark/>
          </w:tcPr>
          <w:p w14:paraId="2805075F" w14:textId="77777777" w:rsidR="002E7E53" w:rsidRPr="00EF4191" w:rsidRDefault="002E7E53" w:rsidP="006F5124">
            <w:pPr>
              <w:spacing w:before="0" w:after="0"/>
              <w:rPr>
                <w:rFonts w:asciiTheme="majorHAnsi" w:hAnsiTheme="majorHAnsi" w:cstheme="majorHAnsi"/>
              </w:rPr>
            </w:pPr>
          </w:p>
        </w:tc>
      </w:tr>
      <w:tr w:rsidR="002E7E53" w:rsidRPr="00EF4191" w14:paraId="3E2DF924"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51956AE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A037</w:t>
            </w:r>
          </w:p>
        </w:tc>
        <w:tc>
          <w:tcPr>
            <w:tcW w:w="4961" w:type="dxa"/>
            <w:noWrap/>
            <w:hideMark/>
          </w:tcPr>
          <w:p w14:paraId="6C33C13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Shigella</w:t>
            </w:r>
          </w:p>
        </w:tc>
        <w:tc>
          <w:tcPr>
            <w:tcW w:w="2739" w:type="dxa"/>
            <w:noWrap/>
            <w:hideMark/>
          </w:tcPr>
          <w:p w14:paraId="188840E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5B4B275B" w14:textId="77777777" w:rsidTr="006F5124">
        <w:trPr>
          <w:trHeight w:val="567"/>
        </w:trPr>
        <w:tc>
          <w:tcPr>
            <w:tcW w:w="1980" w:type="dxa"/>
            <w:noWrap/>
            <w:hideMark/>
          </w:tcPr>
          <w:p w14:paraId="04BBA82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A207</w:t>
            </w:r>
          </w:p>
        </w:tc>
        <w:tc>
          <w:tcPr>
            <w:tcW w:w="4961" w:type="dxa"/>
            <w:noWrap/>
            <w:hideMark/>
          </w:tcPr>
          <w:p w14:paraId="2E2EC45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plague</w:t>
            </w:r>
          </w:p>
        </w:tc>
        <w:tc>
          <w:tcPr>
            <w:tcW w:w="2739" w:type="dxa"/>
            <w:noWrap/>
            <w:hideMark/>
          </w:tcPr>
          <w:p w14:paraId="532F5E8D" w14:textId="77777777" w:rsidR="002E7E53" w:rsidRPr="00EF4191" w:rsidRDefault="002E7E53" w:rsidP="006F5124">
            <w:pPr>
              <w:spacing w:before="0" w:after="0"/>
              <w:rPr>
                <w:rFonts w:asciiTheme="majorHAnsi" w:hAnsiTheme="majorHAnsi" w:cstheme="majorHAnsi"/>
              </w:rPr>
            </w:pPr>
          </w:p>
        </w:tc>
      </w:tr>
      <w:tr w:rsidR="002E7E53" w:rsidRPr="00EF4191" w14:paraId="39C147A1"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6D31A99E"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A217</w:t>
            </w:r>
          </w:p>
        </w:tc>
        <w:tc>
          <w:tcPr>
            <w:tcW w:w="4961" w:type="dxa"/>
            <w:noWrap/>
            <w:hideMark/>
          </w:tcPr>
          <w:p w14:paraId="2545114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tularaemia</w:t>
            </w:r>
          </w:p>
        </w:tc>
        <w:tc>
          <w:tcPr>
            <w:tcW w:w="2739" w:type="dxa"/>
            <w:noWrap/>
            <w:hideMark/>
          </w:tcPr>
          <w:p w14:paraId="65B3B205" w14:textId="77777777" w:rsidR="002E7E53" w:rsidRPr="00EF4191" w:rsidRDefault="002E7E53" w:rsidP="006F5124">
            <w:pPr>
              <w:spacing w:before="0" w:after="0"/>
              <w:rPr>
                <w:rFonts w:asciiTheme="majorHAnsi" w:hAnsiTheme="majorHAnsi" w:cstheme="majorHAnsi"/>
              </w:rPr>
            </w:pPr>
          </w:p>
        </w:tc>
      </w:tr>
      <w:tr w:rsidR="002E7E53" w:rsidRPr="00EF4191" w14:paraId="71A1B97C" w14:textId="77777777" w:rsidTr="006F5124">
        <w:trPr>
          <w:trHeight w:val="567"/>
        </w:trPr>
        <w:tc>
          <w:tcPr>
            <w:tcW w:w="1980" w:type="dxa"/>
            <w:noWrap/>
            <w:hideMark/>
          </w:tcPr>
          <w:p w14:paraId="46E5AED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A227</w:t>
            </w:r>
          </w:p>
        </w:tc>
        <w:tc>
          <w:tcPr>
            <w:tcW w:w="4961" w:type="dxa"/>
            <w:noWrap/>
            <w:hideMark/>
          </w:tcPr>
          <w:p w14:paraId="74719FF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anthrax</w:t>
            </w:r>
          </w:p>
        </w:tc>
        <w:tc>
          <w:tcPr>
            <w:tcW w:w="2739" w:type="dxa"/>
            <w:noWrap/>
            <w:hideMark/>
          </w:tcPr>
          <w:p w14:paraId="461368A1" w14:textId="77777777" w:rsidR="002E7E53" w:rsidRPr="00EF4191" w:rsidRDefault="002E7E53" w:rsidP="006F5124">
            <w:pPr>
              <w:spacing w:before="0" w:after="0"/>
              <w:rPr>
                <w:rFonts w:asciiTheme="majorHAnsi" w:hAnsiTheme="majorHAnsi" w:cstheme="majorHAnsi"/>
              </w:rPr>
            </w:pPr>
          </w:p>
        </w:tc>
      </w:tr>
      <w:tr w:rsidR="002E7E53" w:rsidRPr="00EF4191" w14:paraId="40F07BBC"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6455B17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A237</w:t>
            </w:r>
          </w:p>
        </w:tc>
        <w:tc>
          <w:tcPr>
            <w:tcW w:w="4961" w:type="dxa"/>
            <w:noWrap/>
            <w:hideMark/>
          </w:tcPr>
          <w:p w14:paraId="468555B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Brucella</w:t>
            </w:r>
          </w:p>
        </w:tc>
        <w:tc>
          <w:tcPr>
            <w:tcW w:w="2739" w:type="dxa"/>
            <w:noWrap/>
            <w:hideMark/>
          </w:tcPr>
          <w:p w14:paraId="0436AF5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611EEF1B" w14:textId="77777777" w:rsidTr="006F5124">
        <w:trPr>
          <w:trHeight w:val="567"/>
        </w:trPr>
        <w:tc>
          <w:tcPr>
            <w:tcW w:w="1980" w:type="dxa"/>
            <w:noWrap/>
            <w:hideMark/>
          </w:tcPr>
          <w:p w14:paraId="64C7B5C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A247</w:t>
            </w:r>
          </w:p>
        </w:tc>
        <w:tc>
          <w:tcPr>
            <w:tcW w:w="4961" w:type="dxa"/>
            <w:noWrap/>
            <w:hideMark/>
          </w:tcPr>
          <w:p w14:paraId="5C96B03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glanders and melioidosis</w:t>
            </w:r>
          </w:p>
        </w:tc>
        <w:tc>
          <w:tcPr>
            <w:tcW w:w="2739" w:type="dxa"/>
            <w:noWrap/>
            <w:hideMark/>
          </w:tcPr>
          <w:p w14:paraId="1BF3555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0F47CA75"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7AC7D79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A267</w:t>
            </w:r>
          </w:p>
        </w:tc>
        <w:tc>
          <w:tcPr>
            <w:tcW w:w="4961" w:type="dxa"/>
            <w:noWrap/>
            <w:hideMark/>
          </w:tcPr>
          <w:p w14:paraId="5FA6B49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Erysipelothrix [erysipeloid] [rhusiopathiae]</w:t>
            </w:r>
          </w:p>
        </w:tc>
        <w:tc>
          <w:tcPr>
            <w:tcW w:w="2739" w:type="dxa"/>
            <w:noWrap/>
            <w:hideMark/>
          </w:tcPr>
          <w:p w14:paraId="1969EA22" w14:textId="77777777" w:rsidR="002E7E53" w:rsidRPr="00EF4191" w:rsidRDefault="002E7E53" w:rsidP="006F5124">
            <w:pPr>
              <w:spacing w:before="0" w:after="0"/>
              <w:rPr>
                <w:rFonts w:asciiTheme="majorHAnsi" w:hAnsiTheme="majorHAnsi" w:cstheme="majorHAnsi"/>
              </w:rPr>
            </w:pPr>
          </w:p>
        </w:tc>
      </w:tr>
      <w:tr w:rsidR="002E7E53" w:rsidRPr="00EF4191" w14:paraId="57FDC92C" w14:textId="77777777" w:rsidTr="006F5124">
        <w:trPr>
          <w:trHeight w:val="567"/>
        </w:trPr>
        <w:tc>
          <w:tcPr>
            <w:tcW w:w="1980" w:type="dxa"/>
            <w:noWrap/>
            <w:hideMark/>
          </w:tcPr>
          <w:p w14:paraId="502EB58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A2801</w:t>
            </w:r>
          </w:p>
        </w:tc>
        <w:tc>
          <w:tcPr>
            <w:tcW w:w="4961" w:type="dxa"/>
            <w:noWrap/>
            <w:hideMark/>
          </w:tcPr>
          <w:p w14:paraId="2AF60F4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Pasteurella, not elsewhere classified</w:t>
            </w:r>
          </w:p>
        </w:tc>
        <w:tc>
          <w:tcPr>
            <w:tcW w:w="2739" w:type="dxa"/>
            <w:noWrap/>
            <w:hideMark/>
          </w:tcPr>
          <w:p w14:paraId="3CB3C79E"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123DB1DA"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3E1B6F7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A2821</w:t>
            </w:r>
          </w:p>
        </w:tc>
        <w:tc>
          <w:tcPr>
            <w:tcW w:w="4961" w:type="dxa"/>
            <w:noWrap/>
            <w:hideMark/>
          </w:tcPr>
          <w:p w14:paraId="3D909B0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extraintestinal yersiniosis</w:t>
            </w:r>
          </w:p>
        </w:tc>
        <w:tc>
          <w:tcPr>
            <w:tcW w:w="2739" w:type="dxa"/>
            <w:noWrap/>
            <w:hideMark/>
          </w:tcPr>
          <w:p w14:paraId="6F97164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6AF477A7" w14:textId="77777777" w:rsidTr="006F5124">
        <w:trPr>
          <w:trHeight w:val="567"/>
        </w:trPr>
        <w:tc>
          <w:tcPr>
            <w:tcW w:w="1980" w:type="dxa"/>
            <w:noWrap/>
            <w:hideMark/>
          </w:tcPr>
          <w:p w14:paraId="63DCC3F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A327</w:t>
            </w:r>
          </w:p>
        </w:tc>
        <w:tc>
          <w:tcPr>
            <w:tcW w:w="4961" w:type="dxa"/>
            <w:noWrap/>
            <w:hideMark/>
          </w:tcPr>
          <w:p w14:paraId="27560D4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Listeria [monocytogenes]</w:t>
            </w:r>
          </w:p>
        </w:tc>
        <w:tc>
          <w:tcPr>
            <w:tcW w:w="2739" w:type="dxa"/>
            <w:noWrap/>
            <w:hideMark/>
          </w:tcPr>
          <w:p w14:paraId="2B47577F" w14:textId="77777777" w:rsidR="002E7E53" w:rsidRPr="00EF4191" w:rsidRDefault="002E7E53" w:rsidP="006F5124">
            <w:pPr>
              <w:spacing w:before="0" w:after="0"/>
              <w:rPr>
                <w:rFonts w:asciiTheme="majorHAnsi" w:hAnsiTheme="majorHAnsi" w:cstheme="majorHAnsi"/>
              </w:rPr>
            </w:pPr>
          </w:p>
        </w:tc>
      </w:tr>
      <w:tr w:rsidR="002E7E53" w:rsidRPr="00EF4191" w14:paraId="74219B7D"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3F9F3DAD"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A394</w:t>
            </w:r>
          </w:p>
        </w:tc>
        <w:tc>
          <w:tcPr>
            <w:tcW w:w="4961" w:type="dxa"/>
            <w:noWrap/>
            <w:hideMark/>
          </w:tcPr>
          <w:p w14:paraId="5B0DE10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Meningococcaemia, unspecified</w:t>
            </w:r>
          </w:p>
        </w:tc>
        <w:tc>
          <w:tcPr>
            <w:tcW w:w="2739" w:type="dxa"/>
            <w:noWrap/>
            <w:hideMark/>
          </w:tcPr>
          <w:p w14:paraId="3E7D9DF5" w14:textId="77777777" w:rsidR="002E7E53" w:rsidRPr="00EF4191" w:rsidRDefault="002E7E53" w:rsidP="006F5124">
            <w:pPr>
              <w:spacing w:before="0" w:after="0"/>
              <w:rPr>
                <w:rFonts w:asciiTheme="majorHAnsi" w:hAnsiTheme="majorHAnsi" w:cstheme="majorHAnsi"/>
              </w:rPr>
            </w:pPr>
          </w:p>
        </w:tc>
      </w:tr>
      <w:tr w:rsidR="002E7E53" w:rsidRPr="00EF4191" w14:paraId="6D7B5228" w14:textId="77777777" w:rsidTr="006F5124">
        <w:trPr>
          <w:trHeight w:val="567"/>
        </w:trPr>
        <w:tc>
          <w:tcPr>
            <w:tcW w:w="1980" w:type="dxa"/>
            <w:noWrap/>
            <w:hideMark/>
          </w:tcPr>
          <w:p w14:paraId="4857024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A397</w:t>
            </w:r>
          </w:p>
        </w:tc>
        <w:tc>
          <w:tcPr>
            <w:tcW w:w="4961" w:type="dxa"/>
            <w:noWrap/>
            <w:hideMark/>
          </w:tcPr>
          <w:p w14:paraId="4CFFE91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Meningococcus</w:t>
            </w:r>
          </w:p>
        </w:tc>
        <w:tc>
          <w:tcPr>
            <w:tcW w:w="2739" w:type="dxa"/>
            <w:noWrap/>
            <w:hideMark/>
          </w:tcPr>
          <w:p w14:paraId="109CE14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0D0E84F9"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F0BC1E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A400</w:t>
            </w:r>
          </w:p>
        </w:tc>
        <w:tc>
          <w:tcPr>
            <w:tcW w:w="4961" w:type="dxa"/>
            <w:noWrap/>
            <w:hideMark/>
          </w:tcPr>
          <w:p w14:paraId="711B11B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Streptococcus, group A</w:t>
            </w:r>
          </w:p>
        </w:tc>
        <w:tc>
          <w:tcPr>
            <w:tcW w:w="2739" w:type="dxa"/>
            <w:noWrap/>
            <w:hideMark/>
          </w:tcPr>
          <w:p w14:paraId="3684506F" w14:textId="77777777" w:rsidR="002E7E53" w:rsidRPr="00EF4191" w:rsidRDefault="002E7E53" w:rsidP="006F5124">
            <w:pPr>
              <w:spacing w:before="0" w:after="0"/>
              <w:rPr>
                <w:rFonts w:asciiTheme="majorHAnsi" w:hAnsiTheme="majorHAnsi" w:cstheme="majorHAnsi"/>
              </w:rPr>
            </w:pPr>
          </w:p>
        </w:tc>
      </w:tr>
      <w:tr w:rsidR="002E7E53" w:rsidRPr="00EF4191" w14:paraId="3188EB07" w14:textId="77777777" w:rsidTr="006F5124">
        <w:trPr>
          <w:trHeight w:val="567"/>
        </w:trPr>
        <w:tc>
          <w:tcPr>
            <w:tcW w:w="1980" w:type="dxa"/>
            <w:noWrap/>
            <w:hideMark/>
          </w:tcPr>
          <w:p w14:paraId="0110055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A401</w:t>
            </w:r>
          </w:p>
        </w:tc>
        <w:tc>
          <w:tcPr>
            <w:tcW w:w="4961" w:type="dxa"/>
            <w:noWrap/>
            <w:hideMark/>
          </w:tcPr>
          <w:p w14:paraId="5EA9E65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Streptococcus, group B</w:t>
            </w:r>
          </w:p>
        </w:tc>
        <w:tc>
          <w:tcPr>
            <w:tcW w:w="2739" w:type="dxa"/>
            <w:noWrap/>
            <w:hideMark/>
          </w:tcPr>
          <w:p w14:paraId="36F6B4F5" w14:textId="77777777" w:rsidR="002E7E53" w:rsidRPr="00EF4191" w:rsidRDefault="002E7E53" w:rsidP="006F5124">
            <w:pPr>
              <w:spacing w:before="0" w:after="0"/>
              <w:rPr>
                <w:rFonts w:asciiTheme="majorHAnsi" w:hAnsiTheme="majorHAnsi" w:cstheme="majorHAnsi"/>
              </w:rPr>
            </w:pPr>
          </w:p>
        </w:tc>
      </w:tr>
      <w:tr w:rsidR="002E7E53" w:rsidRPr="00EF4191" w14:paraId="0E5EA573"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6CAD4514"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A402</w:t>
            </w:r>
          </w:p>
        </w:tc>
        <w:tc>
          <w:tcPr>
            <w:tcW w:w="4961" w:type="dxa"/>
            <w:noWrap/>
            <w:hideMark/>
          </w:tcPr>
          <w:p w14:paraId="4E4012C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Streptococcus, group D and Enterococcus</w:t>
            </w:r>
          </w:p>
        </w:tc>
        <w:tc>
          <w:tcPr>
            <w:tcW w:w="2739" w:type="dxa"/>
            <w:noWrap/>
            <w:hideMark/>
          </w:tcPr>
          <w:p w14:paraId="0B1DB969" w14:textId="77777777" w:rsidR="002E7E53" w:rsidRPr="00EF4191" w:rsidRDefault="002E7E53" w:rsidP="006F5124">
            <w:pPr>
              <w:spacing w:before="0" w:after="0"/>
              <w:rPr>
                <w:rFonts w:asciiTheme="majorHAnsi" w:hAnsiTheme="majorHAnsi" w:cstheme="majorHAnsi"/>
              </w:rPr>
            </w:pPr>
          </w:p>
        </w:tc>
      </w:tr>
      <w:tr w:rsidR="002E7E53" w:rsidRPr="00EF4191" w14:paraId="041DEE92" w14:textId="77777777" w:rsidTr="006F5124">
        <w:trPr>
          <w:trHeight w:val="567"/>
        </w:trPr>
        <w:tc>
          <w:tcPr>
            <w:tcW w:w="1980" w:type="dxa"/>
            <w:noWrap/>
            <w:hideMark/>
          </w:tcPr>
          <w:p w14:paraId="5FFDD80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A4021</w:t>
            </w:r>
          </w:p>
        </w:tc>
        <w:tc>
          <w:tcPr>
            <w:tcW w:w="4961" w:type="dxa"/>
            <w:noWrap/>
            <w:hideMark/>
          </w:tcPr>
          <w:p w14:paraId="2854BD8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Streptococcus, group D</w:t>
            </w:r>
          </w:p>
        </w:tc>
        <w:tc>
          <w:tcPr>
            <w:tcW w:w="2739" w:type="dxa"/>
            <w:noWrap/>
            <w:hideMark/>
          </w:tcPr>
          <w:p w14:paraId="55F71CE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5ABB5445"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0B56002E"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A4022</w:t>
            </w:r>
          </w:p>
        </w:tc>
        <w:tc>
          <w:tcPr>
            <w:tcW w:w="4961" w:type="dxa"/>
            <w:noWrap/>
            <w:hideMark/>
          </w:tcPr>
          <w:p w14:paraId="7D518D7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Enterococcus</w:t>
            </w:r>
          </w:p>
        </w:tc>
        <w:tc>
          <w:tcPr>
            <w:tcW w:w="2739" w:type="dxa"/>
            <w:noWrap/>
            <w:hideMark/>
          </w:tcPr>
          <w:p w14:paraId="3CAD2D9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4B6B6637" w14:textId="77777777" w:rsidTr="006F5124">
        <w:trPr>
          <w:trHeight w:val="567"/>
        </w:trPr>
        <w:tc>
          <w:tcPr>
            <w:tcW w:w="1980" w:type="dxa"/>
            <w:noWrap/>
            <w:hideMark/>
          </w:tcPr>
          <w:p w14:paraId="5F9CC76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A403</w:t>
            </w:r>
          </w:p>
        </w:tc>
        <w:tc>
          <w:tcPr>
            <w:tcW w:w="4961" w:type="dxa"/>
            <w:noWrap/>
            <w:hideMark/>
          </w:tcPr>
          <w:p w14:paraId="1C9AFA0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Streptococcus pneumoniae</w:t>
            </w:r>
          </w:p>
        </w:tc>
        <w:tc>
          <w:tcPr>
            <w:tcW w:w="2739" w:type="dxa"/>
            <w:noWrap/>
            <w:hideMark/>
          </w:tcPr>
          <w:p w14:paraId="00760A07" w14:textId="77777777" w:rsidR="002E7E53" w:rsidRPr="00EF4191" w:rsidRDefault="002E7E53" w:rsidP="006F5124">
            <w:pPr>
              <w:spacing w:before="0" w:after="0"/>
              <w:rPr>
                <w:rFonts w:asciiTheme="majorHAnsi" w:hAnsiTheme="majorHAnsi" w:cstheme="majorHAnsi"/>
              </w:rPr>
            </w:pPr>
          </w:p>
        </w:tc>
      </w:tr>
      <w:tr w:rsidR="002E7E53" w:rsidRPr="00EF4191" w14:paraId="7DD97D74"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723D243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A408</w:t>
            </w:r>
          </w:p>
        </w:tc>
        <w:tc>
          <w:tcPr>
            <w:tcW w:w="4961" w:type="dxa"/>
            <w:noWrap/>
            <w:hideMark/>
          </w:tcPr>
          <w:p w14:paraId="2EA46924"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Other streptococcal sepsis</w:t>
            </w:r>
          </w:p>
        </w:tc>
        <w:tc>
          <w:tcPr>
            <w:tcW w:w="2739" w:type="dxa"/>
            <w:noWrap/>
            <w:hideMark/>
          </w:tcPr>
          <w:p w14:paraId="7462656A" w14:textId="77777777" w:rsidR="002E7E53" w:rsidRPr="00EF4191" w:rsidRDefault="002E7E53" w:rsidP="006F5124">
            <w:pPr>
              <w:spacing w:before="0" w:after="0"/>
              <w:rPr>
                <w:rFonts w:asciiTheme="majorHAnsi" w:hAnsiTheme="majorHAnsi" w:cstheme="majorHAnsi"/>
              </w:rPr>
            </w:pPr>
          </w:p>
        </w:tc>
      </w:tr>
      <w:tr w:rsidR="002E7E53" w:rsidRPr="00EF4191" w14:paraId="0F694DFE" w14:textId="77777777" w:rsidTr="006F5124">
        <w:trPr>
          <w:trHeight w:val="567"/>
        </w:trPr>
        <w:tc>
          <w:tcPr>
            <w:tcW w:w="1980" w:type="dxa"/>
            <w:noWrap/>
            <w:hideMark/>
          </w:tcPr>
          <w:p w14:paraId="1BAEC55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A409</w:t>
            </w:r>
          </w:p>
        </w:tc>
        <w:tc>
          <w:tcPr>
            <w:tcW w:w="4961" w:type="dxa"/>
            <w:noWrap/>
            <w:hideMark/>
          </w:tcPr>
          <w:p w14:paraId="1AD5CB1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Streptococcal sepsis, unspecified</w:t>
            </w:r>
          </w:p>
        </w:tc>
        <w:tc>
          <w:tcPr>
            <w:tcW w:w="2739" w:type="dxa"/>
            <w:noWrap/>
            <w:hideMark/>
          </w:tcPr>
          <w:p w14:paraId="16DBF597" w14:textId="77777777" w:rsidR="002E7E53" w:rsidRPr="00EF4191" w:rsidRDefault="002E7E53" w:rsidP="006F5124">
            <w:pPr>
              <w:spacing w:before="0" w:after="0"/>
              <w:rPr>
                <w:rFonts w:asciiTheme="majorHAnsi" w:hAnsiTheme="majorHAnsi" w:cstheme="majorHAnsi"/>
              </w:rPr>
            </w:pPr>
          </w:p>
        </w:tc>
      </w:tr>
      <w:tr w:rsidR="002E7E53" w:rsidRPr="00EF4191" w14:paraId="5A35B9EE"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55E1BC3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A410</w:t>
            </w:r>
          </w:p>
        </w:tc>
        <w:tc>
          <w:tcPr>
            <w:tcW w:w="4961" w:type="dxa"/>
            <w:noWrap/>
            <w:hideMark/>
          </w:tcPr>
          <w:p w14:paraId="4FFEC454"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Staphylococcus aureus</w:t>
            </w:r>
          </w:p>
        </w:tc>
        <w:tc>
          <w:tcPr>
            <w:tcW w:w="2739" w:type="dxa"/>
            <w:noWrap/>
            <w:hideMark/>
          </w:tcPr>
          <w:p w14:paraId="7BBE9A63" w14:textId="77777777" w:rsidR="002E7E53" w:rsidRPr="00EF4191" w:rsidRDefault="002E7E53" w:rsidP="006F5124">
            <w:pPr>
              <w:spacing w:before="0" w:after="0"/>
              <w:rPr>
                <w:rFonts w:asciiTheme="majorHAnsi" w:hAnsiTheme="majorHAnsi" w:cstheme="majorHAnsi"/>
              </w:rPr>
            </w:pPr>
          </w:p>
        </w:tc>
      </w:tr>
      <w:tr w:rsidR="002E7E53" w:rsidRPr="00EF4191" w14:paraId="24927EE6" w14:textId="77777777" w:rsidTr="006F5124">
        <w:trPr>
          <w:trHeight w:val="567"/>
        </w:trPr>
        <w:tc>
          <w:tcPr>
            <w:tcW w:w="1980" w:type="dxa"/>
            <w:noWrap/>
            <w:hideMark/>
          </w:tcPr>
          <w:p w14:paraId="5A2AC3F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lastRenderedPageBreak/>
              <w:t>A411</w:t>
            </w:r>
          </w:p>
        </w:tc>
        <w:tc>
          <w:tcPr>
            <w:tcW w:w="4961" w:type="dxa"/>
            <w:noWrap/>
            <w:hideMark/>
          </w:tcPr>
          <w:p w14:paraId="35ABBE4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other specified Staphylococcus</w:t>
            </w:r>
          </w:p>
        </w:tc>
        <w:tc>
          <w:tcPr>
            <w:tcW w:w="2739" w:type="dxa"/>
            <w:noWrap/>
            <w:hideMark/>
          </w:tcPr>
          <w:p w14:paraId="18AF9FCF" w14:textId="77777777" w:rsidR="002E7E53" w:rsidRPr="00EF4191" w:rsidRDefault="002E7E53" w:rsidP="006F5124">
            <w:pPr>
              <w:spacing w:before="0" w:after="0"/>
              <w:rPr>
                <w:rFonts w:asciiTheme="majorHAnsi" w:hAnsiTheme="majorHAnsi" w:cstheme="majorHAnsi"/>
              </w:rPr>
            </w:pPr>
          </w:p>
        </w:tc>
      </w:tr>
      <w:tr w:rsidR="002E7E53" w:rsidRPr="00EF4191" w14:paraId="0CD20ECE"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31B07F6"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A412</w:t>
            </w:r>
          </w:p>
        </w:tc>
        <w:tc>
          <w:tcPr>
            <w:tcW w:w="4961" w:type="dxa"/>
            <w:noWrap/>
            <w:hideMark/>
          </w:tcPr>
          <w:p w14:paraId="5F0D2A0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unspecified Staphylococcus</w:t>
            </w:r>
          </w:p>
        </w:tc>
        <w:tc>
          <w:tcPr>
            <w:tcW w:w="2739" w:type="dxa"/>
            <w:noWrap/>
            <w:hideMark/>
          </w:tcPr>
          <w:p w14:paraId="171146B3" w14:textId="77777777" w:rsidR="002E7E53" w:rsidRPr="00EF4191" w:rsidRDefault="002E7E53" w:rsidP="006F5124">
            <w:pPr>
              <w:spacing w:before="0" w:after="0"/>
              <w:rPr>
                <w:rFonts w:asciiTheme="majorHAnsi" w:hAnsiTheme="majorHAnsi" w:cstheme="majorHAnsi"/>
              </w:rPr>
            </w:pPr>
          </w:p>
        </w:tc>
      </w:tr>
      <w:tr w:rsidR="002E7E53" w:rsidRPr="00EF4191" w14:paraId="10441D89" w14:textId="77777777" w:rsidTr="006F5124">
        <w:trPr>
          <w:trHeight w:val="567"/>
        </w:trPr>
        <w:tc>
          <w:tcPr>
            <w:tcW w:w="1980" w:type="dxa"/>
            <w:noWrap/>
            <w:hideMark/>
          </w:tcPr>
          <w:p w14:paraId="718EBD24"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A413</w:t>
            </w:r>
          </w:p>
        </w:tc>
        <w:tc>
          <w:tcPr>
            <w:tcW w:w="4961" w:type="dxa"/>
            <w:noWrap/>
            <w:hideMark/>
          </w:tcPr>
          <w:p w14:paraId="0BFAF2C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Haemophilus influenzae</w:t>
            </w:r>
          </w:p>
        </w:tc>
        <w:tc>
          <w:tcPr>
            <w:tcW w:w="2739" w:type="dxa"/>
            <w:noWrap/>
            <w:hideMark/>
          </w:tcPr>
          <w:p w14:paraId="3540C14B" w14:textId="77777777" w:rsidR="002E7E53" w:rsidRPr="00EF4191" w:rsidRDefault="002E7E53" w:rsidP="006F5124">
            <w:pPr>
              <w:spacing w:before="0" w:after="0"/>
              <w:rPr>
                <w:rFonts w:asciiTheme="majorHAnsi" w:hAnsiTheme="majorHAnsi" w:cstheme="majorHAnsi"/>
              </w:rPr>
            </w:pPr>
          </w:p>
        </w:tc>
      </w:tr>
      <w:tr w:rsidR="002E7E53" w:rsidRPr="00EF4191" w14:paraId="2B9A7498"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02DC89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A414</w:t>
            </w:r>
          </w:p>
        </w:tc>
        <w:tc>
          <w:tcPr>
            <w:tcW w:w="4961" w:type="dxa"/>
            <w:noWrap/>
            <w:hideMark/>
          </w:tcPr>
          <w:p w14:paraId="17752F0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anaerobes</w:t>
            </w:r>
          </w:p>
        </w:tc>
        <w:tc>
          <w:tcPr>
            <w:tcW w:w="2739" w:type="dxa"/>
            <w:noWrap/>
            <w:hideMark/>
          </w:tcPr>
          <w:p w14:paraId="059B2300" w14:textId="77777777" w:rsidR="002E7E53" w:rsidRPr="00EF4191" w:rsidRDefault="002E7E53" w:rsidP="006F5124">
            <w:pPr>
              <w:spacing w:before="0" w:after="0"/>
              <w:rPr>
                <w:rFonts w:asciiTheme="majorHAnsi" w:hAnsiTheme="majorHAnsi" w:cstheme="majorHAnsi"/>
              </w:rPr>
            </w:pPr>
          </w:p>
        </w:tc>
      </w:tr>
      <w:tr w:rsidR="002E7E53" w:rsidRPr="00EF4191" w14:paraId="554DE51D" w14:textId="77777777" w:rsidTr="006F5124">
        <w:trPr>
          <w:trHeight w:val="567"/>
        </w:trPr>
        <w:tc>
          <w:tcPr>
            <w:tcW w:w="1980" w:type="dxa"/>
            <w:noWrap/>
            <w:hideMark/>
          </w:tcPr>
          <w:p w14:paraId="5F77AA8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A415</w:t>
            </w:r>
          </w:p>
        </w:tc>
        <w:tc>
          <w:tcPr>
            <w:tcW w:w="4961" w:type="dxa"/>
            <w:noWrap/>
            <w:hideMark/>
          </w:tcPr>
          <w:p w14:paraId="0CD60FE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other and unspecified Gram-negative organisms</w:t>
            </w:r>
          </w:p>
        </w:tc>
        <w:tc>
          <w:tcPr>
            <w:tcW w:w="2739" w:type="dxa"/>
            <w:noWrap/>
            <w:hideMark/>
          </w:tcPr>
          <w:p w14:paraId="0B2CEB5C" w14:textId="77777777" w:rsidR="002E7E53" w:rsidRPr="00EF4191" w:rsidRDefault="002E7E53" w:rsidP="006F5124">
            <w:pPr>
              <w:spacing w:before="0" w:after="0"/>
              <w:rPr>
                <w:rFonts w:asciiTheme="majorHAnsi" w:hAnsiTheme="majorHAnsi" w:cstheme="majorHAnsi"/>
              </w:rPr>
            </w:pPr>
          </w:p>
        </w:tc>
      </w:tr>
      <w:tr w:rsidR="002E7E53" w:rsidRPr="00EF4191" w14:paraId="4765D9DC"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85B685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A4150</w:t>
            </w:r>
          </w:p>
        </w:tc>
        <w:tc>
          <w:tcPr>
            <w:tcW w:w="4961" w:type="dxa"/>
            <w:noWrap/>
            <w:hideMark/>
          </w:tcPr>
          <w:p w14:paraId="55BDE30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unspecified Gram-negative organisms</w:t>
            </w:r>
          </w:p>
        </w:tc>
        <w:tc>
          <w:tcPr>
            <w:tcW w:w="2739" w:type="dxa"/>
            <w:noWrap/>
            <w:hideMark/>
          </w:tcPr>
          <w:p w14:paraId="70BAC008" w14:textId="77777777" w:rsidR="002E7E53" w:rsidRPr="00EF4191" w:rsidRDefault="002E7E53" w:rsidP="006F5124">
            <w:pPr>
              <w:spacing w:before="0" w:after="0"/>
              <w:rPr>
                <w:rFonts w:asciiTheme="majorHAnsi" w:hAnsiTheme="majorHAnsi" w:cstheme="majorHAnsi"/>
              </w:rPr>
            </w:pPr>
          </w:p>
        </w:tc>
      </w:tr>
      <w:tr w:rsidR="002E7E53" w:rsidRPr="00EF4191" w14:paraId="4DBD29B0" w14:textId="77777777" w:rsidTr="006F5124">
        <w:trPr>
          <w:trHeight w:val="567"/>
        </w:trPr>
        <w:tc>
          <w:tcPr>
            <w:tcW w:w="1980" w:type="dxa"/>
            <w:noWrap/>
            <w:hideMark/>
          </w:tcPr>
          <w:p w14:paraId="29639694"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A4151</w:t>
            </w:r>
          </w:p>
        </w:tc>
        <w:tc>
          <w:tcPr>
            <w:tcW w:w="4961" w:type="dxa"/>
            <w:noWrap/>
            <w:hideMark/>
          </w:tcPr>
          <w:p w14:paraId="6C94747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Escherichia coli [E. Coli]</w:t>
            </w:r>
          </w:p>
        </w:tc>
        <w:tc>
          <w:tcPr>
            <w:tcW w:w="2739" w:type="dxa"/>
            <w:noWrap/>
            <w:hideMark/>
          </w:tcPr>
          <w:p w14:paraId="16441A99" w14:textId="77777777" w:rsidR="002E7E53" w:rsidRPr="00EF4191" w:rsidRDefault="002E7E53" w:rsidP="006F5124">
            <w:pPr>
              <w:spacing w:before="0" w:after="0"/>
              <w:rPr>
                <w:rFonts w:asciiTheme="majorHAnsi" w:hAnsiTheme="majorHAnsi" w:cstheme="majorHAnsi"/>
              </w:rPr>
            </w:pPr>
          </w:p>
        </w:tc>
      </w:tr>
      <w:tr w:rsidR="002E7E53" w:rsidRPr="00EF4191" w14:paraId="4D7CD840"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6CF5111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A4152</w:t>
            </w:r>
          </w:p>
        </w:tc>
        <w:tc>
          <w:tcPr>
            <w:tcW w:w="4961" w:type="dxa"/>
            <w:noWrap/>
            <w:hideMark/>
          </w:tcPr>
          <w:p w14:paraId="109C81A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Pseudomonas</w:t>
            </w:r>
          </w:p>
        </w:tc>
        <w:tc>
          <w:tcPr>
            <w:tcW w:w="2739" w:type="dxa"/>
            <w:noWrap/>
            <w:hideMark/>
          </w:tcPr>
          <w:p w14:paraId="5F25F034" w14:textId="77777777" w:rsidR="002E7E53" w:rsidRPr="00EF4191" w:rsidRDefault="002E7E53" w:rsidP="006F5124">
            <w:pPr>
              <w:spacing w:before="0" w:after="0"/>
              <w:rPr>
                <w:rFonts w:asciiTheme="majorHAnsi" w:hAnsiTheme="majorHAnsi" w:cstheme="majorHAnsi"/>
              </w:rPr>
            </w:pPr>
          </w:p>
        </w:tc>
      </w:tr>
      <w:tr w:rsidR="002E7E53" w:rsidRPr="00EF4191" w14:paraId="513CC2C8" w14:textId="77777777" w:rsidTr="006F5124">
        <w:trPr>
          <w:trHeight w:val="567"/>
        </w:trPr>
        <w:tc>
          <w:tcPr>
            <w:tcW w:w="1980" w:type="dxa"/>
            <w:noWrap/>
            <w:hideMark/>
          </w:tcPr>
          <w:p w14:paraId="4980F58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A4158</w:t>
            </w:r>
          </w:p>
        </w:tc>
        <w:tc>
          <w:tcPr>
            <w:tcW w:w="4961" w:type="dxa"/>
            <w:noWrap/>
            <w:hideMark/>
          </w:tcPr>
          <w:p w14:paraId="7358138E"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other Gram-negative organisms</w:t>
            </w:r>
          </w:p>
        </w:tc>
        <w:tc>
          <w:tcPr>
            <w:tcW w:w="2739" w:type="dxa"/>
            <w:noWrap/>
            <w:hideMark/>
          </w:tcPr>
          <w:p w14:paraId="14F334C9" w14:textId="77777777" w:rsidR="002E7E53" w:rsidRPr="00EF4191" w:rsidRDefault="002E7E53" w:rsidP="006F5124">
            <w:pPr>
              <w:spacing w:before="0" w:after="0"/>
              <w:rPr>
                <w:rFonts w:asciiTheme="majorHAnsi" w:hAnsiTheme="majorHAnsi" w:cstheme="majorHAnsi"/>
              </w:rPr>
            </w:pPr>
          </w:p>
        </w:tc>
      </w:tr>
      <w:tr w:rsidR="002E7E53" w:rsidRPr="00EF4191" w14:paraId="16BC5DE6"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309629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A418</w:t>
            </w:r>
          </w:p>
        </w:tc>
        <w:tc>
          <w:tcPr>
            <w:tcW w:w="4961" w:type="dxa"/>
            <w:noWrap/>
            <w:hideMark/>
          </w:tcPr>
          <w:p w14:paraId="3A186FA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other specified organism</w:t>
            </w:r>
          </w:p>
        </w:tc>
        <w:tc>
          <w:tcPr>
            <w:tcW w:w="2739" w:type="dxa"/>
            <w:noWrap/>
            <w:hideMark/>
          </w:tcPr>
          <w:p w14:paraId="56806555" w14:textId="77777777" w:rsidR="002E7E53" w:rsidRPr="00EF4191" w:rsidRDefault="002E7E53" w:rsidP="006F5124">
            <w:pPr>
              <w:spacing w:before="0" w:after="0"/>
              <w:rPr>
                <w:rFonts w:asciiTheme="majorHAnsi" w:hAnsiTheme="majorHAnsi" w:cstheme="majorHAnsi"/>
              </w:rPr>
            </w:pPr>
          </w:p>
        </w:tc>
      </w:tr>
      <w:tr w:rsidR="002E7E53" w:rsidRPr="00EF4191" w14:paraId="2DDEE924" w14:textId="77777777" w:rsidTr="006F5124">
        <w:trPr>
          <w:trHeight w:val="567"/>
        </w:trPr>
        <w:tc>
          <w:tcPr>
            <w:tcW w:w="1980" w:type="dxa"/>
            <w:noWrap/>
            <w:hideMark/>
          </w:tcPr>
          <w:p w14:paraId="536B093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A419</w:t>
            </w:r>
          </w:p>
        </w:tc>
        <w:tc>
          <w:tcPr>
            <w:tcW w:w="4961" w:type="dxa"/>
            <w:noWrap/>
            <w:hideMark/>
          </w:tcPr>
          <w:p w14:paraId="4C4E23F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unspecified</w:t>
            </w:r>
          </w:p>
        </w:tc>
        <w:tc>
          <w:tcPr>
            <w:tcW w:w="2739" w:type="dxa"/>
            <w:noWrap/>
            <w:hideMark/>
          </w:tcPr>
          <w:p w14:paraId="6CC71E36" w14:textId="77777777" w:rsidR="002E7E53" w:rsidRPr="00EF4191" w:rsidRDefault="002E7E53" w:rsidP="006F5124">
            <w:pPr>
              <w:spacing w:before="0" w:after="0"/>
              <w:rPr>
                <w:rFonts w:asciiTheme="majorHAnsi" w:hAnsiTheme="majorHAnsi" w:cstheme="majorHAnsi"/>
              </w:rPr>
            </w:pPr>
          </w:p>
        </w:tc>
      </w:tr>
      <w:tr w:rsidR="002E7E53" w:rsidRPr="00EF4191" w14:paraId="7CA52380"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5BA2D6B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A427</w:t>
            </w:r>
          </w:p>
        </w:tc>
        <w:tc>
          <w:tcPr>
            <w:tcW w:w="4961" w:type="dxa"/>
            <w:noWrap/>
            <w:hideMark/>
          </w:tcPr>
          <w:p w14:paraId="111496C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actinomycosis</w:t>
            </w:r>
          </w:p>
        </w:tc>
        <w:tc>
          <w:tcPr>
            <w:tcW w:w="2739" w:type="dxa"/>
            <w:noWrap/>
            <w:hideMark/>
          </w:tcPr>
          <w:p w14:paraId="5DEA32A1" w14:textId="77777777" w:rsidR="002E7E53" w:rsidRPr="00EF4191" w:rsidRDefault="002E7E53" w:rsidP="006F5124">
            <w:pPr>
              <w:spacing w:before="0" w:after="0"/>
              <w:rPr>
                <w:rFonts w:asciiTheme="majorHAnsi" w:hAnsiTheme="majorHAnsi" w:cstheme="majorHAnsi"/>
              </w:rPr>
            </w:pPr>
          </w:p>
        </w:tc>
      </w:tr>
      <w:tr w:rsidR="002E7E53" w:rsidRPr="00EF4191" w14:paraId="0EA1EC1C" w14:textId="77777777" w:rsidTr="006F5124">
        <w:trPr>
          <w:trHeight w:val="567"/>
        </w:trPr>
        <w:tc>
          <w:tcPr>
            <w:tcW w:w="1980" w:type="dxa"/>
            <w:noWrap/>
            <w:hideMark/>
          </w:tcPr>
          <w:p w14:paraId="664FDD9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A547</w:t>
            </w:r>
          </w:p>
        </w:tc>
        <w:tc>
          <w:tcPr>
            <w:tcW w:w="4961" w:type="dxa"/>
            <w:noWrap/>
            <w:hideMark/>
          </w:tcPr>
          <w:p w14:paraId="20F58A1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Gonococcus</w:t>
            </w:r>
          </w:p>
        </w:tc>
        <w:tc>
          <w:tcPr>
            <w:tcW w:w="2739" w:type="dxa"/>
            <w:noWrap/>
            <w:hideMark/>
          </w:tcPr>
          <w:p w14:paraId="06BFFEE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64DB3D80"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74EBB700"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B007</w:t>
            </w:r>
          </w:p>
        </w:tc>
        <w:tc>
          <w:tcPr>
            <w:tcW w:w="4961" w:type="dxa"/>
            <w:noWrap/>
            <w:hideMark/>
          </w:tcPr>
          <w:p w14:paraId="11D86A1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Disseminated herpesviral disease</w:t>
            </w:r>
          </w:p>
        </w:tc>
        <w:tc>
          <w:tcPr>
            <w:tcW w:w="2739" w:type="dxa"/>
            <w:noWrap/>
            <w:hideMark/>
          </w:tcPr>
          <w:p w14:paraId="366BE920" w14:textId="77777777" w:rsidR="002E7E53" w:rsidRPr="00EF4191" w:rsidRDefault="002E7E53" w:rsidP="006F5124">
            <w:pPr>
              <w:spacing w:before="0" w:after="0"/>
              <w:rPr>
                <w:rFonts w:asciiTheme="majorHAnsi" w:hAnsiTheme="majorHAnsi" w:cstheme="majorHAnsi"/>
              </w:rPr>
            </w:pPr>
          </w:p>
        </w:tc>
      </w:tr>
      <w:tr w:rsidR="002E7E53" w:rsidRPr="00EF4191" w14:paraId="6A007003" w14:textId="77777777" w:rsidTr="006F5124">
        <w:trPr>
          <w:trHeight w:val="567"/>
        </w:trPr>
        <w:tc>
          <w:tcPr>
            <w:tcW w:w="1980" w:type="dxa"/>
            <w:noWrap/>
            <w:hideMark/>
          </w:tcPr>
          <w:p w14:paraId="49D33F4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B0071</w:t>
            </w:r>
          </w:p>
        </w:tc>
        <w:tc>
          <w:tcPr>
            <w:tcW w:w="4961" w:type="dxa"/>
            <w:noWrap/>
            <w:hideMark/>
          </w:tcPr>
          <w:p w14:paraId="482F503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herpesviral [herpes simplex] infection</w:t>
            </w:r>
          </w:p>
        </w:tc>
        <w:tc>
          <w:tcPr>
            <w:tcW w:w="2739" w:type="dxa"/>
            <w:noWrap/>
            <w:hideMark/>
          </w:tcPr>
          <w:p w14:paraId="5A2574D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3860B63E"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DD6125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B377</w:t>
            </w:r>
          </w:p>
        </w:tc>
        <w:tc>
          <w:tcPr>
            <w:tcW w:w="4961" w:type="dxa"/>
            <w:noWrap/>
            <w:hideMark/>
          </w:tcPr>
          <w:p w14:paraId="088B2326"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due to Candida</w:t>
            </w:r>
          </w:p>
        </w:tc>
        <w:tc>
          <w:tcPr>
            <w:tcW w:w="2739" w:type="dxa"/>
            <w:noWrap/>
            <w:hideMark/>
          </w:tcPr>
          <w:p w14:paraId="5CD02678" w14:textId="77777777" w:rsidR="002E7E53" w:rsidRPr="00EF4191" w:rsidRDefault="002E7E53" w:rsidP="006F5124">
            <w:pPr>
              <w:spacing w:before="0" w:after="0"/>
              <w:rPr>
                <w:rFonts w:asciiTheme="majorHAnsi" w:hAnsiTheme="majorHAnsi" w:cstheme="majorHAnsi"/>
              </w:rPr>
            </w:pPr>
          </w:p>
        </w:tc>
      </w:tr>
      <w:tr w:rsidR="002E7E53" w:rsidRPr="00EF4191" w14:paraId="160E8EF1" w14:textId="77777777" w:rsidTr="006F5124">
        <w:trPr>
          <w:trHeight w:val="567"/>
        </w:trPr>
        <w:tc>
          <w:tcPr>
            <w:tcW w:w="1980" w:type="dxa"/>
            <w:noWrap/>
            <w:hideMark/>
          </w:tcPr>
          <w:p w14:paraId="713C2A8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O85</w:t>
            </w:r>
          </w:p>
        </w:tc>
        <w:tc>
          <w:tcPr>
            <w:tcW w:w="4961" w:type="dxa"/>
            <w:noWrap/>
            <w:hideMark/>
          </w:tcPr>
          <w:p w14:paraId="2C38A496"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Puerperal sepsis</w:t>
            </w:r>
          </w:p>
        </w:tc>
        <w:tc>
          <w:tcPr>
            <w:tcW w:w="2739" w:type="dxa"/>
            <w:noWrap/>
            <w:hideMark/>
          </w:tcPr>
          <w:p w14:paraId="140EC7AA" w14:textId="77777777" w:rsidR="002E7E53" w:rsidRPr="00EF4191" w:rsidRDefault="002E7E53" w:rsidP="006F5124">
            <w:pPr>
              <w:spacing w:before="0" w:after="0"/>
              <w:rPr>
                <w:rFonts w:asciiTheme="majorHAnsi" w:hAnsiTheme="majorHAnsi" w:cstheme="majorHAnsi"/>
              </w:rPr>
            </w:pPr>
          </w:p>
        </w:tc>
      </w:tr>
      <w:tr w:rsidR="002E7E53" w:rsidRPr="00EF4191" w14:paraId="1263847E"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478E604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w:t>
            </w:r>
          </w:p>
        </w:tc>
        <w:tc>
          <w:tcPr>
            <w:tcW w:w="4961" w:type="dxa"/>
            <w:noWrap/>
            <w:hideMark/>
          </w:tcPr>
          <w:p w14:paraId="3C1094D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w:t>
            </w:r>
          </w:p>
        </w:tc>
        <w:tc>
          <w:tcPr>
            <w:tcW w:w="2739" w:type="dxa"/>
            <w:noWrap/>
            <w:hideMark/>
          </w:tcPr>
          <w:p w14:paraId="632B6235"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12</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6966FEE6" w14:textId="77777777" w:rsidTr="006F5124">
        <w:trPr>
          <w:trHeight w:val="567"/>
        </w:trPr>
        <w:tc>
          <w:tcPr>
            <w:tcW w:w="1980" w:type="dxa"/>
            <w:noWrap/>
            <w:hideMark/>
          </w:tcPr>
          <w:p w14:paraId="0EDE8535"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P360</w:t>
            </w:r>
          </w:p>
        </w:tc>
        <w:tc>
          <w:tcPr>
            <w:tcW w:w="4961" w:type="dxa"/>
            <w:noWrap/>
            <w:hideMark/>
          </w:tcPr>
          <w:p w14:paraId="09A8F4E9"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 due to streptococcus, group B</w:t>
            </w:r>
          </w:p>
        </w:tc>
        <w:tc>
          <w:tcPr>
            <w:tcW w:w="2739" w:type="dxa"/>
            <w:noWrap/>
            <w:hideMark/>
          </w:tcPr>
          <w:p w14:paraId="31C83A0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493DB5CF"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2F4DAE06"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P361</w:t>
            </w:r>
          </w:p>
        </w:tc>
        <w:tc>
          <w:tcPr>
            <w:tcW w:w="4961" w:type="dxa"/>
            <w:noWrap/>
            <w:hideMark/>
          </w:tcPr>
          <w:p w14:paraId="5219E84E"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 due to other and unspecified streptococci</w:t>
            </w:r>
          </w:p>
        </w:tc>
        <w:tc>
          <w:tcPr>
            <w:tcW w:w="2739" w:type="dxa"/>
            <w:noWrap/>
            <w:hideMark/>
          </w:tcPr>
          <w:p w14:paraId="46F1E72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1903C279" w14:textId="77777777" w:rsidTr="006F5124">
        <w:trPr>
          <w:trHeight w:val="567"/>
        </w:trPr>
        <w:tc>
          <w:tcPr>
            <w:tcW w:w="1980" w:type="dxa"/>
            <w:noWrap/>
            <w:hideMark/>
          </w:tcPr>
          <w:p w14:paraId="5F749C9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P362</w:t>
            </w:r>
          </w:p>
        </w:tc>
        <w:tc>
          <w:tcPr>
            <w:tcW w:w="4961" w:type="dxa"/>
            <w:noWrap/>
            <w:hideMark/>
          </w:tcPr>
          <w:p w14:paraId="17A8374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 due to Staphylococcus aureus</w:t>
            </w:r>
          </w:p>
        </w:tc>
        <w:tc>
          <w:tcPr>
            <w:tcW w:w="2739" w:type="dxa"/>
            <w:noWrap/>
            <w:hideMark/>
          </w:tcPr>
          <w:p w14:paraId="2B5C8FC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4E1351C3"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404849E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P363</w:t>
            </w:r>
          </w:p>
        </w:tc>
        <w:tc>
          <w:tcPr>
            <w:tcW w:w="4961" w:type="dxa"/>
            <w:noWrap/>
            <w:hideMark/>
          </w:tcPr>
          <w:p w14:paraId="3047709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 due to other and unspecified staphylococci</w:t>
            </w:r>
          </w:p>
        </w:tc>
        <w:tc>
          <w:tcPr>
            <w:tcW w:w="2739" w:type="dxa"/>
            <w:noWrap/>
            <w:hideMark/>
          </w:tcPr>
          <w:p w14:paraId="3FB6421E"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3C59F634" w14:textId="77777777" w:rsidTr="006F5124">
        <w:trPr>
          <w:trHeight w:val="567"/>
        </w:trPr>
        <w:tc>
          <w:tcPr>
            <w:tcW w:w="1980" w:type="dxa"/>
            <w:noWrap/>
            <w:hideMark/>
          </w:tcPr>
          <w:p w14:paraId="56349003"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P364</w:t>
            </w:r>
          </w:p>
        </w:tc>
        <w:tc>
          <w:tcPr>
            <w:tcW w:w="4961" w:type="dxa"/>
            <w:noWrap/>
            <w:hideMark/>
          </w:tcPr>
          <w:p w14:paraId="3985ABB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 due to Escherichia coli</w:t>
            </w:r>
          </w:p>
        </w:tc>
        <w:tc>
          <w:tcPr>
            <w:tcW w:w="2739" w:type="dxa"/>
            <w:noWrap/>
            <w:hideMark/>
          </w:tcPr>
          <w:p w14:paraId="58186EA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3FFE99EB"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6246F43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P365</w:t>
            </w:r>
          </w:p>
        </w:tc>
        <w:tc>
          <w:tcPr>
            <w:tcW w:w="4961" w:type="dxa"/>
            <w:noWrap/>
            <w:hideMark/>
          </w:tcPr>
          <w:p w14:paraId="5712EAB2"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of newborn due to anaerobes</w:t>
            </w:r>
          </w:p>
        </w:tc>
        <w:tc>
          <w:tcPr>
            <w:tcW w:w="2739" w:type="dxa"/>
            <w:noWrap/>
            <w:hideMark/>
          </w:tcPr>
          <w:p w14:paraId="0BC281E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423A10BD" w14:textId="77777777" w:rsidTr="006F5124">
        <w:trPr>
          <w:trHeight w:val="567"/>
        </w:trPr>
        <w:tc>
          <w:tcPr>
            <w:tcW w:w="1980" w:type="dxa"/>
            <w:noWrap/>
            <w:hideMark/>
          </w:tcPr>
          <w:p w14:paraId="256390C8"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lastRenderedPageBreak/>
              <w:t>P368</w:t>
            </w:r>
          </w:p>
        </w:tc>
        <w:tc>
          <w:tcPr>
            <w:tcW w:w="4961" w:type="dxa"/>
            <w:noWrap/>
            <w:hideMark/>
          </w:tcPr>
          <w:p w14:paraId="77B61C46"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Other bacterial sepsis of newborn</w:t>
            </w:r>
          </w:p>
        </w:tc>
        <w:tc>
          <w:tcPr>
            <w:tcW w:w="2739" w:type="dxa"/>
            <w:noWrap/>
            <w:hideMark/>
          </w:tcPr>
          <w:p w14:paraId="20679E8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17852133"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48A0FF1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P369</w:t>
            </w:r>
          </w:p>
        </w:tc>
        <w:tc>
          <w:tcPr>
            <w:tcW w:w="4961" w:type="dxa"/>
            <w:noWrap/>
            <w:hideMark/>
          </w:tcPr>
          <w:p w14:paraId="636827A5"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Bacterial sepsis of newborn, unspecified</w:t>
            </w:r>
          </w:p>
        </w:tc>
        <w:tc>
          <w:tcPr>
            <w:tcW w:w="2739" w:type="dxa"/>
            <w:noWrap/>
            <w:hideMark/>
          </w:tcPr>
          <w:p w14:paraId="2DC5C78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to 11</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r w:rsidR="002E7E53" w:rsidRPr="00EF4191" w14:paraId="00350838" w14:textId="77777777" w:rsidTr="006F5124">
        <w:trPr>
          <w:trHeight w:val="567"/>
        </w:trPr>
        <w:tc>
          <w:tcPr>
            <w:tcW w:w="1980" w:type="dxa"/>
            <w:noWrap/>
            <w:hideMark/>
          </w:tcPr>
          <w:p w14:paraId="6957651C"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R572</w:t>
            </w:r>
          </w:p>
        </w:tc>
        <w:tc>
          <w:tcPr>
            <w:tcW w:w="4961" w:type="dxa"/>
            <w:noWrap/>
            <w:hideMark/>
          </w:tcPr>
          <w:p w14:paraId="58CEDD3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Septic shock</w:t>
            </w:r>
          </w:p>
        </w:tc>
        <w:tc>
          <w:tcPr>
            <w:tcW w:w="2739" w:type="dxa"/>
            <w:noWrap/>
            <w:hideMark/>
          </w:tcPr>
          <w:p w14:paraId="1309F628" w14:textId="77777777" w:rsidR="002E7E53" w:rsidRPr="00EF4191" w:rsidRDefault="002E7E53" w:rsidP="006F5124">
            <w:pPr>
              <w:spacing w:before="0" w:after="0"/>
              <w:rPr>
                <w:rFonts w:asciiTheme="majorHAnsi" w:hAnsiTheme="majorHAnsi" w:cstheme="majorHAnsi"/>
              </w:rPr>
            </w:pPr>
          </w:p>
        </w:tc>
      </w:tr>
      <w:tr w:rsidR="002E7E53" w:rsidRPr="00EF4191" w14:paraId="2726DF2D" w14:textId="77777777" w:rsidTr="006F5124">
        <w:trPr>
          <w:cnfStyle w:val="000000010000" w:firstRow="0" w:lastRow="0" w:firstColumn="0" w:lastColumn="0" w:oddVBand="0" w:evenVBand="0" w:oddHBand="0" w:evenHBand="1" w:firstRowFirstColumn="0" w:firstRowLastColumn="0" w:lastRowFirstColumn="0" w:lastRowLastColumn="0"/>
          <w:trHeight w:val="567"/>
        </w:trPr>
        <w:tc>
          <w:tcPr>
            <w:tcW w:w="1980" w:type="dxa"/>
            <w:noWrap/>
            <w:hideMark/>
          </w:tcPr>
          <w:p w14:paraId="0D88FBDA"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R651</w:t>
            </w:r>
          </w:p>
        </w:tc>
        <w:tc>
          <w:tcPr>
            <w:tcW w:w="4961" w:type="dxa"/>
            <w:noWrap/>
            <w:hideMark/>
          </w:tcPr>
          <w:p w14:paraId="5B3293D1"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Severe sepsis</w:t>
            </w:r>
          </w:p>
        </w:tc>
        <w:tc>
          <w:tcPr>
            <w:tcW w:w="2739" w:type="dxa"/>
            <w:noWrap/>
            <w:hideMark/>
          </w:tcPr>
          <w:p w14:paraId="3E5D94EB" w14:textId="77777777" w:rsidR="002E7E53" w:rsidRPr="00EF4191" w:rsidRDefault="002E7E53" w:rsidP="006F5124">
            <w:pPr>
              <w:spacing w:before="0" w:after="0"/>
              <w:rPr>
                <w:rFonts w:asciiTheme="majorHAnsi" w:hAnsiTheme="majorHAnsi" w:cstheme="majorHAnsi"/>
              </w:rPr>
            </w:pPr>
          </w:p>
        </w:tc>
      </w:tr>
      <w:tr w:rsidR="002E7E53" w:rsidRPr="00EF4191" w14:paraId="7A20FDDB" w14:textId="77777777" w:rsidTr="006F5124">
        <w:trPr>
          <w:trHeight w:val="567"/>
        </w:trPr>
        <w:tc>
          <w:tcPr>
            <w:tcW w:w="1980" w:type="dxa"/>
            <w:noWrap/>
            <w:hideMark/>
          </w:tcPr>
          <w:p w14:paraId="194C9917"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T8142</w:t>
            </w:r>
          </w:p>
        </w:tc>
        <w:tc>
          <w:tcPr>
            <w:tcW w:w="4961" w:type="dxa"/>
            <w:noWrap/>
            <w:hideMark/>
          </w:tcPr>
          <w:p w14:paraId="2A99D5BB"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Sepsis following a procedure</w:t>
            </w:r>
          </w:p>
        </w:tc>
        <w:tc>
          <w:tcPr>
            <w:tcW w:w="2739" w:type="dxa"/>
            <w:noWrap/>
            <w:hideMark/>
          </w:tcPr>
          <w:p w14:paraId="6AA9409F" w14:textId="77777777" w:rsidR="002E7E53" w:rsidRPr="00EF4191" w:rsidRDefault="002E7E53" w:rsidP="006F5124">
            <w:pPr>
              <w:spacing w:before="0" w:after="0"/>
              <w:rPr>
                <w:rFonts w:asciiTheme="majorHAnsi" w:hAnsiTheme="majorHAnsi" w:cstheme="majorHAnsi"/>
              </w:rPr>
            </w:pPr>
            <w:r w:rsidRPr="00EF4191">
              <w:rPr>
                <w:rFonts w:asciiTheme="majorHAnsi" w:hAnsiTheme="majorHAnsi" w:cstheme="majorHAnsi"/>
              </w:rPr>
              <w:t>8</w:t>
            </w:r>
            <w:r w:rsidRPr="00EF4191">
              <w:rPr>
                <w:rFonts w:asciiTheme="majorHAnsi" w:hAnsiTheme="majorHAnsi" w:cstheme="majorHAnsi"/>
                <w:vertAlign w:val="superscript"/>
              </w:rPr>
              <w:t>th</w:t>
            </w:r>
            <w:r w:rsidRPr="00EF4191">
              <w:rPr>
                <w:rFonts w:asciiTheme="majorHAnsi" w:hAnsiTheme="majorHAnsi" w:cstheme="majorHAnsi"/>
              </w:rPr>
              <w:t xml:space="preserve"> only</w:t>
            </w:r>
          </w:p>
        </w:tc>
      </w:tr>
    </w:tbl>
    <w:p w14:paraId="5EB7C28D" w14:textId="77777777" w:rsidR="002E7E53" w:rsidRDefault="002E7E53" w:rsidP="002E7E53">
      <w:pPr>
        <w:ind w:left="-284" w:hanging="142"/>
      </w:pPr>
    </w:p>
    <w:p w14:paraId="5F9D2A5E" w14:textId="77777777" w:rsidR="0055060F" w:rsidRDefault="0055060F" w:rsidP="008254F9"/>
    <w:p w14:paraId="024E8433" w14:textId="77777777" w:rsidR="002E7E53" w:rsidRDefault="002E7E53" w:rsidP="008254F9"/>
    <w:p w14:paraId="3B6F1EF5" w14:textId="77777777" w:rsidR="002E7E53" w:rsidRDefault="002E7E53" w:rsidP="008254F9"/>
    <w:p w14:paraId="6D6608F7" w14:textId="77777777" w:rsidR="002E7E53" w:rsidRDefault="002E7E53" w:rsidP="008254F9"/>
    <w:p w14:paraId="180BD602" w14:textId="77777777" w:rsidR="002E7E53" w:rsidRDefault="002E7E53" w:rsidP="008254F9"/>
    <w:p w14:paraId="25EB58FF" w14:textId="77777777" w:rsidR="002E7E53" w:rsidRDefault="002E7E53" w:rsidP="008254F9"/>
    <w:p w14:paraId="3945C19F" w14:textId="77777777" w:rsidR="002E7E53" w:rsidRDefault="002E7E53" w:rsidP="008254F9"/>
    <w:p w14:paraId="5E7A9238" w14:textId="77777777" w:rsidR="002E7E53" w:rsidRDefault="002E7E53" w:rsidP="008254F9"/>
    <w:p w14:paraId="379ACFFB" w14:textId="77777777" w:rsidR="002E7E53" w:rsidRDefault="002E7E53" w:rsidP="008254F9"/>
    <w:p w14:paraId="5F582F3F" w14:textId="77777777" w:rsidR="002E7E53" w:rsidRDefault="002E7E53" w:rsidP="008254F9"/>
    <w:p w14:paraId="4A35EE58" w14:textId="77777777" w:rsidR="002E7E53" w:rsidRDefault="002E7E53" w:rsidP="008254F9"/>
    <w:p w14:paraId="78A032E2" w14:textId="77777777" w:rsidR="002E7E53" w:rsidRDefault="002E7E53" w:rsidP="008254F9"/>
    <w:p w14:paraId="39D85DAB" w14:textId="77777777" w:rsidR="002E7E53" w:rsidRDefault="002E7E53" w:rsidP="008254F9"/>
    <w:p w14:paraId="37D9D27B" w14:textId="77777777" w:rsidR="002E7E53" w:rsidRDefault="002E7E53" w:rsidP="008254F9"/>
    <w:p w14:paraId="7143DB9A" w14:textId="77777777" w:rsidR="002E7E53" w:rsidRDefault="002E7E53" w:rsidP="008254F9"/>
    <w:p w14:paraId="3A4786BA" w14:textId="77777777" w:rsidR="002E7E53" w:rsidRDefault="002E7E53" w:rsidP="008254F9"/>
    <w:p w14:paraId="0E5A19FC" w14:textId="77777777" w:rsidR="002E7E53" w:rsidRDefault="002E7E53" w:rsidP="008254F9"/>
    <w:p w14:paraId="69FD76D3" w14:textId="77777777" w:rsidR="002E7E53" w:rsidRDefault="002E7E53" w:rsidP="008254F9"/>
    <w:p w14:paraId="78DA730D" w14:textId="77777777" w:rsidR="002E7E53" w:rsidRDefault="002E7E53" w:rsidP="008254F9"/>
    <w:p w14:paraId="1D7CFBB7" w14:textId="77777777" w:rsidR="002E7E53" w:rsidRDefault="002E7E53" w:rsidP="008254F9"/>
    <w:p w14:paraId="1F2ADA8A" w14:textId="77777777" w:rsidR="002E7E53" w:rsidRDefault="002E7E53" w:rsidP="008254F9"/>
    <w:p w14:paraId="2F6C34E0" w14:textId="77777777" w:rsidR="002E7E53" w:rsidRDefault="002E7E53" w:rsidP="008254F9"/>
    <w:p w14:paraId="476C56D4" w14:textId="77777777" w:rsidR="002E7E53" w:rsidRDefault="002E7E53" w:rsidP="008254F9"/>
    <w:p w14:paraId="51EEE00B" w14:textId="77777777" w:rsidR="002E7E53" w:rsidRDefault="002E7E53" w:rsidP="008254F9"/>
    <w:p w14:paraId="65F3E984" w14:textId="77777777" w:rsidR="002E7E53" w:rsidRDefault="002E7E53" w:rsidP="008254F9"/>
    <w:p w14:paraId="47B445EA" w14:textId="77777777" w:rsidR="002E7E53" w:rsidRDefault="002E7E53" w:rsidP="008254F9"/>
    <w:p w14:paraId="75DB105D" w14:textId="77777777" w:rsidR="002E7E53" w:rsidRDefault="002E7E53" w:rsidP="008254F9"/>
    <w:p w14:paraId="27565DE2" w14:textId="77777777" w:rsidR="002E7E53" w:rsidRDefault="002E7E53" w:rsidP="008254F9"/>
    <w:p w14:paraId="70D16ADA" w14:textId="4CE3C1F4" w:rsidR="00B0136D" w:rsidRPr="00FD3C00" w:rsidRDefault="00B46DAE" w:rsidP="007C0EA9">
      <w:pPr>
        <w:pStyle w:val="Heading2"/>
      </w:pPr>
      <w:bookmarkStart w:id="131" w:name="_Appendix_B:_Maternal"/>
      <w:bookmarkStart w:id="132" w:name="_Toc187313308"/>
      <w:bookmarkStart w:id="133" w:name="_Toc203549638"/>
      <w:bookmarkStart w:id="134" w:name="_Toc206495301"/>
      <w:bookmarkEnd w:id="131"/>
      <w:r w:rsidRPr="00B46DAE">
        <w:lastRenderedPageBreak/>
        <w:t>Appendix B: Maternal codes</w:t>
      </w:r>
      <w:bookmarkEnd w:id="132"/>
      <w:bookmarkEnd w:id="133"/>
      <w:bookmarkEnd w:id="134"/>
    </w:p>
    <w:tbl>
      <w:tblPr>
        <w:tblStyle w:val="SQHTable"/>
        <w:tblW w:w="892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088"/>
      </w:tblGrid>
      <w:tr w:rsidR="00B46DAE" w:rsidRPr="00B46DAE" w14:paraId="20164DB7" w14:textId="77777777" w:rsidTr="006F5124">
        <w:trPr>
          <w:cnfStyle w:val="100000000000" w:firstRow="1" w:lastRow="0" w:firstColumn="0" w:lastColumn="0" w:oddVBand="0" w:evenVBand="0" w:oddHBand="0" w:evenHBand="0" w:firstRowFirstColumn="0" w:firstRowLastColumn="0" w:lastRowFirstColumn="0" w:lastRowLastColumn="0"/>
          <w:trHeight w:val="20"/>
        </w:trPr>
        <w:tc>
          <w:tcPr>
            <w:tcW w:w="1838" w:type="dxa"/>
            <w:noWrap/>
            <w:hideMark/>
          </w:tcPr>
          <w:p w14:paraId="1ECCA9F2" w14:textId="77777777" w:rsidR="00B46DAE" w:rsidRPr="00B46DAE" w:rsidRDefault="00B46DAE" w:rsidP="00B46DAE">
            <w:pPr>
              <w:spacing w:before="0" w:after="0"/>
              <w:rPr>
                <w:rFonts w:ascii="Arial" w:hAnsi="Arial" w:cs="Arial"/>
                <w:b w:val="0"/>
                <w:bCs/>
              </w:rPr>
            </w:pPr>
            <w:r w:rsidRPr="00B46DAE">
              <w:rPr>
                <w:rFonts w:ascii="Arial" w:hAnsi="Arial" w:cs="Arial"/>
                <w:bCs/>
              </w:rPr>
              <w:t>ICD-10-AM</w:t>
            </w:r>
          </w:p>
        </w:tc>
        <w:tc>
          <w:tcPr>
            <w:tcW w:w="7088" w:type="dxa"/>
            <w:hideMark/>
          </w:tcPr>
          <w:p w14:paraId="2CA06382" w14:textId="77777777" w:rsidR="00B46DAE" w:rsidRPr="00B46DAE" w:rsidRDefault="00B46DAE" w:rsidP="00B46DAE">
            <w:pPr>
              <w:spacing w:before="0" w:after="0"/>
              <w:rPr>
                <w:rFonts w:ascii="Arial" w:hAnsi="Arial" w:cs="Arial"/>
                <w:b w:val="0"/>
                <w:bCs/>
              </w:rPr>
            </w:pPr>
            <w:r w:rsidRPr="00B46DAE">
              <w:rPr>
                <w:rFonts w:ascii="Arial" w:hAnsi="Arial" w:cs="Arial"/>
                <w:bCs/>
              </w:rPr>
              <w:t>Description</w:t>
            </w:r>
          </w:p>
        </w:tc>
      </w:tr>
      <w:tr w:rsidR="00B46DAE" w:rsidRPr="00B46DAE" w14:paraId="289BE465" w14:textId="77777777" w:rsidTr="006F5124">
        <w:trPr>
          <w:trHeight w:val="397"/>
        </w:trPr>
        <w:tc>
          <w:tcPr>
            <w:tcW w:w="1838" w:type="dxa"/>
            <w:noWrap/>
            <w:hideMark/>
          </w:tcPr>
          <w:p w14:paraId="12B037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O00</w:t>
            </w:r>
          </w:p>
        </w:tc>
        <w:tc>
          <w:tcPr>
            <w:tcW w:w="7088" w:type="dxa"/>
            <w:hideMark/>
          </w:tcPr>
          <w:p w14:paraId="0D3AEC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Ectopic pregnancy</w:t>
            </w:r>
          </w:p>
        </w:tc>
      </w:tr>
      <w:tr w:rsidR="00B46DAE" w:rsidRPr="00B46DAE" w14:paraId="106BC94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F95C1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O000</w:t>
            </w:r>
          </w:p>
        </w:tc>
        <w:tc>
          <w:tcPr>
            <w:tcW w:w="7088" w:type="dxa"/>
            <w:hideMark/>
          </w:tcPr>
          <w:p w14:paraId="2F349CB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Abdominal pregnancy</w:t>
            </w:r>
          </w:p>
        </w:tc>
      </w:tr>
      <w:tr w:rsidR="00B46DAE" w:rsidRPr="00B46DAE" w14:paraId="458A2370" w14:textId="77777777" w:rsidTr="006F5124">
        <w:trPr>
          <w:trHeight w:val="397"/>
        </w:trPr>
        <w:tc>
          <w:tcPr>
            <w:tcW w:w="1838" w:type="dxa"/>
            <w:noWrap/>
            <w:hideMark/>
          </w:tcPr>
          <w:p w14:paraId="1216861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O001</w:t>
            </w:r>
          </w:p>
        </w:tc>
        <w:tc>
          <w:tcPr>
            <w:tcW w:w="7088" w:type="dxa"/>
            <w:hideMark/>
          </w:tcPr>
          <w:p w14:paraId="0523B2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Tubal pregnancy</w:t>
            </w:r>
          </w:p>
        </w:tc>
      </w:tr>
      <w:tr w:rsidR="00B46DAE" w:rsidRPr="00B46DAE" w14:paraId="32A3EDF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F7E46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O002</w:t>
            </w:r>
          </w:p>
        </w:tc>
        <w:tc>
          <w:tcPr>
            <w:tcW w:w="7088" w:type="dxa"/>
            <w:hideMark/>
          </w:tcPr>
          <w:p w14:paraId="0A7481C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Ovarian pregnancy</w:t>
            </w:r>
          </w:p>
        </w:tc>
      </w:tr>
      <w:tr w:rsidR="00B46DAE" w:rsidRPr="00B46DAE" w14:paraId="0CC52A31" w14:textId="77777777" w:rsidTr="006F5124">
        <w:trPr>
          <w:trHeight w:val="397"/>
        </w:trPr>
        <w:tc>
          <w:tcPr>
            <w:tcW w:w="1838" w:type="dxa"/>
            <w:noWrap/>
            <w:hideMark/>
          </w:tcPr>
          <w:p w14:paraId="55EDC0F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O008</w:t>
            </w:r>
          </w:p>
        </w:tc>
        <w:tc>
          <w:tcPr>
            <w:tcW w:w="7088" w:type="dxa"/>
            <w:hideMark/>
          </w:tcPr>
          <w:p w14:paraId="1D10136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ectopic pregnancy</w:t>
            </w:r>
          </w:p>
        </w:tc>
      </w:tr>
      <w:tr w:rsidR="00B46DAE" w:rsidRPr="00B46DAE" w14:paraId="76FB5C7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2F0502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O009</w:t>
            </w:r>
          </w:p>
        </w:tc>
        <w:tc>
          <w:tcPr>
            <w:tcW w:w="7088" w:type="dxa"/>
            <w:hideMark/>
          </w:tcPr>
          <w:p w14:paraId="583EA98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Ectopic pregnancy, unspecified</w:t>
            </w:r>
          </w:p>
        </w:tc>
      </w:tr>
      <w:tr w:rsidR="00B46DAE" w:rsidRPr="00B46DAE" w14:paraId="19776E7D" w14:textId="77777777" w:rsidTr="006F5124">
        <w:trPr>
          <w:trHeight w:val="397"/>
        </w:trPr>
        <w:tc>
          <w:tcPr>
            <w:tcW w:w="1838" w:type="dxa"/>
            <w:noWrap/>
            <w:hideMark/>
          </w:tcPr>
          <w:p w14:paraId="241734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O01</w:t>
            </w:r>
          </w:p>
        </w:tc>
        <w:tc>
          <w:tcPr>
            <w:tcW w:w="7088" w:type="dxa"/>
            <w:hideMark/>
          </w:tcPr>
          <w:p w14:paraId="294D67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Hydatidiform mole</w:t>
            </w:r>
          </w:p>
        </w:tc>
      </w:tr>
      <w:tr w:rsidR="00B46DAE" w:rsidRPr="00B46DAE" w14:paraId="761B760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5D6623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O010</w:t>
            </w:r>
          </w:p>
        </w:tc>
        <w:tc>
          <w:tcPr>
            <w:tcW w:w="7088" w:type="dxa"/>
            <w:hideMark/>
          </w:tcPr>
          <w:p w14:paraId="5C81AE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Classical hydatidiform mole</w:t>
            </w:r>
          </w:p>
        </w:tc>
      </w:tr>
      <w:tr w:rsidR="00B46DAE" w:rsidRPr="00B46DAE" w14:paraId="0DD6A687" w14:textId="77777777" w:rsidTr="006F5124">
        <w:trPr>
          <w:trHeight w:val="397"/>
        </w:trPr>
        <w:tc>
          <w:tcPr>
            <w:tcW w:w="1838" w:type="dxa"/>
            <w:noWrap/>
            <w:hideMark/>
          </w:tcPr>
          <w:p w14:paraId="168C44B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O011</w:t>
            </w:r>
          </w:p>
        </w:tc>
        <w:tc>
          <w:tcPr>
            <w:tcW w:w="7088" w:type="dxa"/>
            <w:hideMark/>
          </w:tcPr>
          <w:p w14:paraId="1E35B7B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Incomplete and partial hydatidiform mole</w:t>
            </w:r>
          </w:p>
        </w:tc>
      </w:tr>
      <w:tr w:rsidR="00B46DAE" w:rsidRPr="00B46DAE" w14:paraId="31DA6E7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EBF4CD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O019</w:t>
            </w:r>
          </w:p>
        </w:tc>
        <w:tc>
          <w:tcPr>
            <w:tcW w:w="7088" w:type="dxa"/>
            <w:hideMark/>
          </w:tcPr>
          <w:p w14:paraId="0BF42FC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Hydatidiform mole, unspecified</w:t>
            </w:r>
          </w:p>
        </w:tc>
      </w:tr>
      <w:tr w:rsidR="00B46DAE" w:rsidRPr="00B46DAE" w14:paraId="3353A1BD" w14:textId="77777777" w:rsidTr="006F5124">
        <w:trPr>
          <w:trHeight w:val="397"/>
        </w:trPr>
        <w:tc>
          <w:tcPr>
            <w:tcW w:w="1838" w:type="dxa"/>
            <w:noWrap/>
            <w:hideMark/>
          </w:tcPr>
          <w:p w14:paraId="23CC9E6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O02</w:t>
            </w:r>
          </w:p>
        </w:tc>
        <w:tc>
          <w:tcPr>
            <w:tcW w:w="7088" w:type="dxa"/>
            <w:hideMark/>
          </w:tcPr>
          <w:p w14:paraId="7BE5A0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abnormal products of conception</w:t>
            </w:r>
          </w:p>
        </w:tc>
      </w:tr>
      <w:tr w:rsidR="00B46DAE" w:rsidRPr="00B46DAE" w14:paraId="63B8BBF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A70A2E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O020</w:t>
            </w:r>
          </w:p>
        </w:tc>
        <w:tc>
          <w:tcPr>
            <w:tcW w:w="7088" w:type="dxa"/>
            <w:hideMark/>
          </w:tcPr>
          <w:p w14:paraId="3E2670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Blighted ovum and nonhydatidiform mole</w:t>
            </w:r>
          </w:p>
        </w:tc>
      </w:tr>
      <w:tr w:rsidR="00B46DAE" w:rsidRPr="00B46DAE" w14:paraId="35FBE0BD" w14:textId="77777777" w:rsidTr="006F5124">
        <w:trPr>
          <w:trHeight w:val="397"/>
        </w:trPr>
        <w:tc>
          <w:tcPr>
            <w:tcW w:w="1838" w:type="dxa"/>
            <w:noWrap/>
            <w:hideMark/>
          </w:tcPr>
          <w:p w14:paraId="4110F94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O021</w:t>
            </w:r>
          </w:p>
        </w:tc>
        <w:tc>
          <w:tcPr>
            <w:tcW w:w="7088" w:type="dxa"/>
            <w:hideMark/>
          </w:tcPr>
          <w:p w14:paraId="433727B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Missed abortion</w:t>
            </w:r>
          </w:p>
        </w:tc>
      </w:tr>
      <w:tr w:rsidR="00B46DAE" w:rsidRPr="00B46DAE" w14:paraId="3B7A5FB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AE988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O028</w:t>
            </w:r>
          </w:p>
        </w:tc>
        <w:tc>
          <w:tcPr>
            <w:tcW w:w="7088" w:type="dxa"/>
            <w:hideMark/>
          </w:tcPr>
          <w:p w14:paraId="0C1923A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abnormal products of conception</w:t>
            </w:r>
          </w:p>
        </w:tc>
      </w:tr>
      <w:tr w:rsidR="00B46DAE" w:rsidRPr="00B46DAE" w14:paraId="6295DEEE" w14:textId="77777777" w:rsidTr="006F5124">
        <w:trPr>
          <w:trHeight w:val="397"/>
        </w:trPr>
        <w:tc>
          <w:tcPr>
            <w:tcW w:w="1838" w:type="dxa"/>
            <w:noWrap/>
            <w:hideMark/>
          </w:tcPr>
          <w:p w14:paraId="60B6CE5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O029</w:t>
            </w:r>
          </w:p>
        </w:tc>
        <w:tc>
          <w:tcPr>
            <w:tcW w:w="7088" w:type="dxa"/>
            <w:hideMark/>
          </w:tcPr>
          <w:p w14:paraId="6016B7C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product of conception, unspecified</w:t>
            </w:r>
          </w:p>
        </w:tc>
      </w:tr>
      <w:tr w:rsidR="00B46DAE" w:rsidRPr="00B46DAE" w14:paraId="3CEC10A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A9637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w:t>
            </w:r>
          </w:p>
        </w:tc>
        <w:tc>
          <w:tcPr>
            <w:tcW w:w="7088" w:type="dxa"/>
            <w:hideMark/>
          </w:tcPr>
          <w:p w14:paraId="5FE7065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w:t>
            </w:r>
          </w:p>
        </w:tc>
      </w:tr>
      <w:tr w:rsidR="00B46DAE" w:rsidRPr="00B46DAE" w14:paraId="46AEB573" w14:textId="77777777" w:rsidTr="006F5124">
        <w:trPr>
          <w:trHeight w:val="397"/>
        </w:trPr>
        <w:tc>
          <w:tcPr>
            <w:tcW w:w="1838" w:type="dxa"/>
            <w:noWrap/>
            <w:hideMark/>
          </w:tcPr>
          <w:p w14:paraId="47479B9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O030</w:t>
            </w:r>
          </w:p>
        </w:tc>
        <w:tc>
          <w:tcPr>
            <w:tcW w:w="7088" w:type="dxa"/>
            <w:hideMark/>
          </w:tcPr>
          <w:p w14:paraId="212940F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incomplete, complicated by genital tract and pelvic infection and sepsis</w:t>
            </w:r>
          </w:p>
        </w:tc>
      </w:tr>
      <w:tr w:rsidR="00B46DAE" w:rsidRPr="00B46DAE" w14:paraId="1342EA7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773D59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O031</w:t>
            </w:r>
          </w:p>
        </w:tc>
        <w:tc>
          <w:tcPr>
            <w:tcW w:w="7088" w:type="dxa"/>
            <w:hideMark/>
          </w:tcPr>
          <w:p w14:paraId="71D4FE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incomplete, complicated by delayed or excessive haemorrhage</w:t>
            </w:r>
          </w:p>
        </w:tc>
      </w:tr>
      <w:tr w:rsidR="00B46DAE" w:rsidRPr="00B46DAE" w14:paraId="3B486E7B" w14:textId="77777777" w:rsidTr="006F5124">
        <w:trPr>
          <w:trHeight w:val="397"/>
        </w:trPr>
        <w:tc>
          <w:tcPr>
            <w:tcW w:w="1838" w:type="dxa"/>
            <w:noWrap/>
            <w:hideMark/>
          </w:tcPr>
          <w:p w14:paraId="092979E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O032</w:t>
            </w:r>
          </w:p>
        </w:tc>
        <w:tc>
          <w:tcPr>
            <w:tcW w:w="7088" w:type="dxa"/>
            <w:hideMark/>
          </w:tcPr>
          <w:p w14:paraId="173730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incomplete, complicated by embolism</w:t>
            </w:r>
          </w:p>
        </w:tc>
      </w:tr>
      <w:tr w:rsidR="00B46DAE" w:rsidRPr="00B46DAE" w14:paraId="3D39BF8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4C32B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O033</w:t>
            </w:r>
          </w:p>
        </w:tc>
        <w:tc>
          <w:tcPr>
            <w:tcW w:w="7088" w:type="dxa"/>
            <w:hideMark/>
          </w:tcPr>
          <w:p w14:paraId="2E70ECD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incomplete, with other and unspecified complications</w:t>
            </w:r>
          </w:p>
        </w:tc>
      </w:tr>
      <w:tr w:rsidR="00B46DAE" w:rsidRPr="00B46DAE" w14:paraId="10D7A58C" w14:textId="77777777" w:rsidTr="006F5124">
        <w:trPr>
          <w:trHeight w:val="397"/>
        </w:trPr>
        <w:tc>
          <w:tcPr>
            <w:tcW w:w="1838" w:type="dxa"/>
            <w:noWrap/>
            <w:hideMark/>
          </w:tcPr>
          <w:p w14:paraId="6B7581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O034</w:t>
            </w:r>
          </w:p>
        </w:tc>
        <w:tc>
          <w:tcPr>
            <w:tcW w:w="7088" w:type="dxa"/>
            <w:hideMark/>
          </w:tcPr>
          <w:p w14:paraId="15EF1A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incomplete, without complication</w:t>
            </w:r>
          </w:p>
        </w:tc>
      </w:tr>
      <w:tr w:rsidR="00B46DAE" w:rsidRPr="00B46DAE" w14:paraId="1D16D77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BF69C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O035</w:t>
            </w:r>
          </w:p>
        </w:tc>
        <w:tc>
          <w:tcPr>
            <w:tcW w:w="7088" w:type="dxa"/>
            <w:hideMark/>
          </w:tcPr>
          <w:p w14:paraId="7EE11C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complete or unspecified, complicated by genital tract and pelvic infection and sepsis</w:t>
            </w:r>
          </w:p>
        </w:tc>
      </w:tr>
      <w:tr w:rsidR="00B46DAE" w:rsidRPr="00B46DAE" w14:paraId="295CF416" w14:textId="77777777" w:rsidTr="006F5124">
        <w:trPr>
          <w:trHeight w:val="397"/>
        </w:trPr>
        <w:tc>
          <w:tcPr>
            <w:tcW w:w="1838" w:type="dxa"/>
            <w:noWrap/>
            <w:hideMark/>
          </w:tcPr>
          <w:p w14:paraId="1053F0C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O036</w:t>
            </w:r>
          </w:p>
        </w:tc>
        <w:tc>
          <w:tcPr>
            <w:tcW w:w="7088" w:type="dxa"/>
            <w:hideMark/>
          </w:tcPr>
          <w:p w14:paraId="7F48DD4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complete or unspecified, complicated by delayed or excessive haemorrhage</w:t>
            </w:r>
          </w:p>
        </w:tc>
      </w:tr>
      <w:tr w:rsidR="00B46DAE" w:rsidRPr="00B46DAE" w14:paraId="7254BCE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E0CB20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O037</w:t>
            </w:r>
          </w:p>
        </w:tc>
        <w:tc>
          <w:tcPr>
            <w:tcW w:w="7088" w:type="dxa"/>
            <w:hideMark/>
          </w:tcPr>
          <w:p w14:paraId="7815AB2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complete or unspecified, complicated by embolism</w:t>
            </w:r>
          </w:p>
        </w:tc>
      </w:tr>
      <w:tr w:rsidR="00B46DAE" w:rsidRPr="00B46DAE" w14:paraId="667368B5" w14:textId="77777777" w:rsidTr="006F5124">
        <w:trPr>
          <w:trHeight w:val="397"/>
        </w:trPr>
        <w:tc>
          <w:tcPr>
            <w:tcW w:w="1838" w:type="dxa"/>
            <w:noWrap/>
            <w:hideMark/>
          </w:tcPr>
          <w:p w14:paraId="37DEF45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O038</w:t>
            </w:r>
          </w:p>
        </w:tc>
        <w:tc>
          <w:tcPr>
            <w:tcW w:w="7088" w:type="dxa"/>
            <w:hideMark/>
          </w:tcPr>
          <w:p w14:paraId="7F51213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complete or unspecified, with other and unspecified complications</w:t>
            </w:r>
          </w:p>
        </w:tc>
      </w:tr>
      <w:tr w:rsidR="00B46DAE" w:rsidRPr="00B46DAE" w14:paraId="4C9CE5E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484D72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O039</w:t>
            </w:r>
          </w:p>
        </w:tc>
        <w:tc>
          <w:tcPr>
            <w:tcW w:w="7088" w:type="dxa"/>
            <w:hideMark/>
          </w:tcPr>
          <w:p w14:paraId="273F90A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abortion, complete or unspecified, without complication</w:t>
            </w:r>
          </w:p>
        </w:tc>
      </w:tr>
      <w:tr w:rsidR="00B46DAE" w:rsidRPr="00B46DAE" w14:paraId="6162B42F" w14:textId="77777777" w:rsidTr="006F5124">
        <w:trPr>
          <w:trHeight w:val="397"/>
        </w:trPr>
        <w:tc>
          <w:tcPr>
            <w:tcW w:w="1838" w:type="dxa"/>
            <w:noWrap/>
            <w:hideMark/>
          </w:tcPr>
          <w:p w14:paraId="3A2BBD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w:t>
            </w:r>
          </w:p>
        </w:tc>
        <w:tc>
          <w:tcPr>
            <w:tcW w:w="7088" w:type="dxa"/>
            <w:hideMark/>
          </w:tcPr>
          <w:p w14:paraId="3B19A1D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w:t>
            </w:r>
          </w:p>
        </w:tc>
      </w:tr>
      <w:tr w:rsidR="00B46DAE" w:rsidRPr="00B46DAE" w14:paraId="4D64CB1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2A74B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O040</w:t>
            </w:r>
          </w:p>
        </w:tc>
        <w:tc>
          <w:tcPr>
            <w:tcW w:w="7088" w:type="dxa"/>
            <w:hideMark/>
          </w:tcPr>
          <w:p w14:paraId="070106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incomplete, complicated by genital tract and pelvic infection and sepsis</w:t>
            </w:r>
          </w:p>
        </w:tc>
      </w:tr>
      <w:tr w:rsidR="00B46DAE" w:rsidRPr="00B46DAE" w14:paraId="519AAAA5" w14:textId="77777777" w:rsidTr="006F5124">
        <w:trPr>
          <w:trHeight w:val="397"/>
        </w:trPr>
        <w:tc>
          <w:tcPr>
            <w:tcW w:w="1838" w:type="dxa"/>
            <w:noWrap/>
            <w:hideMark/>
          </w:tcPr>
          <w:p w14:paraId="2ED07E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O041</w:t>
            </w:r>
          </w:p>
        </w:tc>
        <w:tc>
          <w:tcPr>
            <w:tcW w:w="7088" w:type="dxa"/>
            <w:hideMark/>
          </w:tcPr>
          <w:p w14:paraId="0F97E7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incomplete, complicated by delayed or excessive haemorrhage</w:t>
            </w:r>
          </w:p>
        </w:tc>
      </w:tr>
      <w:tr w:rsidR="00B46DAE" w:rsidRPr="00B46DAE" w14:paraId="19BBC91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5914C0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O042</w:t>
            </w:r>
          </w:p>
        </w:tc>
        <w:tc>
          <w:tcPr>
            <w:tcW w:w="7088" w:type="dxa"/>
            <w:hideMark/>
          </w:tcPr>
          <w:p w14:paraId="221EFC2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incomplete, complicated by embolism</w:t>
            </w:r>
          </w:p>
        </w:tc>
      </w:tr>
      <w:tr w:rsidR="00B46DAE" w:rsidRPr="00B46DAE" w14:paraId="01E94554" w14:textId="77777777" w:rsidTr="006F5124">
        <w:trPr>
          <w:trHeight w:val="397"/>
        </w:trPr>
        <w:tc>
          <w:tcPr>
            <w:tcW w:w="1838" w:type="dxa"/>
            <w:noWrap/>
            <w:hideMark/>
          </w:tcPr>
          <w:p w14:paraId="541F6E2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O043</w:t>
            </w:r>
          </w:p>
        </w:tc>
        <w:tc>
          <w:tcPr>
            <w:tcW w:w="7088" w:type="dxa"/>
            <w:hideMark/>
          </w:tcPr>
          <w:p w14:paraId="54D1710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incomplete, with other and unspecified complications</w:t>
            </w:r>
          </w:p>
        </w:tc>
      </w:tr>
      <w:tr w:rsidR="00B46DAE" w:rsidRPr="00B46DAE" w14:paraId="6A2DDC9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D1554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O044</w:t>
            </w:r>
          </w:p>
        </w:tc>
        <w:tc>
          <w:tcPr>
            <w:tcW w:w="7088" w:type="dxa"/>
            <w:hideMark/>
          </w:tcPr>
          <w:p w14:paraId="665F1E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incomplete, without complication</w:t>
            </w:r>
          </w:p>
        </w:tc>
      </w:tr>
      <w:tr w:rsidR="00B46DAE" w:rsidRPr="00B46DAE" w14:paraId="15DA448B" w14:textId="77777777" w:rsidTr="006F5124">
        <w:trPr>
          <w:trHeight w:val="397"/>
        </w:trPr>
        <w:tc>
          <w:tcPr>
            <w:tcW w:w="1838" w:type="dxa"/>
            <w:noWrap/>
            <w:hideMark/>
          </w:tcPr>
          <w:p w14:paraId="7C7379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O045</w:t>
            </w:r>
          </w:p>
        </w:tc>
        <w:tc>
          <w:tcPr>
            <w:tcW w:w="7088" w:type="dxa"/>
            <w:hideMark/>
          </w:tcPr>
          <w:p w14:paraId="7510856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complete or unspecified, complicated by genital tract and pelvic infection and sepsis</w:t>
            </w:r>
          </w:p>
        </w:tc>
      </w:tr>
      <w:tr w:rsidR="00B46DAE" w:rsidRPr="00B46DAE" w14:paraId="799BD0F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1843BA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O046</w:t>
            </w:r>
          </w:p>
        </w:tc>
        <w:tc>
          <w:tcPr>
            <w:tcW w:w="7088" w:type="dxa"/>
            <w:hideMark/>
          </w:tcPr>
          <w:p w14:paraId="78F211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complete or unspecified, complicated by delayed or excessive haemorrhage</w:t>
            </w:r>
          </w:p>
        </w:tc>
      </w:tr>
      <w:tr w:rsidR="00B46DAE" w:rsidRPr="00B46DAE" w14:paraId="60593510" w14:textId="77777777" w:rsidTr="006F5124">
        <w:trPr>
          <w:trHeight w:val="397"/>
        </w:trPr>
        <w:tc>
          <w:tcPr>
            <w:tcW w:w="1838" w:type="dxa"/>
            <w:noWrap/>
            <w:hideMark/>
          </w:tcPr>
          <w:p w14:paraId="69AC6E7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O047</w:t>
            </w:r>
          </w:p>
        </w:tc>
        <w:tc>
          <w:tcPr>
            <w:tcW w:w="7088" w:type="dxa"/>
            <w:hideMark/>
          </w:tcPr>
          <w:p w14:paraId="1716CA3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complete or unspecified, complicated by embolism</w:t>
            </w:r>
          </w:p>
        </w:tc>
      </w:tr>
      <w:tr w:rsidR="00B46DAE" w:rsidRPr="00B46DAE" w14:paraId="491C976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9559B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O048</w:t>
            </w:r>
          </w:p>
        </w:tc>
        <w:tc>
          <w:tcPr>
            <w:tcW w:w="7088" w:type="dxa"/>
            <w:hideMark/>
          </w:tcPr>
          <w:p w14:paraId="4445E9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complete or unspecified, with other and unspecified complications</w:t>
            </w:r>
          </w:p>
        </w:tc>
      </w:tr>
      <w:tr w:rsidR="00B46DAE" w:rsidRPr="00B46DAE" w14:paraId="151B4FBF" w14:textId="77777777" w:rsidTr="006F5124">
        <w:trPr>
          <w:trHeight w:val="397"/>
        </w:trPr>
        <w:tc>
          <w:tcPr>
            <w:tcW w:w="1838" w:type="dxa"/>
            <w:noWrap/>
            <w:hideMark/>
          </w:tcPr>
          <w:p w14:paraId="68E9A0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O049</w:t>
            </w:r>
          </w:p>
        </w:tc>
        <w:tc>
          <w:tcPr>
            <w:tcW w:w="7088" w:type="dxa"/>
            <w:hideMark/>
          </w:tcPr>
          <w:p w14:paraId="65B6139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Medical abortion, complete or unspecified, without complication</w:t>
            </w:r>
          </w:p>
        </w:tc>
      </w:tr>
      <w:tr w:rsidR="00B46DAE" w:rsidRPr="00B46DAE" w14:paraId="27C9884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3CF007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w:t>
            </w:r>
          </w:p>
        </w:tc>
        <w:tc>
          <w:tcPr>
            <w:tcW w:w="7088" w:type="dxa"/>
            <w:hideMark/>
          </w:tcPr>
          <w:p w14:paraId="4751CA4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w:t>
            </w:r>
          </w:p>
        </w:tc>
      </w:tr>
      <w:tr w:rsidR="00B46DAE" w:rsidRPr="00B46DAE" w14:paraId="38C5DD6A" w14:textId="77777777" w:rsidTr="006F5124">
        <w:trPr>
          <w:trHeight w:val="397"/>
        </w:trPr>
        <w:tc>
          <w:tcPr>
            <w:tcW w:w="1838" w:type="dxa"/>
            <w:noWrap/>
            <w:hideMark/>
          </w:tcPr>
          <w:p w14:paraId="797D72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O050</w:t>
            </w:r>
          </w:p>
        </w:tc>
        <w:tc>
          <w:tcPr>
            <w:tcW w:w="7088" w:type="dxa"/>
            <w:hideMark/>
          </w:tcPr>
          <w:p w14:paraId="5C9770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incomplete, complicated by genital tract and pelvic infection and sepsis</w:t>
            </w:r>
          </w:p>
        </w:tc>
      </w:tr>
      <w:tr w:rsidR="00B46DAE" w:rsidRPr="00B46DAE" w14:paraId="46309B2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9CBFF9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O051</w:t>
            </w:r>
          </w:p>
        </w:tc>
        <w:tc>
          <w:tcPr>
            <w:tcW w:w="7088" w:type="dxa"/>
            <w:hideMark/>
          </w:tcPr>
          <w:p w14:paraId="4218A2F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incomplete, complicated by delayed or excessive haemorrhage</w:t>
            </w:r>
          </w:p>
        </w:tc>
      </w:tr>
      <w:tr w:rsidR="00B46DAE" w:rsidRPr="00B46DAE" w14:paraId="07E6249B" w14:textId="77777777" w:rsidTr="006F5124">
        <w:trPr>
          <w:trHeight w:val="397"/>
        </w:trPr>
        <w:tc>
          <w:tcPr>
            <w:tcW w:w="1838" w:type="dxa"/>
            <w:noWrap/>
            <w:hideMark/>
          </w:tcPr>
          <w:p w14:paraId="51BDBEB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O052</w:t>
            </w:r>
          </w:p>
        </w:tc>
        <w:tc>
          <w:tcPr>
            <w:tcW w:w="7088" w:type="dxa"/>
            <w:hideMark/>
          </w:tcPr>
          <w:p w14:paraId="774AB3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incomplete, complicated by embolism</w:t>
            </w:r>
          </w:p>
        </w:tc>
      </w:tr>
      <w:tr w:rsidR="00B46DAE" w:rsidRPr="00B46DAE" w14:paraId="092384D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31712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O053</w:t>
            </w:r>
          </w:p>
        </w:tc>
        <w:tc>
          <w:tcPr>
            <w:tcW w:w="7088" w:type="dxa"/>
            <w:hideMark/>
          </w:tcPr>
          <w:p w14:paraId="471EF1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incomplete, with other and unspecified complications</w:t>
            </w:r>
          </w:p>
        </w:tc>
      </w:tr>
      <w:tr w:rsidR="00B46DAE" w:rsidRPr="00B46DAE" w14:paraId="25AB31B1" w14:textId="77777777" w:rsidTr="006F5124">
        <w:trPr>
          <w:trHeight w:val="397"/>
        </w:trPr>
        <w:tc>
          <w:tcPr>
            <w:tcW w:w="1838" w:type="dxa"/>
            <w:noWrap/>
            <w:hideMark/>
          </w:tcPr>
          <w:p w14:paraId="32AC98B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O054</w:t>
            </w:r>
          </w:p>
        </w:tc>
        <w:tc>
          <w:tcPr>
            <w:tcW w:w="7088" w:type="dxa"/>
            <w:hideMark/>
          </w:tcPr>
          <w:p w14:paraId="226C093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incomplete, without complication</w:t>
            </w:r>
          </w:p>
        </w:tc>
      </w:tr>
      <w:tr w:rsidR="00B46DAE" w:rsidRPr="00B46DAE" w14:paraId="1E012BC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39E26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O055</w:t>
            </w:r>
          </w:p>
        </w:tc>
        <w:tc>
          <w:tcPr>
            <w:tcW w:w="7088" w:type="dxa"/>
            <w:hideMark/>
          </w:tcPr>
          <w:p w14:paraId="55399B2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complete or unspecified, complicated by genital tract and pelvic infection and sepsis</w:t>
            </w:r>
          </w:p>
        </w:tc>
      </w:tr>
      <w:tr w:rsidR="00B46DAE" w:rsidRPr="00B46DAE" w14:paraId="3F432F91" w14:textId="77777777" w:rsidTr="006F5124">
        <w:trPr>
          <w:trHeight w:val="397"/>
        </w:trPr>
        <w:tc>
          <w:tcPr>
            <w:tcW w:w="1838" w:type="dxa"/>
            <w:noWrap/>
            <w:hideMark/>
          </w:tcPr>
          <w:p w14:paraId="2DF8AB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O056</w:t>
            </w:r>
          </w:p>
        </w:tc>
        <w:tc>
          <w:tcPr>
            <w:tcW w:w="7088" w:type="dxa"/>
            <w:hideMark/>
          </w:tcPr>
          <w:p w14:paraId="37D69C9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complete or unspecified, complicated by delayed or excessive haemorrhage</w:t>
            </w:r>
          </w:p>
        </w:tc>
      </w:tr>
      <w:tr w:rsidR="00B46DAE" w:rsidRPr="00B46DAE" w14:paraId="083089D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F84A32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O057</w:t>
            </w:r>
          </w:p>
        </w:tc>
        <w:tc>
          <w:tcPr>
            <w:tcW w:w="7088" w:type="dxa"/>
            <w:hideMark/>
          </w:tcPr>
          <w:p w14:paraId="6E748C2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complete or unspecified, complicated by embolism</w:t>
            </w:r>
          </w:p>
        </w:tc>
      </w:tr>
      <w:tr w:rsidR="00B46DAE" w:rsidRPr="00B46DAE" w14:paraId="0D033B87" w14:textId="77777777" w:rsidTr="006F5124">
        <w:trPr>
          <w:trHeight w:val="397"/>
        </w:trPr>
        <w:tc>
          <w:tcPr>
            <w:tcW w:w="1838" w:type="dxa"/>
            <w:noWrap/>
            <w:hideMark/>
          </w:tcPr>
          <w:p w14:paraId="4925757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O058</w:t>
            </w:r>
          </w:p>
        </w:tc>
        <w:tc>
          <w:tcPr>
            <w:tcW w:w="7088" w:type="dxa"/>
            <w:hideMark/>
          </w:tcPr>
          <w:p w14:paraId="3D1941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complete or unspecified, with other and unspecified complications</w:t>
            </w:r>
          </w:p>
        </w:tc>
      </w:tr>
      <w:tr w:rsidR="00B46DAE" w:rsidRPr="00B46DAE" w14:paraId="1A0DB11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00F6B6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O059</w:t>
            </w:r>
          </w:p>
        </w:tc>
        <w:tc>
          <w:tcPr>
            <w:tcW w:w="7088" w:type="dxa"/>
            <w:hideMark/>
          </w:tcPr>
          <w:p w14:paraId="7A9751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abortion, complete or unspecified, without complication</w:t>
            </w:r>
          </w:p>
        </w:tc>
      </w:tr>
      <w:tr w:rsidR="00B46DAE" w:rsidRPr="00B46DAE" w14:paraId="481C629B" w14:textId="77777777" w:rsidTr="006F5124">
        <w:trPr>
          <w:trHeight w:val="397"/>
        </w:trPr>
        <w:tc>
          <w:tcPr>
            <w:tcW w:w="1838" w:type="dxa"/>
            <w:noWrap/>
            <w:hideMark/>
          </w:tcPr>
          <w:p w14:paraId="1A4EECD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w:t>
            </w:r>
          </w:p>
        </w:tc>
        <w:tc>
          <w:tcPr>
            <w:tcW w:w="7088" w:type="dxa"/>
            <w:hideMark/>
          </w:tcPr>
          <w:p w14:paraId="60E18E4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w:t>
            </w:r>
          </w:p>
        </w:tc>
      </w:tr>
      <w:tr w:rsidR="00B46DAE" w:rsidRPr="00B46DAE" w14:paraId="08C8637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3FFB73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O060</w:t>
            </w:r>
          </w:p>
        </w:tc>
        <w:tc>
          <w:tcPr>
            <w:tcW w:w="7088" w:type="dxa"/>
            <w:hideMark/>
          </w:tcPr>
          <w:p w14:paraId="042489D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incomplete, complicated by genital tract and pelvic infection and sepsis</w:t>
            </w:r>
          </w:p>
        </w:tc>
      </w:tr>
      <w:tr w:rsidR="00B46DAE" w:rsidRPr="00B46DAE" w14:paraId="111DB5DE" w14:textId="77777777" w:rsidTr="006F5124">
        <w:trPr>
          <w:trHeight w:val="397"/>
        </w:trPr>
        <w:tc>
          <w:tcPr>
            <w:tcW w:w="1838" w:type="dxa"/>
            <w:noWrap/>
            <w:hideMark/>
          </w:tcPr>
          <w:p w14:paraId="0A9D3A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O061</w:t>
            </w:r>
          </w:p>
        </w:tc>
        <w:tc>
          <w:tcPr>
            <w:tcW w:w="7088" w:type="dxa"/>
            <w:hideMark/>
          </w:tcPr>
          <w:p w14:paraId="4CE8915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incomplete, complicated by delayed or excessive haemorrhage</w:t>
            </w:r>
          </w:p>
        </w:tc>
      </w:tr>
      <w:tr w:rsidR="00B46DAE" w:rsidRPr="00B46DAE" w14:paraId="55E5F7D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BD6BC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O062</w:t>
            </w:r>
          </w:p>
        </w:tc>
        <w:tc>
          <w:tcPr>
            <w:tcW w:w="7088" w:type="dxa"/>
            <w:hideMark/>
          </w:tcPr>
          <w:p w14:paraId="380FEC3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incomplete, complicated by embolism</w:t>
            </w:r>
          </w:p>
        </w:tc>
      </w:tr>
      <w:tr w:rsidR="00B46DAE" w:rsidRPr="00B46DAE" w14:paraId="319F2062" w14:textId="77777777" w:rsidTr="006F5124">
        <w:trPr>
          <w:trHeight w:val="397"/>
        </w:trPr>
        <w:tc>
          <w:tcPr>
            <w:tcW w:w="1838" w:type="dxa"/>
            <w:noWrap/>
            <w:hideMark/>
          </w:tcPr>
          <w:p w14:paraId="726292C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O063</w:t>
            </w:r>
          </w:p>
        </w:tc>
        <w:tc>
          <w:tcPr>
            <w:tcW w:w="7088" w:type="dxa"/>
            <w:hideMark/>
          </w:tcPr>
          <w:p w14:paraId="4AA4DC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incomplete, with other and unspecified complications</w:t>
            </w:r>
          </w:p>
        </w:tc>
      </w:tr>
      <w:tr w:rsidR="00B46DAE" w:rsidRPr="00B46DAE" w14:paraId="780F027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0AA235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O064</w:t>
            </w:r>
          </w:p>
        </w:tc>
        <w:tc>
          <w:tcPr>
            <w:tcW w:w="7088" w:type="dxa"/>
            <w:hideMark/>
          </w:tcPr>
          <w:p w14:paraId="5A1BD03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incomplete, without complication</w:t>
            </w:r>
          </w:p>
        </w:tc>
      </w:tr>
      <w:tr w:rsidR="00B46DAE" w:rsidRPr="00B46DAE" w14:paraId="24C90325" w14:textId="77777777" w:rsidTr="006F5124">
        <w:trPr>
          <w:trHeight w:val="397"/>
        </w:trPr>
        <w:tc>
          <w:tcPr>
            <w:tcW w:w="1838" w:type="dxa"/>
            <w:noWrap/>
            <w:hideMark/>
          </w:tcPr>
          <w:p w14:paraId="72DDF26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O065</w:t>
            </w:r>
          </w:p>
        </w:tc>
        <w:tc>
          <w:tcPr>
            <w:tcW w:w="7088" w:type="dxa"/>
            <w:hideMark/>
          </w:tcPr>
          <w:p w14:paraId="47A8762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complete or unspecified, complicated by genital tract and pelvic infection and sepsis</w:t>
            </w:r>
          </w:p>
        </w:tc>
      </w:tr>
      <w:tr w:rsidR="00B46DAE" w:rsidRPr="00B46DAE" w14:paraId="17D79E7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E8A61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O066</w:t>
            </w:r>
          </w:p>
        </w:tc>
        <w:tc>
          <w:tcPr>
            <w:tcW w:w="7088" w:type="dxa"/>
            <w:hideMark/>
          </w:tcPr>
          <w:p w14:paraId="2DCC760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complete or unspecified, complicated by delayed or excessive haemorrhage</w:t>
            </w:r>
          </w:p>
        </w:tc>
      </w:tr>
      <w:tr w:rsidR="00B46DAE" w:rsidRPr="00B46DAE" w14:paraId="112A9611" w14:textId="77777777" w:rsidTr="006F5124">
        <w:trPr>
          <w:trHeight w:val="397"/>
        </w:trPr>
        <w:tc>
          <w:tcPr>
            <w:tcW w:w="1838" w:type="dxa"/>
            <w:noWrap/>
            <w:hideMark/>
          </w:tcPr>
          <w:p w14:paraId="45E6109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O067</w:t>
            </w:r>
          </w:p>
        </w:tc>
        <w:tc>
          <w:tcPr>
            <w:tcW w:w="7088" w:type="dxa"/>
            <w:hideMark/>
          </w:tcPr>
          <w:p w14:paraId="261866C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complete or unspecified, complicated by embolism</w:t>
            </w:r>
          </w:p>
        </w:tc>
      </w:tr>
      <w:tr w:rsidR="00B46DAE" w:rsidRPr="00B46DAE" w14:paraId="1F7B37E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9CBB42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O068</w:t>
            </w:r>
          </w:p>
        </w:tc>
        <w:tc>
          <w:tcPr>
            <w:tcW w:w="7088" w:type="dxa"/>
            <w:hideMark/>
          </w:tcPr>
          <w:p w14:paraId="06CA71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complete or unspecified, with other and unspecified complications</w:t>
            </w:r>
          </w:p>
        </w:tc>
      </w:tr>
      <w:tr w:rsidR="00B46DAE" w:rsidRPr="00B46DAE" w14:paraId="1207FB7F" w14:textId="77777777" w:rsidTr="006F5124">
        <w:trPr>
          <w:trHeight w:val="397"/>
        </w:trPr>
        <w:tc>
          <w:tcPr>
            <w:tcW w:w="1838" w:type="dxa"/>
            <w:noWrap/>
            <w:hideMark/>
          </w:tcPr>
          <w:p w14:paraId="551B9E1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O069</w:t>
            </w:r>
          </w:p>
        </w:tc>
        <w:tc>
          <w:tcPr>
            <w:tcW w:w="7088" w:type="dxa"/>
            <w:hideMark/>
          </w:tcPr>
          <w:p w14:paraId="1F8D7D2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abortion, complete or unspecified, without complication</w:t>
            </w:r>
          </w:p>
        </w:tc>
      </w:tr>
      <w:tr w:rsidR="00B46DAE" w:rsidRPr="00B46DAE" w14:paraId="312AF22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747E9F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w:t>
            </w:r>
          </w:p>
        </w:tc>
        <w:tc>
          <w:tcPr>
            <w:tcW w:w="7088" w:type="dxa"/>
            <w:hideMark/>
          </w:tcPr>
          <w:p w14:paraId="7CE67B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attempted abortion</w:t>
            </w:r>
          </w:p>
        </w:tc>
      </w:tr>
      <w:tr w:rsidR="00B46DAE" w:rsidRPr="00B46DAE" w14:paraId="43591A32" w14:textId="77777777" w:rsidTr="006F5124">
        <w:trPr>
          <w:trHeight w:val="397"/>
        </w:trPr>
        <w:tc>
          <w:tcPr>
            <w:tcW w:w="1838" w:type="dxa"/>
            <w:noWrap/>
            <w:hideMark/>
          </w:tcPr>
          <w:p w14:paraId="5797A6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O070</w:t>
            </w:r>
          </w:p>
        </w:tc>
        <w:tc>
          <w:tcPr>
            <w:tcW w:w="7088" w:type="dxa"/>
            <w:hideMark/>
          </w:tcPr>
          <w:p w14:paraId="6FE8718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abortion, complicated by genital tract and pelvic infection and sepsis</w:t>
            </w:r>
          </w:p>
        </w:tc>
      </w:tr>
      <w:tr w:rsidR="00B46DAE" w:rsidRPr="00B46DAE" w14:paraId="26D11EE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C4EC0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O071</w:t>
            </w:r>
          </w:p>
        </w:tc>
        <w:tc>
          <w:tcPr>
            <w:tcW w:w="7088" w:type="dxa"/>
            <w:hideMark/>
          </w:tcPr>
          <w:p w14:paraId="0432AA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abortion, complicated by delayed or excessive haemorrhage</w:t>
            </w:r>
          </w:p>
        </w:tc>
      </w:tr>
      <w:tr w:rsidR="00B46DAE" w:rsidRPr="00B46DAE" w14:paraId="2865BA18" w14:textId="77777777" w:rsidTr="006F5124">
        <w:trPr>
          <w:trHeight w:val="397"/>
        </w:trPr>
        <w:tc>
          <w:tcPr>
            <w:tcW w:w="1838" w:type="dxa"/>
            <w:noWrap/>
            <w:hideMark/>
          </w:tcPr>
          <w:p w14:paraId="3F9A3B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O072</w:t>
            </w:r>
          </w:p>
        </w:tc>
        <w:tc>
          <w:tcPr>
            <w:tcW w:w="7088" w:type="dxa"/>
            <w:hideMark/>
          </w:tcPr>
          <w:p w14:paraId="1AE042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abortion, complicated by embolism</w:t>
            </w:r>
          </w:p>
        </w:tc>
      </w:tr>
      <w:tr w:rsidR="00B46DAE" w:rsidRPr="00B46DAE" w14:paraId="6034F55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1A0FE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O073</w:t>
            </w:r>
          </w:p>
        </w:tc>
        <w:tc>
          <w:tcPr>
            <w:tcW w:w="7088" w:type="dxa"/>
            <w:hideMark/>
          </w:tcPr>
          <w:p w14:paraId="78473E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abortion, with other and unspecified complications</w:t>
            </w:r>
          </w:p>
        </w:tc>
      </w:tr>
      <w:tr w:rsidR="00B46DAE" w:rsidRPr="00B46DAE" w14:paraId="13B0A725" w14:textId="77777777" w:rsidTr="006F5124">
        <w:trPr>
          <w:trHeight w:val="397"/>
        </w:trPr>
        <w:tc>
          <w:tcPr>
            <w:tcW w:w="1838" w:type="dxa"/>
            <w:noWrap/>
            <w:hideMark/>
          </w:tcPr>
          <w:p w14:paraId="6AB4B9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O074</w:t>
            </w:r>
          </w:p>
        </w:tc>
        <w:tc>
          <w:tcPr>
            <w:tcW w:w="7088" w:type="dxa"/>
            <w:hideMark/>
          </w:tcPr>
          <w:p w14:paraId="323AC5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abortion, without complication</w:t>
            </w:r>
          </w:p>
        </w:tc>
      </w:tr>
      <w:tr w:rsidR="00B46DAE" w:rsidRPr="00B46DAE" w14:paraId="60C9265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B08ED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O075</w:t>
            </w:r>
          </w:p>
        </w:tc>
        <w:tc>
          <w:tcPr>
            <w:tcW w:w="7088" w:type="dxa"/>
            <w:hideMark/>
          </w:tcPr>
          <w:p w14:paraId="2089C7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failed attempted abortion, complicated by genital tract and pelvic infection and sepsis</w:t>
            </w:r>
          </w:p>
        </w:tc>
      </w:tr>
      <w:tr w:rsidR="00B46DAE" w:rsidRPr="00B46DAE" w14:paraId="4731B05E" w14:textId="77777777" w:rsidTr="006F5124">
        <w:trPr>
          <w:trHeight w:val="397"/>
        </w:trPr>
        <w:tc>
          <w:tcPr>
            <w:tcW w:w="1838" w:type="dxa"/>
            <w:noWrap/>
            <w:hideMark/>
          </w:tcPr>
          <w:p w14:paraId="1FCFFE9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O076</w:t>
            </w:r>
          </w:p>
        </w:tc>
        <w:tc>
          <w:tcPr>
            <w:tcW w:w="7088" w:type="dxa"/>
            <w:hideMark/>
          </w:tcPr>
          <w:p w14:paraId="0966C8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failed attempted abortion, complicated by delayed or excessive haemorrhage</w:t>
            </w:r>
          </w:p>
        </w:tc>
      </w:tr>
      <w:tr w:rsidR="00B46DAE" w:rsidRPr="00B46DAE" w14:paraId="0FDA19D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847EE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O077</w:t>
            </w:r>
          </w:p>
        </w:tc>
        <w:tc>
          <w:tcPr>
            <w:tcW w:w="7088" w:type="dxa"/>
            <w:hideMark/>
          </w:tcPr>
          <w:p w14:paraId="5AA1E4F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failed attempted abortion, complicated by embolism</w:t>
            </w:r>
          </w:p>
        </w:tc>
      </w:tr>
      <w:tr w:rsidR="00B46DAE" w:rsidRPr="00B46DAE" w14:paraId="5A71DDB4" w14:textId="77777777" w:rsidTr="006F5124">
        <w:trPr>
          <w:trHeight w:val="397"/>
        </w:trPr>
        <w:tc>
          <w:tcPr>
            <w:tcW w:w="1838" w:type="dxa"/>
            <w:noWrap/>
            <w:hideMark/>
          </w:tcPr>
          <w:p w14:paraId="3D1F4B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O078</w:t>
            </w:r>
          </w:p>
        </w:tc>
        <w:tc>
          <w:tcPr>
            <w:tcW w:w="7088" w:type="dxa"/>
            <w:hideMark/>
          </w:tcPr>
          <w:p w14:paraId="74A78A4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failed attempted abortion, with other and unspecified complications</w:t>
            </w:r>
          </w:p>
        </w:tc>
      </w:tr>
      <w:tr w:rsidR="00B46DAE" w:rsidRPr="00B46DAE" w14:paraId="720AD68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D53168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O079</w:t>
            </w:r>
          </w:p>
        </w:tc>
        <w:tc>
          <w:tcPr>
            <w:tcW w:w="7088" w:type="dxa"/>
            <w:hideMark/>
          </w:tcPr>
          <w:p w14:paraId="57945E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failed attempted abortion, without complication</w:t>
            </w:r>
          </w:p>
        </w:tc>
      </w:tr>
      <w:tr w:rsidR="00B46DAE" w:rsidRPr="00B46DAE" w14:paraId="78C68EBC" w14:textId="77777777" w:rsidTr="006F5124">
        <w:trPr>
          <w:trHeight w:val="397"/>
        </w:trPr>
        <w:tc>
          <w:tcPr>
            <w:tcW w:w="1838" w:type="dxa"/>
            <w:noWrap/>
            <w:hideMark/>
          </w:tcPr>
          <w:p w14:paraId="24D4115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w:t>
            </w:r>
          </w:p>
        </w:tc>
        <w:tc>
          <w:tcPr>
            <w:tcW w:w="7088" w:type="dxa"/>
            <w:hideMark/>
          </w:tcPr>
          <w:p w14:paraId="76AA27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Complications following abortion and ectopic and molar pregnancy</w:t>
            </w:r>
          </w:p>
        </w:tc>
      </w:tr>
      <w:tr w:rsidR="00B46DAE" w:rsidRPr="00B46DAE" w14:paraId="559FC89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45EAE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O080</w:t>
            </w:r>
          </w:p>
        </w:tc>
        <w:tc>
          <w:tcPr>
            <w:tcW w:w="7088" w:type="dxa"/>
            <w:hideMark/>
          </w:tcPr>
          <w:p w14:paraId="6F561CE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Genital tract and pelvic infection and sepsis following abortion and ectopic and molar pregnancy</w:t>
            </w:r>
          </w:p>
        </w:tc>
      </w:tr>
      <w:tr w:rsidR="00B46DAE" w:rsidRPr="00B46DAE" w14:paraId="10118C32" w14:textId="77777777" w:rsidTr="006F5124">
        <w:trPr>
          <w:trHeight w:val="397"/>
        </w:trPr>
        <w:tc>
          <w:tcPr>
            <w:tcW w:w="1838" w:type="dxa"/>
            <w:noWrap/>
            <w:hideMark/>
          </w:tcPr>
          <w:p w14:paraId="6DE05B9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O081</w:t>
            </w:r>
          </w:p>
        </w:tc>
        <w:tc>
          <w:tcPr>
            <w:tcW w:w="7088" w:type="dxa"/>
            <w:hideMark/>
          </w:tcPr>
          <w:p w14:paraId="5326BC4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Delayed or excessive haemorrhage following abortion and ectopic and molar pregnancy</w:t>
            </w:r>
          </w:p>
        </w:tc>
      </w:tr>
      <w:tr w:rsidR="00B46DAE" w:rsidRPr="00B46DAE" w14:paraId="4421D57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C3C079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O082</w:t>
            </w:r>
          </w:p>
        </w:tc>
        <w:tc>
          <w:tcPr>
            <w:tcW w:w="7088" w:type="dxa"/>
            <w:hideMark/>
          </w:tcPr>
          <w:p w14:paraId="75FB48B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Embolism following abortion and ectopic and molar pregnancy</w:t>
            </w:r>
          </w:p>
        </w:tc>
      </w:tr>
      <w:tr w:rsidR="00B46DAE" w:rsidRPr="00B46DAE" w14:paraId="4C15DA69" w14:textId="77777777" w:rsidTr="006F5124">
        <w:trPr>
          <w:trHeight w:val="397"/>
        </w:trPr>
        <w:tc>
          <w:tcPr>
            <w:tcW w:w="1838" w:type="dxa"/>
            <w:noWrap/>
            <w:hideMark/>
          </w:tcPr>
          <w:p w14:paraId="61083F6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O083</w:t>
            </w:r>
          </w:p>
        </w:tc>
        <w:tc>
          <w:tcPr>
            <w:tcW w:w="7088" w:type="dxa"/>
            <w:hideMark/>
          </w:tcPr>
          <w:p w14:paraId="147448B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Shock following abortion and ectopic and molar pregnancy</w:t>
            </w:r>
          </w:p>
        </w:tc>
      </w:tr>
      <w:tr w:rsidR="00B46DAE" w:rsidRPr="00B46DAE" w14:paraId="2FF1030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D68D0B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O084</w:t>
            </w:r>
          </w:p>
        </w:tc>
        <w:tc>
          <w:tcPr>
            <w:tcW w:w="7088" w:type="dxa"/>
            <w:hideMark/>
          </w:tcPr>
          <w:p w14:paraId="391D31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Kidney failure following abortion and ectopic and molar pregnancy</w:t>
            </w:r>
          </w:p>
        </w:tc>
      </w:tr>
      <w:tr w:rsidR="00B46DAE" w:rsidRPr="00B46DAE" w14:paraId="6D8B0D8E" w14:textId="77777777" w:rsidTr="006F5124">
        <w:trPr>
          <w:trHeight w:val="397"/>
        </w:trPr>
        <w:tc>
          <w:tcPr>
            <w:tcW w:w="1838" w:type="dxa"/>
            <w:noWrap/>
            <w:hideMark/>
          </w:tcPr>
          <w:p w14:paraId="4C0D8B1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O085</w:t>
            </w:r>
          </w:p>
        </w:tc>
        <w:tc>
          <w:tcPr>
            <w:tcW w:w="7088" w:type="dxa"/>
            <w:hideMark/>
          </w:tcPr>
          <w:p w14:paraId="3E9ECF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Metabolic disorders following abortion and ectopic and molar pregnancy</w:t>
            </w:r>
          </w:p>
        </w:tc>
      </w:tr>
      <w:tr w:rsidR="00B46DAE" w:rsidRPr="00B46DAE" w14:paraId="5DD5D04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A93F94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O086</w:t>
            </w:r>
          </w:p>
        </w:tc>
        <w:tc>
          <w:tcPr>
            <w:tcW w:w="7088" w:type="dxa"/>
            <w:hideMark/>
          </w:tcPr>
          <w:p w14:paraId="69CFA4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Damage to pelvic organs and tissues following abortion and ectopic and molar pregnancy</w:t>
            </w:r>
          </w:p>
        </w:tc>
      </w:tr>
      <w:tr w:rsidR="00B46DAE" w:rsidRPr="00B46DAE" w14:paraId="6AEFBCBC" w14:textId="77777777" w:rsidTr="006F5124">
        <w:trPr>
          <w:trHeight w:val="397"/>
        </w:trPr>
        <w:tc>
          <w:tcPr>
            <w:tcW w:w="1838" w:type="dxa"/>
            <w:noWrap/>
            <w:hideMark/>
          </w:tcPr>
          <w:p w14:paraId="6EA425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O087</w:t>
            </w:r>
          </w:p>
        </w:tc>
        <w:tc>
          <w:tcPr>
            <w:tcW w:w="7088" w:type="dxa"/>
            <w:hideMark/>
          </w:tcPr>
          <w:p w14:paraId="2A3268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venous complications following abortion and ectopic and molar pregnancy</w:t>
            </w:r>
          </w:p>
        </w:tc>
      </w:tr>
      <w:tr w:rsidR="00B46DAE" w:rsidRPr="00B46DAE" w14:paraId="78CF5C5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A286F7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O088</w:t>
            </w:r>
          </w:p>
        </w:tc>
        <w:tc>
          <w:tcPr>
            <w:tcW w:w="7088" w:type="dxa"/>
            <w:hideMark/>
          </w:tcPr>
          <w:p w14:paraId="4C47C7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following abortion and ectopic and molar pregnancy</w:t>
            </w:r>
          </w:p>
        </w:tc>
      </w:tr>
      <w:tr w:rsidR="00B46DAE" w:rsidRPr="00B46DAE" w14:paraId="3940726F" w14:textId="77777777" w:rsidTr="006F5124">
        <w:trPr>
          <w:trHeight w:val="397"/>
        </w:trPr>
        <w:tc>
          <w:tcPr>
            <w:tcW w:w="1838" w:type="dxa"/>
            <w:noWrap/>
            <w:hideMark/>
          </w:tcPr>
          <w:p w14:paraId="4616815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O089</w:t>
            </w:r>
          </w:p>
        </w:tc>
        <w:tc>
          <w:tcPr>
            <w:tcW w:w="7088" w:type="dxa"/>
            <w:hideMark/>
          </w:tcPr>
          <w:p w14:paraId="686D040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 following abortion and ectopic and molar pregnancy, unspecified</w:t>
            </w:r>
          </w:p>
        </w:tc>
      </w:tr>
      <w:tr w:rsidR="00B46DAE" w:rsidRPr="00B46DAE" w14:paraId="748220C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872E9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w:t>
            </w:r>
          </w:p>
        </w:tc>
        <w:tc>
          <w:tcPr>
            <w:tcW w:w="7088" w:type="dxa"/>
            <w:hideMark/>
          </w:tcPr>
          <w:p w14:paraId="6B7EA4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w:t>
            </w:r>
          </w:p>
        </w:tc>
      </w:tr>
      <w:tr w:rsidR="00B46DAE" w:rsidRPr="00B46DAE" w14:paraId="635C5790" w14:textId="77777777" w:rsidTr="006F5124">
        <w:trPr>
          <w:trHeight w:val="397"/>
        </w:trPr>
        <w:tc>
          <w:tcPr>
            <w:tcW w:w="1838" w:type="dxa"/>
            <w:noWrap/>
            <w:hideMark/>
          </w:tcPr>
          <w:p w14:paraId="3F2F53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O090</w:t>
            </w:r>
          </w:p>
        </w:tc>
        <w:tc>
          <w:tcPr>
            <w:tcW w:w="7088" w:type="dxa"/>
            <w:hideMark/>
          </w:tcPr>
          <w:p w14:paraId="15B5326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 less than 5 completed weeks</w:t>
            </w:r>
          </w:p>
        </w:tc>
      </w:tr>
      <w:tr w:rsidR="00B46DAE" w:rsidRPr="00B46DAE" w14:paraId="11B6A5B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898129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O091</w:t>
            </w:r>
          </w:p>
        </w:tc>
        <w:tc>
          <w:tcPr>
            <w:tcW w:w="7088" w:type="dxa"/>
            <w:hideMark/>
          </w:tcPr>
          <w:p w14:paraId="2D0E1E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 5-13 completed weeks</w:t>
            </w:r>
          </w:p>
        </w:tc>
      </w:tr>
      <w:tr w:rsidR="00B46DAE" w:rsidRPr="00B46DAE" w14:paraId="1AAC0053" w14:textId="77777777" w:rsidTr="006F5124">
        <w:trPr>
          <w:trHeight w:val="397"/>
        </w:trPr>
        <w:tc>
          <w:tcPr>
            <w:tcW w:w="1838" w:type="dxa"/>
            <w:noWrap/>
            <w:hideMark/>
          </w:tcPr>
          <w:p w14:paraId="27005AE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O092</w:t>
            </w:r>
          </w:p>
        </w:tc>
        <w:tc>
          <w:tcPr>
            <w:tcW w:w="7088" w:type="dxa"/>
            <w:hideMark/>
          </w:tcPr>
          <w:p w14:paraId="53AC790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 14-19 completed weeks</w:t>
            </w:r>
          </w:p>
        </w:tc>
      </w:tr>
      <w:tr w:rsidR="00B46DAE" w:rsidRPr="00B46DAE" w14:paraId="62A9887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395308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O093</w:t>
            </w:r>
          </w:p>
        </w:tc>
        <w:tc>
          <w:tcPr>
            <w:tcW w:w="7088" w:type="dxa"/>
            <w:hideMark/>
          </w:tcPr>
          <w:p w14:paraId="1D7312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 20-25 completed weeks</w:t>
            </w:r>
          </w:p>
        </w:tc>
      </w:tr>
      <w:tr w:rsidR="00B46DAE" w:rsidRPr="00B46DAE" w14:paraId="01BB20F8" w14:textId="77777777" w:rsidTr="006F5124">
        <w:trPr>
          <w:trHeight w:val="397"/>
        </w:trPr>
        <w:tc>
          <w:tcPr>
            <w:tcW w:w="1838" w:type="dxa"/>
            <w:noWrap/>
            <w:hideMark/>
          </w:tcPr>
          <w:p w14:paraId="1CE5989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O094</w:t>
            </w:r>
          </w:p>
        </w:tc>
        <w:tc>
          <w:tcPr>
            <w:tcW w:w="7088" w:type="dxa"/>
            <w:hideMark/>
          </w:tcPr>
          <w:p w14:paraId="2F1CDF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 26-33 completed weeks</w:t>
            </w:r>
          </w:p>
        </w:tc>
      </w:tr>
      <w:tr w:rsidR="00B46DAE" w:rsidRPr="00B46DAE" w14:paraId="154980E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2EC6D8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O095</w:t>
            </w:r>
          </w:p>
        </w:tc>
        <w:tc>
          <w:tcPr>
            <w:tcW w:w="7088" w:type="dxa"/>
            <w:hideMark/>
          </w:tcPr>
          <w:p w14:paraId="4332F76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Duration of pregnancy 34-36 completed weeks</w:t>
            </w:r>
          </w:p>
        </w:tc>
      </w:tr>
      <w:tr w:rsidR="00B46DAE" w:rsidRPr="00B46DAE" w14:paraId="1BE5B493" w14:textId="77777777" w:rsidTr="006F5124">
        <w:trPr>
          <w:trHeight w:val="397"/>
        </w:trPr>
        <w:tc>
          <w:tcPr>
            <w:tcW w:w="1838" w:type="dxa"/>
            <w:noWrap/>
            <w:hideMark/>
          </w:tcPr>
          <w:p w14:paraId="3FE2FE5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O099</w:t>
            </w:r>
          </w:p>
        </w:tc>
        <w:tc>
          <w:tcPr>
            <w:tcW w:w="7088" w:type="dxa"/>
            <w:hideMark/>
          </w:tcPr>
          <w:p w14:paraId="024493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duration of pregnancy</w:t>
            </w:r>
          </w:p>
        </w:tc>
      </w:tr>
      <w:tr w:rsidR="00B46DAE" w:rsidRPr="00B46DAE" w14:paraId="3EE343A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64D343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O10</w:t>
            </w:r>
          </w:p>
        </w:tc>
        <w:tc>
          <w:tcPr>
            <w:tcW w:w="7088" w:type="dxa"/>
            <w:hideMark/>
          </w:tcPr>
          <w:p w14:paraId="6AD9C1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hypertension in pregnancy, childbirth and the puerperium</w:t>
            </w:r>
          </w:p>
        </w:tc>
      </w:tr>
      <w:tr w:rsidR="00B46DAE" w:rsidRPr="00B46DAE" w14:paraId="7E5DF3CF" w14:textId="77777777" w:rsidTr="006F5124">
        <w:trPr>
          <w:trHeight w:val="397"/>
        </w:trPr>
        <w:tc>
          <w:tcPr>
            <w:tcW w:w="1838" w:type="dxa"/>
            <w:noWrap/>
            <w:hideMark/>
          </w:tcPr>
          <w:p w14:paraId="2FA7E44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O100</w:t>
            </w:r>
          </w:p>
        </w:tc>
        <w:tc>
          <w:tcPr>
            <w:tcW w:w="7088" w:type="dxa"/>
            <w:hideMark/>
          </w:tcPr>
          <w:p w14:paraId="56EDDD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essential hypertension complicating pregnancy, childbirth and the puerperium</w:t>
            </w:r>
          </w:p>
        </w:tc>
      </w:tr>
      <w:tr w:rsidR="00B46DAE" w:rsidRPr="00B46DAE" w14:paraId="2D763E6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55F54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O101</w:t>
            </w:r>
          </w:p>
        </w:tc>
        <w:tc>
          <w:tcPr>
            <w:tcW w:w="7088" w:type="dxa"/>
            <w:hideMark/>
          </w:tcPr>
          <w:p w14:paraId="6541EEE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hypertensive heart disease complicating pregnancy, childbirth and the puerperium</w:t>
            </w:r>
          </w:p>
        </w:tc>
      </w:tr>
      <w:tr w:rsidR="00B46DAE" w:rsidRPr="00B46DAE" w14:paraId="0C9855EB" w14:textId="77777777" w:rsidTr="006F5124">
        <w:trPr>
          <w:trHeight w:val="397"/>
        </w:trPr>
        <w:tc>
          <w:tcPr>
            <w:tcW w:w="1838" w:type="dxa"/>
            <w:noWrap/>
            <w:hideMark/>
          </w:tcPr>
          <w:p w14:paraId="2C45AB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O102</w:t>
            </w:r>
          </w:p>
        </w:tc>
        <w:tc>
          <w:tcPr>
            <w:tcW w:w="7088" w:type="dxa"/>
            <w:hideMark/>
          </w:tcPr>
          <w:p w14:paraId="07DB8C0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hypertensive kidney disease complicating pregnancy, childbirth and the puerperium</w:t>
            </w:r>
          </w:p>
        </w:tc>
      </w:tr>
      <w:tr w:rsidR="00B46DAE" w:rsidRPr="00B46DAE" w14:paraId="51BB76C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B24DC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O103</w:t>
            </w:r>
          </w:p>
        </w:tc>
        <w:tc>
          <w:tcPr>
            <w:tcW w:w="7088" w:type="dxa"/>
            <w:hideMark/>
          </w:tcPr>
          <w:p w14:paraId="6030F88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hypertensive heart and kidney disease complicating pregnancy, childbirth and the puerperium</w:t>
            </w:r>
          </w:p>
        </w:tc>
      </w:tr>
      <w:tr w:rsidR="00B46DAE" w:rsidRPr="00B46DAE" w14:paraId="741893F0" w14:textId="77777777" w:rsidTr="006F5124">
        <w:trPr>
          <w:trHeight w:val="397"/>
        </w:trPr>
        <w:tc>
          <w:tcPr>
            <w:tcW w:w="1838" w:type="dxa"/>
            <w:noWrap/>
            <w:hideMark/>
          </w:tcPr>
          <w:p w14:paraId="1FC7EC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O104</w:t>
            </w:r>
          </w:p>
        </w:tc>
        <w:tc>
          <w:tcPr>
            <w:tcW w:w="7088" w:type="dxa"/>
            <w:hideMark/>
          </w:tcPr>
          <w:p w14:paraId="53BF7C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secondary hypertension complicating pregnancy, childbirth and the puerperium</w:t>
            </w:r>
          </w:p>
        </w:tc>
      </w:tr>
      <w:tr w:rsidR="00B46DAE" w:rsidRPr="00B46DAE" w14:paraId="32EB028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DF0630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O109</w:t>
            </w:r>
          </w:p>
        </w:tc>
        <w:tc>
          <w:tcPr>
            <w:tcW w:w="7088" w:type="dxa"/>
            <w:hideMark/>
          </w:tcPr>
          <w:p w14:paraId="3A142C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pre-existing hypertension complicating pregnancy, childbirth and the puerperium</w:t>
            </w:r>
          </w:p>
        </w:tc>
      </w:tr>
      <w:tr w:rsidR="00B46DAE" w:rsidRPr="00B46DAE" w14:paraId="48DE236E" w14:textId="77777777" w:rsidTr="006F5124">
        <w:trPr>
          <w:trHeight w:val="397"/>
        </w:trPr>
        <w:tc>
          <w:tcPr>
            <w:tcW w:w="1838" w:type="dxa"/>
            <w:noWrap/>
            <w:hideMark/>
          </w:tcPr>
          <w:p w14:paraId="7CCDE9E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O11</w:t>
            </w:r>
          </w:p>
        </w:tc>
        <w:tc>
          <w:tcPr>
            <w:tcW w:w="7088" w:type="dxa"/>
            <w:hideMark/>
          </w:tcPr>
          <w:p w14:paraId="02927D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Pre-eclampsia superimposed on chronic hypertension</w:t>
            </w:r>
          </w:p>
        </w:tc>
      </w:tr>
      <w:tr w:rsidR="00B46DAE" w:rsidRPr="00B46DAE" w14:paraId="02015E5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D0203B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O12</w:t>
            </w:r>
          </w:p>
        </w:tc>
        <w:tc>
          <w:tcPr>
            <w:tcW w:w="7088" w:type="dxa"/>
            <w:hideMark/>
          </w:tcPr>
          <w:p w14:paraId="21562CC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Gestational [pregnancy-induced] oedema and proteinuria without hypertension</w:t>
            </w:r>
          </w:p>
        </w:tc>
      </w:tr>
      <w:tr w:rsidR="00B46DAE" w:rsidRPr="00B46DAE" w14:paraId="648B1862" w14:textId="77777777" w:rsidTr="006F5124">
        <w:trPr>
          <w:trHeight w:val="397"/>
        </w:trPr>
        <w:tc>
          <w:tcPr>
            <w:tcW w:w="1838" w:type="dxa"/>
            <w:noWrap/>
            <w:hideMark/>
          </w:tcPr>
          <w:p w14:paraId="098DB78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O120</w:t>
            </w:r>
          </w:p>
        </w:tc>
        <w:tc>
          <w:tcPr>
            <w:tcW w:w="7088" w:type="dxa"/>
            <w:hideMark/>
          </w:tcPr>
          <w:p w14:paraId="1CC59FA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Gestational oedema</w:t>
            </w:r>
          </w:p>
        </w:tc>
      </w:tr>
      <w:tr w:rsidR="00B46DAE" w:rsidRPr="00B46DAE" w14:paraId="4F2F6C9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7335E2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O121</w:t>
            </w:r>
          </w:p>
        </w:tc>
        <w:tc>
          <w:tcPr>
            <w:tcW w:w="7088" w:type="dxa"/>
            <w:hideMark/>
          </w:tcPr>
          <w:p w14:paraId="18B0BC2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Gestational proteinuria</w:t>
            </w:r>
          </w:p>
        </w:tc>
      </w:tr>
      <w:tr w:rsidR="00B46DAE" w:rsidRPr="00B46DAE" w14:paraId="102E2CED" w14:textId="77777777" w:rsidTr="006F5124">
        <w:trPr>
          <w:trHeight w:val="397"/>
        </w:trPr>
        <w:tc>
          <w:tcPr>
            <w:tcW w:w="1838" w:type="dxa"/>
            <w:noWrap/>
            <w:hideMark/>
          </w:tcPr>
          <w:p w14:paraId="696625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O122</w:t>
            </w:r>
          </w:p>
        </w:tc>
        <w:tc>
          <w:tcPr>
            <w:tcW w:w="7088" w:type="dxa"/>
            <w:hideMark/>
          </w:tcPr>
          <w:p w14:paraId="0EB9FD1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Gestational oedema with proteinuria</w:t>
            </w:r>
          </w:p>
        </w:tc>
      </w:tr>
      <w:tr w:rsidR="00B46DAE" w:rsidRPr="00B46DAE" w14:paraId="48795A6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67E38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O13</w:t>
            </w:r>
          </w:p>
        </w:tc>
        <w:tc>
          <w:tcPr>
            <w:tcW w:w="7088" w:type="dxa"/>
            <w:hideMark/>
          </w:tcPr>
          <w:p w14:paraId="435C56C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Gestational [pregnancy-induced] hypertension</w:t>
            </w:r>
          </w:p>
        </w:tc>
      </w:tr>
      <w:tr w:rsidR="00B46DAE" w:rsidRPr="00B46DAE" w14:paraId="5BBE796F" w14:textId="77777777" w:rsidTr="006F5124">
        <w:trPr>
          <w:trHeight w:val="397"/>
        </w:trPr>
        <w:tc>
          <w:tcPr>
            <w:tcW w:w="1838" w:type="dxa"/>
            <w:noWrap/>
            <w:hideMark/>
          </w:tcPr>
          <w:p w14:paraId="728EA41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O14</w:t>
            </w:r>
          </w:p>
        </w:tc>
        <w:tc>
          <w:tcPr>
            <w:tcW w:w="7088" w:type="dxa"/>
            <w:hideMark/>
          </w:tcPr>
          <w:p w14:paraId="6539214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Pre-eclampsia</w:t>
            </w:r>
          </w:p>
        </w:tc>
      </w:tr>
      <w:tr w:rsidR="00B46DAE" w:rsidRPr="00B46DAE" w14:paraId="67752D8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5456C9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O140</w:t>
            </w:r>
          </w:p>
        </w:tc>
        <w:tc>
          <w:tcPr>
            <w:tcW w:w="7088" w:type="dxa"/>
            <w:hideMark/>
          </w:tcPr>
          <w:p w14:paraId="4363D1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Mild to moderate pre-eclampsia</w:t>
            </w:r>
          </w:p>
        </w:tc>
      </w:tr>
      <w:tr w:rsidR="00B46DAE" w:rsidRPr="00B46DAE" w14:paraId="01EE9F99" w14:textId="77777777" w:rsidTr="006F5124">
        <w:trPr>
          <w:trHeight w:val="397"/>
        </w:trPr>
        <w:tc>
          <w:tcPr>
            <w:tcW w:w="1838" w:type="dxa"/>
            <w:noWrap/>
            <w:hideMark/>
          </w:tcPr>
          <w:p w14:paraId="1560250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O141</w:t>
            </w:r>
          </w:p>
        </w:tc>
        <w:tc>
          <w:tcPr>
            <w:tcW w:w="7088" w:type="dxa"/>
            <w:hideMark/>
          </w:tcPr>
          <w:p w14:paraId="247A46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Severe pre-eclampsia</w:t>
            </w:r>
          </w:p>
        </w:tc>
      </w:tr>
      <w:tr w:rsidR="00B46DAE" w:rsidRPr="00B46DAE" w14:paraId="25A9B52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A6D6BE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O142</w:t>
            </w:r>
          </w:p>
        </w:tc>
        <w:tc>
          <w:tcPr>
            <w:tcW w:w="7088" w:type="dxa"/>
            <w:hideMark/>
          </w:tcPr>
          <w:p w14:paraId="12D237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HELLP syndrome</w:t>
            </w:r>
          </w:p>
        </w:tc>
      </w:tr>
      <w:tr w:rsidR="00B46DAE" w:rsidRPr="00B46DAE" w14:paraId="41C43A64" w14:textId="77777777" w:rsidTr="006F5124">
        <w:trPr>
          <w:trHeight w:val="397"/>
        </w:trPr>
        <w:tc>
          <w:tcPr>
            <w:tcW w:w="1838" w:type="dxa"/>
            <w:noWrap/>
            <w:hideMark/>
          </w:tcPr>
          <w:p w14:paraId="7A98457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O149</w:t>
            </w:r>
          </w:p>
        </w:tc>
        <w:tc>
          <w:tcPr>
            <w:tcW w:w="7088" w:type="dxa"/>
            <w:hideMark/>
          </w:tcPr>
          <w:p w14:paraId="3EAE5A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Pre-eclampsia, unspecified</w:t>
            </w:r>
          </w:p>
        </w:tc>
      </w:tr>
      <w:tr w:rsidR="00B46DAE" w:rsidRPr="00B46DAE" w14:paraId="2EC35A4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000F4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O15</w:t>
            </w:r>
          </w:p>
        </w:tc>
        <w:tc>
          <w:tcPr>
            <w:tcW w:w="7088" w:type="dxa"/>
            <w:hideMark/>
          </w:tcPr>
          <w:p w14:paraId="5FA096B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Eclampsia</w:t>
            </w:r>
          </w:p>
        </w:tc>
      </w:tr>
      <w:tr w:rsidR="00B46DAE" w:rsidRPr="00B46DAE" w14:paraId="587006F0" w14:textId="77777777" w:rsidTr="006F5124">
        <w:trPr>
          <w:trHeight w:val="397"/>
        </w:trPr>
        <w:tc>
          <w:tcPr>
            <w:tcW w:w="1838" w:type="dxa"/>
            <w:noWrap/>
            <w:hideMark/>
          </w:tcPr>
          <w:p w14:paraId="176A2CA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O150</w:t>
            </w:r>
          </w:p>
        </w:tc>
        <w:tc>
          <w:tcPr>
            <w:tcW w:w="7088" w:type="dxa"/>
            <w:hideMark/>
          </w:tcPr>
          <w:p w14:paraId="5F40EA7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Eclampsia in pregnancy</w:t>
            </w:r>
          </w:p>
        </w:tc>
      </w:tr>
      <w:tr w:rsidR="00B46DAE" w:rsidRPr="00B46DAE" w14:paraId="6026C95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CC6FD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O151</w:t>
            </w:r>
          </w:p>
        </w:tc>
        <w:tc>
          <w:tcPr>
            <w:tcW w:w="7088" w:type="dxa"/>
            <w:hideMark/>
          </w:tcPr>
          <w:p w14:paraId="58E4E4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Eclampsia in labour</w:t>
            </w:r>
          </w:p>
        </w:tc>
      </w:tr>
      <w:tr w:rsidR="00B46DAE" w:rsidRPr="00B46DAE" w14:paraId="5FD82402" w14:textId="77777777" w:rsidTr="006F5124">
        <w:trPr>
          <w:trHeight w:val="397"/>
        </w:trPr>
        <w:tc>
          <w:tcPr>
            <w:tcW w:w="1838" w:type="dxa"/>
            <w:noWrap/>
            <w:hideMark/>
          </w:tcPr>
          <w:p w14:paraId="4B0639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O152</w:t>
            </w:r>
          </w:p>
        </w:tc>
        <w:tc>
          <w:tcPr>
            <w:tcW w:w="7088" w:type="dxa"/>
            <w:hideMark/>
          </w:tcPr>
          <w:p w14:paraId="48CF9D7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Eclampsia in the puerperium</w:t>
            </w:r>
          </w:p>
        </w:tc>
      </w:tr>
      <w:tr w:rsidR="00B46DAE" w:rsidRPr="00B46DAE" w14:paraId="1F01D34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1EA5BC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O159</w:t>
            </w:r>
          </w:p>
        </w:tc>
        <w:tc>
          <w:tcPr>
            <w:tcW w:w="7088" w:type="dxa"/>
            <w:hideMark/>
          </w:tcPr>
          <w:p w14:paraId="16CF05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Eclampsia, unspecified as to time period</w:t>
            </w:r>
          </w:p>
        </w:tc>
      </w:tr>
      <w:tr w:rsidR="00B46DAE" w:rsidRPr="00B46DAE" w14:paraId="4D2B6D3B" w14:textId="77777777" w:rsidTr="006F5124">
        <w:trPr>
          <w:trHeight w:val="397"/>
        </w:trPr>
        <w:tc>
          <w:tcPr>
            <w:tcW w:w="1838" w:type="dxa"/>
            <w:noWrap/>
            <w:hideMark/>
          </w:tcPr>
          <w:p w14:paraId="241389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O16</w:t>
            </w:r>
          </w:p>
        </w:tc>
        <w:tc>
          <w:tcPr>
            <w:tcW w:w="7088" w:type="dxa"/>
            <w:hideMark/>
          </w:tcPr>
          <w:p w14:paraId="1C859E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maternal hypertension</w:t>
            </w:r>
          </w:p>
        </w:tc>
      </w:tr>
      <w:tr w:rsidR="00B46DAE" w:rsidRPr="00B46DAE" w14:paraId="2A90D65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60A43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O20</w:t>
            </w:r>
          </w:p>
        </w:tc>
        <w:tc>
          <w:tcPr>
            <w:tcW w:w="7088" w:type="dxa"/>
            <w:hideMark/>
          </w:tcPr>
          <w:p w14:paraId="22BC3D8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Haemorrhage in early pregnancy</w:t>
            </w:r>
          </w:p>
        </w:tc>
      </w:tr>
      <w:tr w:rsidR="00B46DAE" w:rsidRPr="00B46DAE" w14:paraId="6EA908CA" w14:textId="77777777" w:rsidTr="006F5124">
        <w:trPr>
          <w:trHeight w:val="397"/>
        </w:trPr>
        <w:tc>
          <w:tcPr>
            <w:tcW w:w="1838" w:type="dxa"/>
            <w:noWrap/>
            <w:hideMark/>
          </w:tcPr>
          <w:p w14:paraId="117B4B8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O200</w:t>
            </w:r>
          </w:p>
        </w:tc>
        <w:tc>
          <w:tcPr>
            <w:tcW w:w="7088" w:type="dxa"/>
            <w:hideMark/>
          </w:tcPr>
          <w:p w14:paraId="420C58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Threatened abortion</w:t>
            </w:r>
          </w:p>
        </w:tc>
      </w:tr>
      <w:tr w:rsidR="00B46DAE" w:rsidRPr="00B46DAE" w14:paraId="22B13DB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5C31A4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O208</w:t>
            </w:r>
          </w:p>
        </w:tc>
        <w:tc>
          <w:tcPr>
            <w:tcW w:w="7088" w:type="dxa"/>
            <w:hideMark/>
          </w:tcPr>
          <w:p w14:paraId="08D306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haemorrhage in early pregnancy</w:t>
            </w:r>
          </w:p>
        </w:tc>
      </w:tr>
      <w:tr w:rsidR="00B46DAE" w:rsidRPr="00B46DAE" w14:paraId="0A0CBA62" w14:textId="77777777" w:rsidTr="006F5124">
        <w:trPr>
          <w:trHeight w:val="397"/>
        </w:trPr>
        <w:tc>
          <w:tcPr>
            <w:tcW w:w="1838" w:type="dxa"/>
            <w:noWrap/>
            <w:hideMark/>
          </w:tcPr>
          <w:p w14:paraId="0499E51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O209</w:t>
            </w:r>
          </w:p>
        </w:tc>
        <w:tc>
          <w:tcPr>
            <w:tcW w:w="7088" w:type="dxa"/>
            <w:hideMark/>
          </w:tcPr>
          <w:p w14:paraId="1EF723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Haemorrhage in early pregnancy, unspecified</w:t>
            </w:r>
          </w:p>
        </w:tc>
      </w:tr>
      <w:tr w:rsidR="00B46DAE" w:rsidRPr="00B46DAE" w14:paraId="5CD714D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556F6F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O21</w:t>
            </w:r>
          </w:p>
        </w:tc>
        <w:tc>
          <w:tcPr>
            <w:tcW w:w="7088" w:type="dxa"/>
            <w:hideMark/>
          </w:tcPr>
          <w:p w14:paraId="144CAE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Excessive vomiting in pregnancy</w:t>
            </w:r>
          </w:p>
        </w:tc>
      </w:tr>
      <w:tr w:rsidR="00B46DAE" w:rsidRPr="00B46DAE" w14:paraId="046C112F" w14:textId="77777777" w:rsidTr="006F5124">
        <w:trPr>
          <w:trHeight w:val="397"/>
        </w:trPr>
        <w:tc>
          <w:tcPr>
            <w:tcW w:w="1838" w:type="dxa"/>
            <w:noWrap/>
            <w:hideMark/>
          </w:tcPr>
          <w:p w14:paraId="42477A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O210</w:t>
            </w:r>
          </w:p>
        </w:tc>
        <w:tc>
          <w:tcPr>
            <w:tcW w:w="7088" w:type="dxa"/>
            <w:hideMark/>
          </w:tcPr>
          <w:p w14:paraId="4B22784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Hyperemesis gravidarum</w:t>
            </w:r>
          </w:p>
        </w:tc>
      </w:tr>
      <w:tr w:rsidR="00B46DAE" w:rsidRPr="00B46DAE" w14:paraId="498A36F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0DBFB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O211</w:t>
            </w:r>
          </w:p>
        </w:tc>
        <w:tc>
          <w:tcPr>
            <w:tcW w:w="7088" w:type="dxa"/>
            <w:hideMark/>
          </w:tcPr>
          <w:p w14:paraId="523B572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Hyperemesis gravidarum with metabolic disturbance</w:t>
            </w:r>
          </w:p>
        </w:tc>
      </w:tr>
      <w:tr w:rsidR="00B46DAE" w:rsidRPr="00B46DAE" w14:paraId="5B76AC2C" w14:textId="77777777" w:rsidTr="006F5124">
        <w:trPr>
          <w:trHeight w:val="397"/>
        </w:trPr>
        <w:tc>
          <w:tcPr>
            <w:tcW w:w="1838" w:type="dxa"/>
            <w:noWrap/>
            <w:hideMark/>
          </w:tcPr>
          <w:p w14:paraId="566AD7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O212</w:t>
            </w:r>
          </w:p>
        </w:tc>
        <w:tc>
          <w:tcPr>
            <w:tcW w:w="7088" w:type="dxa"/>
            <w:hideMark/>
          </w:tcPr>
          <w:p w14:paraId="5BD37D3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Vomiting in late pregnancy</w:t>
            </w:r>
          </w:p>
        </w:tc>
      </w:tr>
      <w:tr w:rsidR="00B46DAE" w:rsidRPr="00B46DAE" w14:paraId="713BB05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2B7F8F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O218</w:t>
            </w:r>
          </w:p>
        </w:tc>
        <w:tc>
          <w:tcPr>
            <w:tcW w:w="7088" w:type="dxa"/>
            <w:hideMark/>
          </w:tcPr>
          <w:p w14:paraId="16D7D6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vomiting complicating pregnancy</w:t>
            </w:r>
          </w:p>
        </w:tc>
      </w:tr>
      <w:tr w:rsidR="00B46DAE" w:rsidRPr="00B46DAE" w14:paraId="038B165A" w14:textId="77777777" w:rsidTr="006F5124">
        <w:trPr>
          <w:trHeight w:val="397"/>
        </w:trPr>
        <w:tc>
          <w:tcPr>
            <w:tcW w:w="1838" w:type="dxa"/>
            <w:noWrap/>
            <w:hideMark/>
          </w:tcPr>
          <w:p w14:paraId="19E846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O219</w:t>
            </w:r>
          </w:p>
        </w:tc>
        <w:tc>
          <w:tcPr>
            <w:tcW w:w="7088" w:type="dxa"/>
            <w:hideMark/>
          </w:tcPr>
          <w:p w14:paraId="7EF120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Vomiting in pregnancy, not elsewhere classified</w:t>
            </w:r>
          </w:p>
        </w:tc>
      </w:tr>
      <w:tr w:rsidR="00B46DAE" w:rsidRPr="00B46DAE" w14:paraId="12B160A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9E5342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O22</w:t>
            </w:r>
          </w:p>
        </w:tc>
        <w:tc>
          <w:tcPr>
            <w:tcW w:w="7088" w:type="dxa"/>
            <w:hideMark/>
          </w:tcPr>
          <w:p w14:paraId="390F15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Venous conditions and haemorrhoids in pregnancy</w:t>
            </w:r>
          </w:p>
        </w:tc>
      </w:tr>
      <w:tr w:rsidR="00B46DAE" w:rsidRPr="00B46DAE" w14:paraId="024CEC42" w14:textId="77777777" w:rsidTr="006F5124">
        <w:trPr>
          <w:trHeight w:val="397"/>
        </w:trPr>
        <w:tc>
          <w:tcPr>
            <w:tcW w:w="1838" w:type="dxa"/>
            <w:noWrap/>
            <w:hideMark/>
          </w:tcPr>
          <w:p w14:paraId="39D692AE" w14:textId="77777777" w:rsidR="00B46DAE" w:rsidRPr="00B46DAE" w:rsidRDefault="00B46DAE" w:rsidP="00B46DAE">
            <w:pPr>
              <w:spacing w:before="0" w:after="0"/>
              <w:rPr>
                <w:rFonts w:cstheme="minorHAnsi"/>
                <w:color w:val="000000"/>
              </w:rPr>
            </w:pPr>
            <w:r w:rsidRPr="00B46DAE">
              <w:rPr>
                <w:rFonts w:cstheme="minorHAnsi"/>
                <w:color w:val="000000"/>
              </w:rPr>
              <w:t>O220</w:t>
            </w:r>
          </w:p>
        </w:tc>
        <w:tc>
          <w:tcPr>
            <w:tcW w:w="7088" w:type="dxa"/>
            <w:hideMark/>
          </w:tcPr>
          <w:p w14:paraId="77C60223" w14:textId="77777777" w:rsidR="00B46DAE" w:rsidRPr="00B46DAE" w:rsidRDefault="00B46DAE" w:rsidP="00B46DAE">
            <w:pPr>
              <w:spacing w:before="0" w:after="0"/>
              <w:rPr>
                <w:rFonts w:cstheme="minorHAnsi"/>
                <w:color w:val="000000"/>
              </w:rPr>
            </w:pPr>
            <w:r w:rsidRPr="00B46DAE">
              <w:rPr>
                <w:rFonts w:cstheme="minorHAnsi"/>
                <w:color w:val="000000"/>
              </w:rPr>
              <w:t>Varicose veins of lower extremity in pregnancy</w:t>
            </w:r>
          </w:p>
        </w:tc>
      </w:tr>
      <w:tr w:rsidR="00B46DAE" w:rsidRPr="00B46DAE" w14:paraId="6102A8B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C10570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O221</w:t>
            </w:r>
          </w:p>
        </w:tc>
        <w:tc>
          <w:tcPr>
            <w:tcW w:w="7088" w:type="dxa"/>
            <w:hideMark/>
          </w:tcPr>
          <w:p w14:paraId="79E8549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Genital varices in pregnancy</w:t>
            </w:r>
          </w:p>
        </w:tc>
      </w:tr>
      <w:tr w:rsidR="00B46DAE" w:rsidRPr="00B46DAE" w14:paraId="4A4B2127" w14:textId="77777777" w:rsidTr="006F5124">
        <w:trPr>
          <w:trHeight w:val="397"/>
        </w:trPr>
        <w:tc>
          <w:tcPr>
            <w:tcW w:w="1838" w:type="dxa"/>
            <w:noWrap/>
            <w:hideMark/>
          </w:tcPr>
          <w:p w14:paraId="3E0EFEE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O222</w:t>
            </w:r>
          </w:p>
        </w:tc>
        <w:tc>
          <w:tcPr>
            <w:tcW w:w="7088" w:type="dxa"/>
            <w:hideMark/>
          </w:tcPr>
          <w:p w14:paraId="60557A8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Superficial thrombophlebitis in pregnancy</w:t>
            </w:r>
          </w:p>
        </w:tc>
      </w:tr>
      <w:tr w:rsidR="00B46DAE" w:rsidRPr="00B46DAE" w14:paraId="555AA61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F43BC45" w14:textId="77777777" w:rsidR="00B46DAE" w:rsidRPr="00B46DAE" w:rsidRDefault="00B46DAE" w:rsidP="00B46DAE">
            <w:pPr>
              <w:spacing w:after="0"/>
              <w:rPr>
                <w:rFonts w:ascii="Arial" w:hAnsi="Arial" w:cs="Arial"/>
                <w:color w:val="000000"/>
              </w:rPr>
            </w:pPr>
            <w:r w:rsidRPr="00B46DAE">
              <w:rPr>
                <w:rFonts w:ascii="Arial" w:hAnsi="Arial" w:cs="Arial"/>
                <w:color w:val="000000"/>
              </w:rPr>
              <w:t>O223</w:t>
            </w:r>
          </w:p>
        </w:tc>
        <w:tc>
          <w:tcPr>
            <w:tcW w:w="7088" w:type="dxa"/>
            <w:hideMark/>
          </w:tcPr>
          <w:p w14:paraId="249A7A82" w14:textId="77777777" w:rsidR="00B46DAE" w:rsidRPr="00B46DAE" w:rsidRDefault="00B46DAE" w:rsidP="00B46DAE">
            <w:pPr>
              <w:spacing w:after="0"/>
              <w:rPr>
                <w:rFonts w:ascii="Arial" w:hAnsi="Arial" w:cs="Arial"/>
                <w:color w:val="000000"/>
              </w:rPr>
            </w:pPr>
            <w:r w:rsidRPr="00B46DAE">
              <w:rPr>
                <w:rFonts w:ascii="Arial" w:hAnsi="Arial" w:cs="Arial"/>
                <w:color w:val="000000"/>
              </w:rPr>
              <w:t>Deep phlebothrombosis in pregnancy</w:t>
            </w:r>
          </w:p>
        </w:tc>
      </w:tr>
      <w:tr w:rsidR="00B46DAE" w:rsidRPr="00B46DAE" w14:paraId="279AB44C" w14:textId="77777777" w:rsidTr="006F5124">
        <w:trPr>
          <w:trHeight w:val="397"/>
        </w:trPr>
        <w:tc>
          <w:tcPr>
            <w:tcW w:w="1838" w:type="dxa"/>
            <w:noWrap/>
            <w:hideMark/>
          </w:tcPr>
          <w:p w14:paraId="11A2AA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O224</w:t>
            </w:r>
          </w:p>
        </w:tc>
        <w:tc>
          <w:tcPr>
            <w:tcW w:w="7088" w:type="dxa"/>
            <w:hideMark/>
          </w:tcPr>
          <w:p w14:paraId="2874E5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Haemorrhoids in pregnancy</w:t>
            </w:r>
          </w:p>
        </w:tc>
      </w:tr>
      <w:tr w:rsidR="00B46DAE" w:rsidRPr="00B46DAE" w14:paraId="413266F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5039AC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O225</w:t>
            </w:r>
          </w:p>
        </w:tc>
        <w:tc>
          <w:tcPr>
            <w:tcW w:w="7088" w:type="dxa"/>
            <w:hideMark/>
          </w:tcPr>
          <w:p w14:paraId="2655B5F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Cerebral venous thrombosis in pregnancy</w:t>
            </w:r>
          </w:p>
        </w:tc>
      </w:tr>
      <w:tr w:rsidR="00B46DAE" w:rsidRPr="00B46DAE" w14:paraId="2331EE00" w14:textId="77777777" w:rsidTr="006F5124">
        <w:trPr>
          <w:trHeight w:val="397"/>
        </w:trPr>
        <w:tc>
          <w:tcPr>
            <w:tcW w:w="1838" w:type="dxa"/>
            <w:noWrap/>
            <w:hideMark/>
          </w:tcPr>
          <w:p w14:paraId="45A538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O228</w:t>
            </w:r>
          </w:p>
        </w:tc>
        <w:tc>
          <w:tcPr>
            <w:tcW w:w="7088" w:type="dxa"/>
            <w:hideMark/>
          </w:tcPr>
          <w:p w14:paraId="6E7BEC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venous complications in pregnancy</w:t>
            </w:r>
          </w:p>
        </w:tc>
      </w:tr>
      <w:tr w:rsidR="00B46DAE" w:rsidRPr="00B46DAE" w14:paraId="02DD05A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D84463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O229</w:t>
            </w:r>
          </w:p>
        </w:tc>
        <w:tc>
          <w:tcPr>
            <w:tcW w:w="7088" w:type="dxa"/>
            <w:hideMark/>
          </w:tcPr>
          <w:p w14:paraId="6687CD5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Venous condition in pregnancy</w:t>
            </w:r>
          </w:p>
        </w:tc>
      </w:tr>
      <w:tr w:rsidR="00B46DAE" w:rsidRPr="00B46DAE" w14:paraId="737C6606" w14:textId="77777777" w:rsidTr="006F5124">
        <w:trPr>
          <w:trHeight w:val="397"/>
        </w:trPr>
        <w:tc>
          <w:tcPr>
            <w:tcW w:w="1838" w:type="dxa"/>
            <w:noWrap/>
            <w:hideMark/>
          </w:tcPr>
          <w:p w14:paraId="742FA8D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w:t>
            </w:r>
          </w:p>
        </w:tc>
        <w:tc>
          <w:tcPr>
            <w:tcW w:w="7088" w:type="dxa"/>
            <w:hideMark/>
          </w:tcPr>
          <w:p w14:paraId="636D4EF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genitourinary tract in pregnancy</w:t>
            </w:r>
          </w:p>
        </w:tc>
      </w:tr>
      <w:tr w:rsidR="00B46DAE" w:rsidRPr="00B46DAE" w14:paraId="626EAAC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662E8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O230</w:t>
            </w:r>
          </w:p>
        </w:tc>
        <w:tc>
          <w:tcPr>
            <w:tcW w:w="7088" w:type="dxa"/>
            <w:hideMark/>
          </w:tcPr>
          <w:p w14:paraId="1B8899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kidney in pregnancy</w:t>
            </w:r>
          </w:p>
        </w:tc>
      </w:tr>
      <w:tr w:rsidR="00B46DAE" w:rsidRPr="00B46DAE" w14:paraId="1921A93C" w14:textId="77777777" w:rsidTr="006F5124">
        <w:trPr>
          <w:trHeight w:val="397"/>
        </w:trPr>
        <w:tc>
          <w:tcPr>
            <w:tcW w:w="1838" w:type="dxa"/>
            <w:noWrap/>
            <w:hideMark/>
          </w:tcPr>
          <w:p w14:paraId="4A9A02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O231</w:t>
            </w:r>
          </w:p>
        </w:tc>
        <w:tc>
          <w:tcPr>
            <w:tcW w:w="7088" w:type="dxa"/>
            <w:hideMark/>
          </w:tcPr>
          <w:p w14:paraId="114EDA8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bladder in pregnancy</w:t>
            </w:r>
          </w:p>
        </w:tc>
      </w:tr>
      <w:tr w:rsidR="00B46DAE" w:rsidRPr="00B46DAE" w14:paraId="044C036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B662D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O232</w:t>
            </w:r>
          </w:p>
        </w:tc>
        <w:tc>
          <w:tcPr>
            <w:tcW w:w="7088" w:type="dxa"/>
            <w:hideMark/>
          </w:tcPr>
          <w:p w14:paraId="59FAC45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urethra in pregnancy</w:t>
            </w:r>
          </w:p>
        </w:tc>
      </w:tr>
      <w:tr w:rsidR="00B46DAE" w:rsidRPr="00B46DAE" w14:paraId="52A24F7D" w14:textId="77777777" w:rsidTr="006F5124">
        <w:trPr>
          <w:trHeight w:val="397"/>
        </w:trPr>
        <w:tc>
          <w:tcPr>
            <w:tcW w:w="1838" w:type="dxa"/>
            <w:noWrap/>
            <w:hideMark/>
          </w:tcPr>
          <w:p w14:paraId="732B0AD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O233</w:t>
            </w:r>
          </w:p>
        </w:tc>
        <w:tc>
          <w:tcPr>
            <w:tcW w:w="7088" w:type="dxa"/>
            <w:hideMark/>
          </w:tcPr>
          <w:p w14:paraId="554BA91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other parts of urinary tract in pregnancy</w:t>
            </w:r>
          </w:p>
        </w:tc>
      </w:tr>
      <w:tr w:rsidR="00B46DAE" w:rsidRPr="00B46DAE" w14:paraId="2547392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7D0457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O234</w:t>
            </w:r>
          </w:p>
        </w:tc>
        <w:tc>
          <w:tcPr>
            <w:tcW w:w="7088" w:type="dxa"/>
            <w:hideMark/>
          </w:tcPr>
          <w:p w14:paraId="4C0635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infection of urinary tract in pregnancy</w:t>
            </w:r>
          </w:p>
        </w:tc>
      </w:tr>
      <w:tr w:rsidR="00B46DAE" w:rsidRPr="00B46DAE" w14:paraId="62F62CB7" w14:textId="77777777" w:rsidTr="006F5124">
        <w:trPr>
          <w:trHeight w:val="397"/>
        </w:trPr>
        <w:tc>
          <w:tcPr>
            <w:tcW w:w="1838" w:type="dxa"/>
            <w:noWrap/>
            <w:hideMark/>
          </w:tcPr>
          <w:p w14:paraId="38690D5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O235</w:t>
            </w:r>
          </w:p>
        </w:tc>
        <w:tc>
          <w:tcPr>
            <w:tcW w:w="7088" w:type="dxa"/>
            <w:hideMark/>
          </w:tcPr>
          <w:p w14:paraId="3131EA4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the genital tract in pregnancy</w:t>
            </w:r>
          </w:p>
        </w:tc>
      </w:tr>
      <w:tr w:rsidR="00B46DAE" w:rsidRPr="00B46DAE" w14:paraId="1DD0FE2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91E50C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O239</w:t>
            </w:r>
          </w:p>
        </w:tc>
        <w:tc>
          <w:tcPr>
            <w:tcW w:w="7088" w:type="dxa"/>
            <w:hideMark/>
          </w:tcPr>
          <w:p w14:paraId="3B0DDC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genitourinary tract infection in pregnancy</w:t>
            </w:r>
          </w:p>
        </w:tc>
      </w:tr>
      <w:tr w:rsidR="00B46DAE" w:rsidRPr="00B46DAE" w14:paraId="51E803DC" w14:textId="77777777" w:rsidTr="006F5124">
        <w:trPr>
          <w:trHeight w:val="397"/>
        </w:trPr>
        <w:tc>
          <w:tcPr>
            <w:tcW w:w="1838" w:type="dxa"/>
            <w:noWrap/>
            <w:hideMark/>
          </w:tcPr>
          <w:p w14:paraId="75B30E5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w:t>
            </w:r>
          </w:p>
        </w:tc>
        <w:tc>
          <w:tcPr>
            <w:tcW w:w="7088" w:type="dxa"/>
            <w:hideMark/>
          </w:tcPr>
          <w:p w14:paraId="7139CF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and intermediate hyperglycaemia in pregnancy, childbirth and the puerperium</w:t>
            </w:r>
          </w:p>
        </w:tc>
      </w:tr>
      <w:tr w:rsidR="00B46DAE" w:rsidRPr="00B46DAE" w14:paraId="0AD952D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CE9002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O240</w:t>
            </w:r>
          </w:p>
        </w:tc>
        <w:tc>
          <w:tcPr>
            <w:tcW w:w="7088" w:type="dxa"/>
            <w:hideMark/>
          </w:tcPr>
          <w:p w14:paraId="21B72A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Type 1 diabetes mellitus in pregnancy, childbirth and the puerperium</w:t>
            </w:r>
          </w:p>
        </w:tc>
      </w:tr>
      <w:tr w:rsidR="00B46DAE" w:rsidRPr="00B46DAE" w14:paraId="10163058" w14:textId="77777777" w:rsidTr="006F5124">
        <w:trPr>
          <w:trHeight w:val="397"/>
        </w:trPr>
        <w:tc>
          <w:tcPr>
            <w:tcW w:w="1838" w:type="dxa"/>
            <w:noWrap/>
            <w:hideMark/>
          </w:tcPr>
          <w:p w14:paraId="4E4CDE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O241</w:t>
            </w:r>
          </w:p>
        </w:tc>
        <w:tc>
          <w:tcPr>
            <w:tcW w:w="7088" w:type="dxa"/>
            <w:hideMark/>
          </w:tcPr>
          <w:p w14:paraId="7607460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Type 2 diabetes mellitus in pregnancy, childbirth and the puerperium</w:t>
            </w:r>
          </w:p>
        </w:tc>
      </w:tr>
      <w:tr w:rsidR="00B46DAE" w:rsidRPr="00B46DAE" w14:paraId="677993C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E4963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O2411</w:t>
            </w:r>
          </w:p>
        </w:tc>
        <w:tc>
          <w:tcPr>
            <w:tcW w:w="7088" w:type="dxa"/>
            <w:hideMark/>
          </w:tcPr>
          <w:p w14:paraId="207FF22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diabetes mellitus, Type 2, in pregnancy, non-insulin treated</w:t>
            </w:r>
          </w:p>
        </w:tc>
      </w:tr>
      <w:tr w:rsidR="00B46DAE" w:rsidRPr="00B46DAE" w14:paraId="204A6156" w14:textId="77777777" w:rsidTr="006F5124">
        <w:trPr>
          <w:trHeight w:val="397"/>
        </w:trPr>
        <w:tc>
          <w:tcPr>
            <w:tcW w:w="1838" w:type="dxa"/>
            <w:noWrap/>
            <w:hideMark/>
          </w:tcPr>
          <w:p w14:paraId="3E2698A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O2412</w:t>
            </w:r>
          </w:p>
        </w:tc>
        <w:tc>
          <w:tcPr>
            <w:tcW w:w="7088" w:type="dxa"/>
            <w:hideMark/>
          </w:tcPr>
          <w:p w14:paraId="69BA047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Type 2 diabetes mellitus in pregnancy, childbirth and the puerperium, insulin treated</w:t>
            </w:r>
          </w:p>
        </w:tc>
      </w:tr>
      <w:tr w:rsidR="00B46DAE" w:rsidRPr="00B46DAE" w14:paraId="5794537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084EFB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O2413</w:t>
            </w:r>
          </w:p>
        </w:tc>
        <w:tc>
          <w:tcPr>
            <w:tcW w:w="7088" w:type="dxa"/>
            <w:hideMark/>
          </w:tcPr>
          <w:p w14:paraId="66EE1B2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Type 2 diabetes mellitus in pregnancy, childbirth and the puerperium, oral hypoglycaemic therapy</w:t>
            </w:r>
          </w:p>
        </w:tc>
      </w:tr>
      <w:tr w:rsidR="00B46DAE" w:rsidRPr="00B46DAE" w14:paraId="2844D56F" w14:textId="77777777" w:rsidTr="006F5124">
        <w:trPr>
          <w:trHeight w:val="397"/>
        </w:trPr>
        <w:tc>
          <w:tcPr>
            <w:tcW w:w="1838" w:type="dxa"/>
            <w:noWrap/>
            <w:hideMark/>
          </w:tcPr>
          <w:p w14:paraId="70524A0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O2414</w:t>
            </w:r>
          </w:p>
        </w:tc>
        <w:tc>
          <w:tcPr>
            <w:tcW w:w="7088" w:type="dxa"/>
            <w:hideMark/>
          </w:tcPr>
          <w:p w14:paraId="1FEED3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Type 2 diabetes mellitus in pregnancy, childbirth and the puerperium, other</w:t>
            </w:r>
          </w:p>
        </w:tc>
      </w:tr>
      <w:tr w:rsidR="00B46DAE" w:rsidRPr="00B46DAE" w14:paraId="323333C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3BCCED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O2419</w:t>
            </w:r>
          </w:p>
        </w:tc>
        <w:tc>
          <w:tcPr>
            <w:tcW w:w="7088" w:type="dxa"/>
            <w:hideMark/>
          </w:tcPr>
          <w:p w14:paraId="2D585E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Type 2 diabetes mellitus in pregnancy, childbirth and the puerperium, unspecified</w:t>
            </w:r>
          </w:p>
        </w:tc>
      </w:tr>
      <w:tr w:rsidR="00B46DAE" w:rsidRPr="00B46DAE" w14:paraId="312BF209" w14:textId="77777777" w:rsidTr="006F5124">
        <w:trPr>
          <w:trHeight w:val="397"/>
        </w:trPr>
        <w:tc>
          <w:tcPr>
            <w:tcW w:w="1838" w:type="dxa"/>
            <w:noWrap/>
            <w:hideMark/>
          </w:tcPr>
          <w:p w14:paraId="7157668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O242</w:t>
            </w:r>
          </w:p>
        </w:tc>
        <w:tc>
          <w:tcPr>
            <w:tcW w:w="7088" w:type="dxa"/>
            <w:hideMark/>
          </w:tcPr>
          <w:p w14:paraId="41067E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other specified diabetes mellitus in pregnancy, childbirth and the puerperium</w:t>
            </w:r>
          </w:p>
        </w:tc>
      </w:tr>
      <w:tr w:rsidR="00B46DAE" w:rsidRPr="00B46DAE" w14:paraId="5D18E8E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DF11B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O2421</w:t>
            </w:r>
          </w:p>
        </w:tc>
        <w:tc>
          <w:tcPr>
            <w:tcW w:w="7088" w:type="dxa"/>
            <w:hideMark/>
          </w:tcPr>
          <w:p w14:paraId="25A8F05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diabetes mellitus, other specified type, in pregnancy, non-insulin treated</w:t>
            </w:r>
          </w:p>
        </w:tc>
      </w:tr>
      <w:tr w:rsidR="00B46DAE" w:rsidRPr="00B46DAE" w14:paraId="4C7FB9A8" w14:textId="77777777" w:rsidTr="006F5124">
        <w:trPr>
          <w:trHeight w:val="397"/>
        </w:trPr>
        <w:tc>
          <w:tcPr>
            <w:tcW w:w="1838" w:type="dxa"/>
            <w:noWrap/>
            <w:hideMark/>
          </w:tcPr>
          <w:p w14:paraId="1FAB17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O2422</w:t>
            </w:r>
          </w:p>
        </w:tc>
        <w:tc>
          <w:tcPr>
            <w:tcW w:w="7088" w:type="dxa"/>
            <w:hideMark/>
          </w:tcPr>
          <w:p w14:paraId="01B3097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other specified diabetes mellitus in pregnancy, childbirth and the puerperium, insulin treated</w:t>
            </w:r>
          </w:p>
        </w:tc>
      </w:tr>
      <w:tr w:rsidR="00B46DAE" w:rsidRPr="00B46DAE" w14:paraId="02B4AEF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B02332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O2423</w:t>
            </w:r>
          </w:p>
        </w:tc>
        <w:tc>
          <w:tcPr>
            <w:tcW w:w="7088" w:type="dxa"/>
            <w:hideMark/>
          </w:tcPr>
          <w:p w14:paraId="7E7251A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other specified diabetes mellitus in pregnancy, childbirth and the puerperium, oral hypoglycaemic therapy</w:t>
            </w:r>
          </w:p>
        </w:tc>
      </w:tr>
      <w:tr w:rsidR="00B46DAE" w:rsidRPr="00B46DAE" w14:paraId="37833298" w14:textId="77777777" w:rsidTr="006F5124">
        <w:trPr>
          <w:trHeight w:val="397"/>
        </w:trPr>
        <w:tc>
          <w:tcPr>
            <w:tcW w:w="1838" w:type="dxa"/>
            <w:noWrap/>
            <w:hideMark/>
          </w:tcPr>
          <w:p w14:paraId="68A843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O2424</w:t>
            </w:r>
          </w:p>
        </w:tc>
        <w:tc>
          <w:tcPr>
            <w:tcW w:w="7088" w:type="dxa"/>
            <w:hideMark/>
          </w:tcPr>
          <w:p w14:paraId="1A4080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other specified diabetes mellitus in pregnancy, childbirth and the puerperium, other</w:t>
            </w:r>
          </w:p>
        </w:tc>
      </w:tr>
      <w:tr w:rsidR="00B46DAE" w:rsidRPr="00B46DAE" w14:paraId="4CB600C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F38B3A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O2429</w:t>
            </w:r>
          </w:p>
        </w:tc>
        <w:tc>
          <w:tcPr>
            <w:tcW w:w="7088" w:type="dxa"/>
            <w:hideMark/>
          </w:tcPr>
          <w:p w14:paraId="7D51F87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other specified diabetes mellitus in pregnancy, childbirth and the puerperium, unspecified</w:t>
            </w:r>
          </w:p>
        </w:tc>
      </w:tr>
      <w:tr w:rsidR="00B46DAE" w:rsidRPr="00B46DAE" w14:paraId="1EE5D4FA" w14:textId="77777777" w:rsidTr="006F5124">
        <w:trPr>
          <w:trHeight w:val="397"/>
        </w:trPr>
        <w:tc>
          <w:tcPr>
            <w:tcW w:w="1838" w:type="dxa"/>
            <w:noWrap/>
            <w:hideMark/>
          </w:tcPr>
          <w:p w14:paraId="7D482BB4" w14:textId="77777777" w:rsidR="00B46DAE" w:rsidRPr="00B46DAE" w:rsidRDefault="00B46DAE" w:rsidP="00B46DAE">
            <w:pPr>
              <w:spacing w:after="0"/>
              <w:rPr>
                <w:rFonts w:ascii="Arial" w:hAnsi="Arial" w:cs="Arial"/>
                <w:color w:val="000000"/>
              </w:rPr>
            </w:pPr>
            <w:r w:rsidRPr="00B46DAE">
              <w:rPr>
                <w:rFonts w:ascii="Arial" w:hAnsi="Arial" w:cs="Arial"/>
                <w:color w:val="000000"/>
              </w:rPr>
              <w:t>O243</w:t>
            </w:r>
          </w:p>
        </w:tc>
        <w:tc>
          <w:tcPr>
            <w:tcW w:w="7088" w:type="dxa"/>
            <w:hideMark/>
          </w:tcPr>
          <w:p w14:paraId="54C183B0" w14:textId="77777777" w:rsidR="00B46DAE" w:rsidRPr="00B46DAE" w:rsidRDefault="00B46DAE" w:rsidP="00B46DAE">
            <w:pPr>
              <w:spacing w:after="0"/>
              <w:rPr>
                <w:rFonts w:ascii="Arial" w:hAnsi="Arial" w:cs="Arial"/>
                <w:color w:val="000000"/>
              </w:rPr>
            </w:pPr>
            <w:r w:rsidRPr="00B46DAE">
              <w:rPr>
                <w:rFonts w:ascii="Arial" w:hAnsi="Arial" w:cs="Arial"/>
                <w:color w:val="000000"/>
              </w:rPr>
              <w:t>Pre-existing unspecified diabetes mellitus, in pregnancy, childbirth and the puerperium</w:t>
            </w:r>
          </w:p>
        </w:tc>
      </w:tr>
      <w:tr w:rsidR="00B46DAE" w:rsidRPr="00B46DAE" w14:paraId="1C7C52E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2282C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O2431</w:t>
            </w:r>
          </w:p>
        </w:tc>
        <w:tc>
          <w:tcPr>
            <w:tcW w:w="7088" w:type="dxa"/>
            <w:hideMark/>
          </w:tcPr>
          <w:p w14:paraId="0A488E0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diabetes mellitus, unspecified, in pregnancy, non-insulin treated</w:t>
            </w:r>
          </w:p>
        </w:tc>
      </w:tr>
      <w:tr w:rsidR="00B46DAE" w:rsidRPr="00B46DAE" w14:paraId="651F7488" w14:textId="77777777" w:rsidTr="006F5124">
        <w:trPr>
          <w:trHeight w:val="397"/>
        </w:trPr>
        <w:tc>
          <w:tcPr>
            <w:tcW w:w="1838" w:type="dxa"/>
            <w:noWrap/>
            <w:hideMark/>
          </w:tcPr>
          <w:p w14:paraId="6885CE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O2432</w:t>
            </w:r>
          </w:p>
        </w:tc>
        <w:tc>
          <w:tcPr>
            <w:tcW w:w="7088" w:type="dxa"/>
            <w:hideMark/>
          </w:tcPr>
          <w:p w14:paraId="70576DE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unspecified diabetes mellitus in pregnancy, childbirth and the puerperium, insulin treated</w:t>
            </w:r>
          </w:p>
        </w:tc>
      </w:tr>
      <w:tr w:rsidR="00B46DAE" w:rsidRPr="00B46DAE" w14:paraId="44CEBC6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2C661F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O2433</w:t>
            </w:r>
          </w:p>
        </w:tc>
        <w:tc>
          <w:tcPr>
            <w:tcW w:w="7088" w:type="dxa"/>
            <w:hideMark/>
          </w:tcPr>
          <w:p w14:paraId="0FA840E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unspecified diabetes mellitus in pregnancy, childbirth and the puerperium, oral hypoglycaemic therapy</w:t>
            </w:r>
          </w:p>
        </w:tc>
      </w:tr>
      <w:tr w:rsidR="00B46DAE" w:rsidRPr="00B46DAE" w14:paraId="4598CB65" w14:textId="77777777" w:rsidTr="006F5124">
        <w:trPr>
          <w:trHeight w:val="397"/>
        </w:trPr>
        <w:tc>
          <w:tcPr>
            <w:tcW w:w="1838" w:type="dxa"/>
            <w:noWrap/>
            <w:hideMark/>
          </w:tcPr>
          <w:p w14:paraId="4A1EAE2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O2434</w:t>
            </w:r>
          </w:p>
        </w:tc>
        <w:tc>
          <w:tcPr>
            <w:tcW w:w="7088" w:type="dxa"/>
            <w:hideMark/>
          </w:tcPr>
          <w:p w14:paraId="160B2B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unspecified diabetes mellitus in pregnancy, childbirth and the puerperium, other</w:t>
            </w:r>
          </w:p>
        </w:tc>
      </w:tr>
      <w:tr w:rsidR="00B46DAE" w:rsidRPr="00B46DAE" w14:paraId="0AC3600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1BFB93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O2439</w:t>
            </w:r>
          </w:p>
        </w:tc>
        <w:tc>
          <w:tcPr>
            <w:tcW w:w="7088" w:type="dxa"/>
            <w:hideMark/>
          </w:tcPr>
          <w:p w14:paraId="033106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unspecified diabetes mellitus in pregnancy, childbirth and the puerperium, unspecified</w:t>
            </w:r>
          </w:p>
        </w:tc>
      </w:tr>
      <w:tr w:rsidR="00B46DAE" w:rsidRPr="00B46DAE" w14:paraId="57147420" w14:textId="77777777" w:rsidTr="006F5124">
        <w:trPr>
          <w:trHeight w:val="397"/>
        </w:trPr>
        <w:tc>
          <w:tcPr>
            <w:tcW w:w="1838" w:type="dxa"/>
            <w:noWrap/>
            <w:hideMark/>
          </w:tcPr>
          <w:p w14:paraId="04486E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O244</w:t>
            </w:r>
          </w:p>
        </w:tc>
        <w:tc>
          <w:tcPr>
            <w:tcW w:w="7088" w:type="dxa"/>
            <w:hideMark/>
          </w:tcPr>
          <w:p w14:paraId="69D6234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arising during pregnancy</w:t>
            </w:r>
          </w:p>
        </w:tc>
      </w:tr>
      <w:tr w:rsidR="00B46DAE" w:rsidRPr="00B46DAE" w14:paraId="34B999D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6B7C2F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O2441</w:t>
            </w:r>
          </w:p>
        </w:tc>
        <w:tc>
          <w:tcPr>
            <w:tcW w:w="7088" w:type="dxa"/>
            <w:hideMark/>
          </w:tcPr>
          <w:p w14:paraId="12BE97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arising at or after 24 weeks gestation, non-insulin treated</w:t>
            </w:r>
          </w:p>
        </w:tc>
      </w:tr>
      <w:tr w:rsidR="00B46DAE" w:rsidRPr="00B46DAE" w14:paraId="58961F50" w14:textId="77777777" w:rsidTr="006F5124">
        <w:trPr>
          <w:trHeight w:val="397"/>
        </w:trPr>
        <w:tc>
          <w:tcPr>
            <w:tcW w:w="1838" w:type="dxa"/>
            <w:noWrap/>
            <w:hideMark/>
          </w:tcPr>
          <w:p w14:paraId="4F4EE14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O2442</w:t>
            </w:r>
          </w:p>
        </w:tc>
        <w:tc>
          <w:tcPr>
            <w:tcW w:w="7088" w:type="dxa"/>
            <w:hideMark/>
          </w:tcPr>
          <w:p w14:paraId="202578C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arising during pregnancy, insulin treated</w:t>
            </w:r>
          </w:p>
        </w:tc>
      </w:tr>
      <w:tr w:rsidR="00B46DAE" w:rsidRPr="00B46DAE" w14:paraId="2569C7D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23C17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O2443</w:t>
            </w:r>
          </w:p>
        </w:tc>
        <w:tc>
          <w:tcPr>
            <w:tcW w:w="7088" w:type="dxa"/>
            <w:hideMark/>
          </w:tcPr>
          <w:p w14:paraId="265BA8D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arising during pregnancy, oral hypoglycaemic therapy</w:t>
            </w:r>
          </w:p>
        </w:tc>
      </w:tr>
      <w:tr w:rsidR="00B46DAE" w:rsidRPr="00B46DAE" w14:paraId="4ED8F3F2" w14:textId="77777777" w:rsidTr="006F5124">
        <w:trPr>
          <w:trHeight w:val="397"/>
        </w:trPr>
        <w:tc>
          <w:tcPr>
            <w:tcW w:w="1838" w:type="dxa"/>
            <w:noWrap/>
            <w:hideMark/>
          </w:tcPr>
          <w:p w14:paraId="6624DE6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O2444</w:t>
            </w:r>
          </w:p>
        </w:tc>
        <w:tc>
          <w:tcPr>
            <w:tcW w:w="7088" w:type="dxa"/>
            <w:hideMark/>
          </w:tcPr>
          <w:p w14:paraId="2F75A21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arising during pregnancy, other</w:t>
            </w:r>
          </w:p>
        </w:tc>
      </w:tr>
      <w:tr w:rsidR="00B46DAE" w:rsidRPr="00B46DAE" w14:paraId="7207577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4137AB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O2449</w:t>
            </w:r>
          </w:p>
        </w:tc>
        <w:tc>
          <w:tcPr>
            <w:tcW w:w="7088" w:type="dxa"/>
            <w:hideMark/>
          </w:tcPr>
          <w:p w14:paraId="2A574BE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arising during pregnancy, unspecified</w:t>
            </w:r>
          </w:p>
        </w:tc>
      </w:tr>
      <w:tr w:rsidR="00B46DAE" w:rsidRPr="00B46DAE" w14:paraId="6DD89B36" w14:textId="77777777" w:rsidTr="006F5124">
        <w:trPr>
          <w:trHeight w:val="397"/>
        </w:trPr>
        <w:tc>
          <w:tcPr>
            <w:tcW w:w="1838" w:type="dxa"/>
            <w:noWrap/>
            <w:hideMark/>
          </w:tcPr>
          <w:p w14:paraId="1EB2A6A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O245</w:t>
            </w:r>
          </w:p>
        </w:tc>
        <w:tc>
          <w:tcPr>
            <w:tcW w:w="7088" w:type="dxa"/>
            <w:hideMark/>
          </w:tcPr>
          <w:p w14:paraId="46B020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intermediate hyperglycaemia in pregnancy, childbirth and the puerperium</w:t>
            </w:r>
          </w:p>
        </w:tc>
      </w:tr>
      <w:tr w:rsidR="00B46DAE" w:rsidRPr="00B46DAE" w14:paraId="1C054B5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9C747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O2451</w:t>
            </w:r>
          </w:p>
        </w:tc>
        <w:tc>
          <w:tcPr>
            <w:tcW w:w="7088" w:type="dxa"/>
            <w:hideMark/>
          </w:tcPr>
          <w:p w14:paraId="5D0ECE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impaired glucose regulation, in pregnancy, non-insulin treated</w:t>
            </w:r>
          </w:p>
        </w:tc>
      </w:tr>
      <w:tr w:rsidR="00B46DAE" w:rsidRPr="00B46DAE" w14:paraId="7EDBF5E4" w14:textId="77777777" w:rsidTr="006F5124">
        <w:trPr>
          <w:trHeight w:val="397"/>
        </w:trPr>
        <w:tc>
          <w:tcPr>
            <w:tcW w:w="1838" w:type="dxa"/>
            <w:noWrap/>
            <w:hideMark/>
          </w:tcPr>
          <w:p w14:paraId="1227C2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O2452</w:t>
            </w:r>
          </w:p>
        </w:tc>
        <w:tc>
          <w:tcPr>
            <w:tcW w:w="7088" w:type="dxa"/>
            <w:hideMark/>
          </w:tcPr>
          <w:p w14:paraId="1A6A661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intermediate hyperglycaemia in pregnancy, childbirth and the puerperium, insulin treated</w:t>
            </w:r>
          </w:p>
        </w:tc>
      </w:tr>
      <w:tr w:rsidR="00B46DAE" w:rsidRPr="00B46DAE" w14:paraId="239613E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77535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O2453</w:t>
            </w:r>
          </w:p>
        </w:tc>
        <w:tc>
          <w:tcPr>
            <w:tcW w:w="7088" w:type="dxa"/>
            <w:hideMark/>
          </w:tcPr>
          <w:p w14:paraId="4682D0E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intermediate hyperglycaemia in pregnancy, childbirth and the puerperium, oral hypoglycaemic therapy</w:t>
            </w:r>
          </w:p>
        </w:tc>
      </w:tr>
      <w:tr w:rsidR="00B46DAE" w:rsidRPr="00B46DAE" w14:paraId="0EF13818" w14:textId="77777777" w:rsidTr="006F5124">
        <w:trPr>
          <w:trHeight w:val="397"/>
        </w:trPr>
        <w:tc>
          <w:tcPr>
            <w:tcW w:w="1838" w:type="dxa"/>
            <w:noWrap/>
            <w:hideMark/>
          </w:tcPr>
          <w:p w14:paraId="4F87404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O2454</w:t>
            </w:r>
          </w:p>
        </w:tc>
        <w:tc>
          <w:tcPr>
            <w:tcW w:w="7088" w:type="dxa"/>
            <w:hideMark/>
          </w:tcPr>
          <w:p w14:paraId="12BA44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intermediate hyperglycaemia in pregnancy, childbirth and the puerperium, other</w:t>
            </w:r>
          </w:p>
        </w:tc>
      </w:tr>
      <w:tr w:rsidR="00B46DAE" w:rsidRPr="00B46DAE" w14:paraId="1692D2F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701A7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O2459</w:t>
            </w:r>
          </w:p>
        </w:tc>
        <w:tc>
          <w:tcPr>
            <w:tcW w:w="7088" w:type="dxa"/>
            <w:hideMark/>
          </w:tcPr>
          <w:p w14:paraId="758BFDC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Pre-existing intermediate hyperglycaemia in pregnancy, childbirth and the puerperium, unspecified</w:t>
            </w:r>
          </w:p>
        </w:tc>
      </w:tr>
      <w:tr w:rsidR="00B46DAE" w:rsidRPr="00B46DAE" w14:paraId="3537F7E6" w14:textId="77777777" w:rsidTr="006F5124">
        <w:trPr>
          <w:trHeight w:val="397"/>
        </w:trPr>
        <w:tc>
          <w:tcPr>
            <w:tcW w:w="1838" w:type="dxa"/>
            <w:noWrap/>
            <w:hideMark/>
          </w:tcPr>
          <w:p w14:paraId="19B53A1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O249</w:t>
            </w:r>
          </w:p>
        </w:tc>
        <w:tc>
          <w:tcPr>
            <w:tcW w:w="7088" w:type="dxa"/>
            <w:hideMark/>
          </w:tcPr>
          <w:p w14:paraId="588303D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in pregnancy, childbirth and the puerperium, unspecified onset</w:t>
            </w:r>
          </w:p>
        </w:tc>
      </w:tr>
      <w:tr w:rsidR="00B46DAE" w:rsidRPr="00B46DAE" w14:paraId="250D685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F2DF86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O2491</w:t>
            </w:r>
          </w:p>
        </w:tc>
        <w:tc>
          <w:tcPr>
            <w:tcW w:w="7088" w:type="dxa"/>
            <w:hideMark/>
          </w:tcPr>
          <w:p w14:paraId="619ED2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in pregnancy, unspecified onset, non-insulin treated</w:t>
            </w:r>
          </w:p>
        </w:tc>
      </w:tr>
      <w:tr w:rsidR="00B46DAE" w:rsidRPr="00B46DAE" w14:paraId="3B15D27D" w14:textId="77777777" w:rsidTr="006F5124">
        <w:trPr>
          <w:trHeight w:val="397"/>
        </w:trPr>
        <w:tc>
          <w:tcPr>
            <w:tcW w:w="1838" w:type="dxa"/>
            <w:noWrap/>
            <w:hideMark/>
          </w:tcPr>
          <w:p w14:paraId="0E69BB7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O2492</w:t>
            </w:r>
          </w:p>
        </w:tc>
        <w:tc>
          <w:tcPr>
            <w:tcW w:w="7088" w:type="dxa"/>
            <w:hideMark/>
          </w:tcPr>
          <w:p w14:paraId="094870A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in pregnancy, childbirth and the puerperium, unspecified onset, insulin treated</w:t>
            </w:r>
          </w:p>
        </w:tc>
      </w:tr>
      <w:tr w:rsidR="00B46DAE" w:rsidRPr="00B46DAE" w14:paraId="25AF1BE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F38E4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O2493</w:t>
            </w:r>
          </w:p>
        </w:tc>
        <w:tc>
          <w:tcPr>
            <w:tcW w:w="7088" w:type="dxa"/>
            <w:hideMark/>
          </w:tcPr>
          <w:p w14:paraId="54B1023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in pregnancy, childbirth and the puerperium, unspecified onset, oral hypoglycaemic therapy</w:t>
            </w:r>
          </w:p>
        </w:tc>
      </w:tr>
      <w:tr w:rsidR="00B46DAE" w:rsidRPr="00B46DAE" w14:paraId="2C6B3D3D" w14:textId="77777777" w:rsidTr="006F5124">
        <w:trPr>
          <w:trHeight w:val="397"/>
        </w:trPr>
        <w:tc>
          <w:tcPr>
            <w:tcW w:w="1838" w:type="dxa"/>
            <w:noWrap/>
            <w:hideMark/>
          </w:tcPr>
          <w:p w14:paraId="49CF17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O2494</w:t>
            </w:r>
          </w:p>
        </w:tc>
        <w:tc>
          <w:tcPr>
            <w:tcW w:w="7088" w:type="dxa"/>
            <w:hideMark/>
          </w:tcPr>
          <w:p w14:paraId="28B46AA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in pregnancy, childbirth and the puerperium, unspecified onset, other</w:t>
            </w:r>
          </w:p>
        </w:tc>
      </w:tr>
      <w:tr w:rsidR="00B46DAE" w:rsidRPr="00B46DAE" w14:paraId="3DA47E8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91921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O2499</w:t>
            </w:r>
          </w:p>
        </w:tc>
        <w:tc>
          <w:tcPr>
            <w:tcW w:w="7088" w:type="dxa"/>
            <w:hideMark/>
          </w:tcPr>
          <w:p w14:paraId="4416E6E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Diabetes mellitus in pregnancy, childbirth and the puerperium, unspecified onset, unspecified</w:t>
            </w:r>
          </w:p>
        </w:tc>
      </w:tr>
      <w:tr w:rsidR="00B46DAE" w:rsidRPr="00B46DAE" w14:paraId="0CBA6A66" w14:textId="77777777" w:rsidTr="006F5124">
        <w:trPr>
          <w:trHeight w:val="397"/>
        </w:trPr>
        <w:tc>
          <w:tcPr>
            <w:tcW w:w="1838" w:type="dxa"/>
            <w:noWrap/>
            <w:hideMark/>
          </w:tcPr>
          <w:p w14:paraId="6A963E9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O25</w:t>
            </w:r>
          </w:p>
        </w:tc>
        <w:tc>
          <w:tcPr>
            <w:tcW w:w="7088" w:type="dxa"/>
            <w:hideMark/>
          </w:tcPr>
          <w:p w14:paraId="20EBAF8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Malnutrition in pregnancy, childbirth and the puerperium</w:t>
            </w:r>
          </w:p>
        </w:tc>
      </w:tr>
      <w:tr w:rsidR="00B46DAE" w:rsidRPr="00B46DAE" w14:paraId="0A19616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6908B0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w:t>
            </w:r>
          </w:p>
        </w:tc>
        <w:tc>
          <w:tcPr>
            <w:tcW w:w="7088" w:type="dxa"/>
            <w:hideMark/>
          </w:tcPr>
          <w:p w14:paraId="523303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conditions predominantly related to pregnancy</w:t>
            </w:r>
          </w:p>
        </w:tc>
      </w:tr>
      <w:tr w:rsidR="00B46DAE" w:rsidRPr="00B46DAE" w14:paraId="31329E4A" w14:textId="77777777" w:rsidTr="006F5124">
        <w:trPr>
          <w:trHeight w:val="397"/>
        </w:trPr>
        <w:tc>
          <w:tcPr>
            <w:tcW w:w="1838" w:type="dxa"/>
            <w:noWrap/>
            <w:hideMark/>
          </w:tcPr>
          <w:p w14:paraId="0ABA46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O260</w:t>
            </w:r>
          </w:p>
        </w:tc>
        <w:tc>
          <w:tcPr>
            <w:tcW w:w="7088" w:type="dxa"/>
            <w:hideMark/>
          </w:tcPr>
          <w:p w14:paraId="2720D25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Excessive weight gain in pregnancy</w:t>
            </w:r>
          </w:p>
        </w:tc>
      </w:tr>
      <w:tr w:rsidR="00B46DAE" w:rsidRPr="00B46DAE" w14:paraId="338F004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DEF3D5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O261</w:t>
            </w:r>
          </w:p>
        </w:tc>
        <w:tc>
          <w:tcPr>
            <w:tcW w:w="7088" w:type="dxa"/>
            <w:hideMark/>
          </w:tcPr>
          <w:p w14:paraId="5E1054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Low weight gain in pregnancy</w:t>
            </w:r>
          </w:p>
        </w:tc>
      </w:tr>
      <w:tr w:rsidR="00B46DAE" w:rsidRPr="00B46DAE" w14:paraId="463ED132" w14:textId="77777777" w:rsidTr="006F5124">
        <w:trPr>
          <w:trHeight w:val="397"/>
        </w:trPr>
        <w:tc>
          <w:tcPr>
            <w:tcW w:w="1838" w:type="dxa"/>
            <w:noWrap/>
            <w:hideMark/>
          </w:tcPr>
          <w:p w14:paraId="100A205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O262</w:t>
            </w:r>
          </w:p>
        </w:tc>
        <w:tc>
          <w:tcPr>
            <w:tcW w:w="7088" w:type="dxa"/>
            <w:hideMark/>
          </w:tcPr>
          <w:p w14:paraId="6F87C2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Pregnancy care of habitual aborter</w:t>
            </w:r>
          </w:p>
        </w:tc>
      </w:tr>
      <w:tr w:rsidR="00B46DAE" w:rsidRPr="00B46DAE" w14:paraId="581DD99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2EC335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O263</w:t>
            </w:r>
          </w:p>
        </w:tc>
        <w:tc>
          <w:tcPr>
            <w:tcW w:w="7088" w:type="dxa"/>
            <w:hideMark/>
          </w:tcPr>
          <w:p w14:paraId="6A79A7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Retained intrauterine contraceptive device in pregnancy</w:t>
            </w:r>
          </w:p>
        </w:tc>
      </w:tr>
      <w:tr w:rsidR="00B46DAE" w:rsidRPr="00B46DAE" w14:paraId="34C5856B" w14:textId="77777777" w:rsidTr="006F5124">
        <w:trPr>
          <w:trHeight w:val="397"/>
        </w:trPr>
        <w:tc>
          <w:tcPr>
            <w:tcW w:w="1838" w:type="dxa"/>
            <w:noWrap/>
            <w:hideMark/>
          </w:tcPr>
          <w:p w14:paraId="0C322C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O264</w:t>
            </w:r>
          </w:p>
        </w:tc>
        <w:tc>
          <w:tcPr>
            <w:tcW w:w="7088" w:type="dxa"/>
            <w:hideMark/>
          </w:tcPr>
          <w:p w14:paraId="7BE2543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Pemphigoid gestationis [herpes gestationis]</w:t>
            </w:r>
          </w:p>
        </w:tc>
      </w:tr>
      <w:tr w:rsidR="00B46DAE" w:rsidRPr="00B46DAE" w14:paraId="2BB9AA1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89C1F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O265</w:t>
            </w:r>
          </w:p>
        </w:tc>
        <w:tc>
          <w:tcPr>
            <w:tcW w:w="7088" w:type="dxa"/>
            <w:hideMark/>
          </w:tcPr>
          <w:p w14:paraId="3876417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hypotension syndrome</w:t>
            </w:r>
          </w:p>
        </w:tc>
      </w:tr>
      <w:tr w:rsidR="00B46DAE" w:rsidRPr="00B46DAE" w14:paraId="6C977191" w14:textId="77777777" w:rsidTr="006F5124">
        <w:trPr>
          <w:trHeight w:val="397"/>
        </w:trPr>
        <w:tc>
          <w:tcPr>
            <w:tcW w:w="1838" w:type="dxa"/>
            <w:noWrap/>
            <w:hideMark/>
          </w:tcPr>
          <w:p w14:paraId="0CBE77D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O266</w:t>
            </w:r>
          </w:p>
        </w:tc>
        <w:tc>
          <w:tcPr>
            <w:tcW w:w="7088" w:type="dxa"/>
            <w:hideMark/>
          </w:tcPr>
          <w:p w14:paraId="020749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Liver disorders in pregnancy, childbirth and the puerperium</w:t>
            </w:r>
          </w:p>
        </w:tc>
      </w:tr>
      <w:tr w:rsidR="00B46DAE" w:rsidRPr="00B46DAE" w14:paraId="3A60C05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8ECCB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O267</w:t>
            </w:r>
          </w:p>
        </w:tc>
        <w:tc>
          <w:tcPr>
            <w:tcW w:w="7088" w:type="dxa"/>
            <w:hideMark/>
          </w:tcPr>
          <w:p w14:paraId="7F4CA4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Subluxation of symphysis (pubis) in pregnancy, childbirth and the puerperium</w:t>
            </w:r>
          </w:p>
        </w:tc>
      </w:tr>
      <w:tr w:rsidR="00B46DAE" w:rsidRPr="00B46DAE" w14:paraId="72B067B0" w14:textId="77777777" w:rsidTr="006F5124">
        <w:trPr>
          <w:trHeight w:val="397"/>
        </w:trPr>
        <w:tc>
          <w:tcPr>
            <w:tcW w:w="1838" w:type="dxa"/>
            <w:noWrap/>
            <w:hideMark/>
          </w:tcPr>
          <w:p w14:paraId="2CC091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O268</w:t>
            </w:r>
          </w:p>
        </w:tc>
        <w:tc>
          <w:tcPr>
            <w:tcW w:w="7088" w:type="dxa"/>
            <w:hideMark/>
          </w:tcPr>
          <w:p w14:paraId="72A302D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pregnancy-related conditions</w:t>
            </w:r>
          </w:p>
        </w:tc>
      </w:tr>
      <w:tr w:rsidR="00B46DAE" w:rsidRPr="00B46DAE" w14:paraId="54DA61D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486C1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O2681</w:t>
            </w:r>
          </w:p>
        </w:tc>
        <w:tc>
          <w:tcPr>
            <w:tcW w:w="7088" w:type="dxa"/>
            <w:hideMark/>
          </w:tcPr>
          <w:p w14:paraId="70C1C61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Kidney disorders in pregnancy, childbirth and the puerperium</w:t>
            </w:r>
          </w:p>
        </w:tc>
      </w:tr>
      <w:tr w:rsidR="00B46DAE" w:rsidRPr="00B46DAE" w14:paraId="47AB1895" w14:textId="77777777" w:rsidTr="006F5124">
        <w:trPr>
          <w:trHeight w:val="397"/>
        </w:trPr>
        <w:tc>
          <w:tcPr>
            <w:tcW w:w="1838" w:type="dxa"/>
            <w:noWrap/>
            <w:hideMark/>
          </w:tcPr>
          <w:p w14:paraId="58E9239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O2682</w:t>
            </w:r>
          </w:p>
        </w:tc>
        <w:tc>
          <w:tcPr>
            <w:tcW w:w="7088" w:type="dxa"/>
            <w:hideMark/>
          </w:tcPr>
          <w:p w14:paraId="03073C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Carpal tunnel syndrome in pregnancy</w:t>
            </w:r>
          </w:p>
        </w:tc>
      </w:tr>
      <w:tr w:rsidR="00B46DAE" w:rsidRPr="00B46DAE" w14:paraId="01FEF3D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9DAF5C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O2683</w:t>
            </w:r>
          </w:p>
        </w:tc>
        <w:tc>
          <w:tcPr>
            <w:tcW w:w="7088" w:type="dxa"/>
            <w:hideMark/>
          </w:tcPr>
          <w:p w14:paraId="3013C8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Neuralgia in pregnancy</w:t>
            </w:r>
          </w:p>
        </w:tc>
      </w:tr>
      <w:tr w:rsidR="00B46DAE" w:rsidRPr="00B46DAE" w14:paraId="23A07E25" w14:textId="77777777" w:rsidTr="006F5124">
        <w:trPr>
          <w:trHeight w:val="397"/>
        </w:trPr>
        <w:tc>
          <w:tcPr>
            <w:tcW w:w="1838" w:type="dxa"/>
            <w:noWrap/>
            <w:hideMark/>
          </w:tcPr>
          <w:p w14:paraId="2CDC90A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O2688</w:t>
            </w:r>
          </w:p>
        </w:tc>
        <w:tc>
          <w:tcPr>
            <w:tcW w:w="7088" w:type="dxa"/>
            <w:hideMark/>
          </w:tcPr>
          <w:p w14:paraId="24A6874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pregnancy-related conditions</w:t>
            </w:r>
          </w:p>
        </w:tc>
      </w:tr>
      <w:tr w:rsidR="00B46DAE" w:rsidRPr="00B46DAE" w14:paraId="5AD89A6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F1412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O269</w:t>
            </w:r>
          </w:p>
        </w:tc>
        <w:tc>
          <w:tcPr>
            <w:tcW w:w="7088" w:type="dxa"/>
            <w:hideMark/>
          </w:tcPr>
          <w:p w14:paraId="201B856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Pregnancy-related condition, unspecified</w:t>
            </w:r>
          </w:p>
        </w:tc>
      </w:tr>
      <w:tr w:rsidR="00B46DAE" w:rsidRPr="00B46DAE" w14:paraId="5A54EA71" w14:textId="77777777" w:rsidTr="006F5124">
        <w:trPr>
          <w:trHeight w:val="397"/>
        </w:trPr>
        <w:tc>
          <w:tcPr>
            <w:tcW w:w="1838" w:type="dxa"/>
            <w:noWrap/>
            <w:hideMark/>
          </w:tcPr>
          <w:p w14:paraId="42A7414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w:t>
            </w:r>
          </w:p>
        </w:tc>
        <w:tc>
          <w:tcPr>
            <w:tcW w:w="7088" w:type="dxa"/>
            <w:hideMark/>
          </w:tcPr>
          <w:p w14:paraId="2580D4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findings on antenatal screening of mother</w:t>
            </w:r>
          </w:p>
        </w:tc>
      </w:tr>
      <w:tr w:rsidR="00B46DAE" w:rsidRPr="00B46DAE" w14:paraId="32E3693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6B2CF7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O280</w:t>
            </w:r>
          </w:p>
        </w:tc>
        <w:tc>
          <w:tcPr>
            <w:tcW w:w="7088" w:type="dxa"/>
            <w:hideMark/>
          </w:tcPr>
          <w:p w14:paraId="14CDB69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haematological finding on antenatal screening of mother</w:t>
            </w:r>
          </w:p>
        </w:tc>
      </w:tr>
      <w:tr w:rsidR="00B46DAE" w:rsidRPr="00B46DAE" w14:paraId="69372B60" w14:textId="77777777" w:rsidTr="006F5124">
        <w:trPr>
          <w:trHeight w:val="397"/>
        </w:trPr>
        <w:tc>
          <w:tcPr>
            <w:tcW w:w="1838" w:type="dxa"/>
            <w:noWrap/>
            <w:hideMark/>
          </w:tcPr>
          <w:p w14:paraId="59486E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O281</w:t>
            </w:r>
          </w:p>
        </w:tc>
        <w:tc>
          <w:tcPr>
            <w:tcW w:w="7088" w:type="dxa"/>
            <w:hideMark/>
          </w:tcPr>
          <w:p w14:paraId="4AC1005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biochemical finding on antenatal screening of mother</w:t>
            </w:r>
          </w:p>
        </w:tc>
      </w:tr>
      <w:tr w:rsidR="00B46DAE" w:rsidRPr="00B46DAE" w14:paraId="73137F7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487E1F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O282</w:t>
            </w:r>
          </w:p>
        </w:tc>
        <w:tc>
          <w:tcPr>
            <w:tcW w:w="7088" w:type="dxa"/>
            <w:hideMark/>
          </w:tcPr>
          <w:p w14:paraId="6BF362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cytological finding on antenatal screening of mother</w:t>
            </w:r>
          </w:p>
        </w:tc>
      </w:tr>
      <w:tr w:rsidR="00B46DAE" w:rsidRPr="00B46DAE" w14:paraId="1B095288" w14:textId="77777777" w:rsidTr="006F5124">
        <w:trPr>
          <w:trHeight w:val="397"/>
        </w:trPr>
        <w:tc>
          <w:tcPr>
            <w:tcW w:w="1838" w:type="dxa"/>
            <w:noWrap/>
            <w:hideMark/>
          </w:tcPr>
          <w:p w14:paraId="4E0E7F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O283</w:t>
            </w:r>
          </w:p>
        </w:tc>
        <w:tc>
          <w:tcPr>
            <w:tcW w:w="7088" w:type="dxa"/>
            <w:hideMark/>
          </w:tcPr>
          <w:p w14:paraId="1D2B23C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ultrasonic finding on antenatal screening of mother</w:t>
            </w:r>
          </w:p>
        </w:tc>
      </w:tr>
      <w:tr w:rsidR="00B46DAE" w:rsidRPr="00B46DAE" w14:paraId="613CB31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FAFE3D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O284</w:t>
            </w:r>
          </w:p>
        </w:tc>
        <w:tc>
          <w:tcPr>
            <w:tcW w:w="7088" w:type="dxa"/>
            <w:hideMark/>
          </w:tcPr>
          <w:p w14:paraId="29C40D3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radiological finding on antenatal screening of mother</w:t>
            </w:r>
          </w:p>
        </w:tc>
      </w:tr>
      <w:tr w:rsidR="00B46DAE" w:rsidRPr="00B46DAE" w14:paraId="54D48421" w14:textId="77777777" w:rsidTr="006F5124">
        <w:trPr>
          <w:trHeight w:val="397"/>
        </w:trPr>
        <w:tc>
          <w:tcPr>
            <w:tcW w:w="1838" w:type="dxa"/>
            <w:noWrap/>
            <w:hideMark/>
          </w:tcPr>
          <w:p w14:paraId="70AFD36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O285</w:t>
            </w:r>
          </w:p>
        </w:tc>
        <w:tc>
          <w:tcPr>
            <w:tcW w:w="7088" w:type="dxa"/>
            <w:hideMark/>
          </w:tcPr>
          <w:p w14:paraId="244DB9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chromosomal and genetic finding on antenatal screening of mother</w:t>
            </w:r>
          </w:p>
        </w:tc>
      </w:tr>
      <w:tr w:rsidR="00B46DAE" w:rsidRPr="00B46DAE" w14:paraId="15862F7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7DDD66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O288</w:t>
            </w:r>
          </w:p>
        </w:tc>
        <w:tc>
          <w:tcPr>
            <w:tcW w:w="7088" w:type="dxa"/>
            <w:hideMark/>
          </w:tcPr>
          <w:p w14:paraId="147632C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abnormal findings on antenatal screening of mother</w:t>
            </w:r>
          </w:p>
        </w:tc>
      </w:tr>
      <w:tr w:rsidR="00B46DAE" w:rsidRPr="00B46DAE" w14:paraId="08273751" w14:textId="77777777" w:rsidTr="006F5124">
        <w:trPr>
          <w:trHeight w:val="397"/>
        </w:trPr>
        <w:tc>
          <w:tcPr>
            <w:tcW w:w="1838" w:type="dxa"/>
            <w:noWrap/>
            <w:hideMark/>
          </w:tcPr>
          <w:p w14:paraId="57D8C7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O289</w:t>
            </w:r>
          </w:p>
        </w:tc>
        <w:tc>
          <w:tcPr>
            <w:tcW w:w="7088" w:type="dxa"/>
            <w:hideMark/>
          </w:tcPr>
          <w:p w14:paraId="326FDAB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 finding on antenatal screening of mother, unspecified</w:t>
            </w:r>
          </w:p>
        </w:tc>
      </w:tr>
      <w:tr w:rsidR="00B46DAE" w:rsidRPr="00B46DAE" w14:paraId="675E3A0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381C9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w:t>
            </w:r>
          </w:p>
        </w:tc>
        <w:tc>
          <w:tcPr>
            <w:tcW w:w="7088" w:type="dxa"/>
            <w:hideMark/>
          </w:tcPr>
          <w:p w14:paraId="0527EA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Complications of anaesthesia during pregnancy</w:t>
            </w:r>
          </w:p>
        </w:tc>
      </w:tr>
      <w:tr w:rsidR="00B46DAE" w:rsidRPr="00B46DAE" w14:paraId="198EB1F8" w14:textId="77777777" w:rsidTr="006F5124">
        <w:trPr>
          <w:trHeight w:val="397"/>
        </w:trPr>
        <w:tc>
          <w:tcPr>
            <w:tcW w:w="1838" w:type="dxa"/>
            <w:noWrap/>
            <w:hideMark/>
          </w:tcPr>
          <w:p w14:paraId="24E5F73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O290</w:t>
            </w:r>
          </w:p>
        </w:tc>
        <w:tc>
          <w:tcPr>
            <w:tcW w:w="7088" w:type="dxa"/>
            <w:hideMark/>
          </w:tcPr>
          <w:p w14:paraId="2549C17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Pulmonary complications of anaesthesia during pregnancy</w:t>
            </w:r>
          </w:p>
        </w:tc>
      </w:tr>
      <w:tr w:rsidR="00B46DAE" w:rsidRPr="00B46DAE" w14:paraId="36E8BC8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24E272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O291</w:t>
            </w:r>
          </w:p>
        </w:tc>
        <w:tc>
          <w:tcPr>
            <w:tcW w:w="7088" w:type="dxa"/>
            <w:hideMark/>
          </w:tcPr>
          <w:p w14:paraId="5B3FBA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Cardiac complications of anaesthesia during pregnancy</w:t>
            </w:r>
          </w:p>
        </w:tc>
      </w:tr>
      <w:tr w:rsidR="00B46DAE" w:rsidRPr="00B46DAE" w14:paraId="35D89079" w14:textId="77777777" w:rsidTr="006F5124">
        <w:trPr>
          <w:trHeight w:val="397"/>
        </w:trPr>
        <w:tc>
          <w:tcPr>
            <w:tcW w:w="1838" w:type="dxa"/>
            <w:noWrap/>
            <w:hideMark/>
          </w:tcPr>
          <w:p w14:paraId="1995B72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O292</w:t>
            </w:r>
          </w:p>
        </w:tc>
        <w:tc>
          <w:tcPr>
            <w:tcW w:w="7088" w:type="dxa"/>
            <w:hideMark/>
          </w:tcPr>
          <w:p w14:paraId="1F9F1A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Central nervous system complications of anaesthesia during pregnancy</w:t>
            </w:r>
          </w:p>
        </w:tc>
      </w:tr>
      <w:tr w:rsidR="00B46DAE" w:rsidRPr="00B46DAE" w14:paraId="7F2F6F8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02B49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O293</w:t>
            </w:r>
          </w:p>
        </w:tc>
        <w:tc>
          <w:tcPr>
            <w:tcW w:w="7088" w:type="dxa"/>
            <w:hideMark/>
          </w:tcPr>
          <w:p w14:paraId="27ABA6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Toxic reaction to local anaesthesia during pregnancy</w:t>
            </w:r>
          </w:p>
        </w:tc>
      </w:tr>
      <w:tr w:rsidR="00B46DAE" w:rsidRPr="00B46DAE" w14:paraId="24FA93DC" w14:textId="77777777" w:rsidTr="006F5124">
        <w:trPr>
          <w:trHeight w:val="397"/>
        </w:trPr>
        <w:tc>
          <w:tcPr>
            <w:tcW w:w="1838" w:type="dxa"/>
            <w:noWrap/>
            <w:hideMark/>
          </w:tcPr>
          <w:p w14:paraId="59D710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O294</w:t>
            </w:r>
          </w:p>
        </w:tc>
        <w:tc>
          <w:tcPr>
            <w:tcW w:w="7088" w:type="dxa"/>
            <w:hideMark/>
          </w:tcPr>
          <w:p w14:paraId="2A91587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Spinal and epidural anaesthesia-induced headache during pregnancy</w:t>
            </w:r>
          </w:p>
        </w:tc>
      </w:tr>
      <w:tr w:rsidR="00B46DAE" w:rsidRPr="00B46DAE" w14:paraId="6388D63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C072A3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O295</w:t>
            </w:r>
          </w:p>
        </w:tc>
        <w:tc>
          <w:tcPr>
            <w:tcW w:w="7088" w:type="dxa"/>
            <w:hideMark/>
          </w:tcPr>
          <w:p w14:paraId="79EBBB9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spinal and epidural anaesthesia during pregnancy</w:t>
            </w:r>
          </w:p>
        </w:tc>
      </w:tr>
      <w:tr w:rsidR="00B46DAE" w:rsidRPr="00B46DAE" w14:paraId="660C6B92" w14:textId="77777777" w:rsidTr="006F5124">
        <w:trPr>
          <w:trHeight w:val="397"/>
        </w:trPr>
        <w:tc>
          <w:tcPr>
            <w:tcW w:w="1838" w:type="dxa"/>
            <w:noWrap/>
            <w:hideMark/>
          </w:tcPr>
          <w:p w14:paraId="138DE82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O296</w:t>
            </w:r>
          </w:p>
        </w:tc>
        <w:tc>
          <w:tcPr>
            <w:tcW w:w="7088" w:type="dxa"/>
            <w:hideMark/>
          </w:tcPr>
          <w:p w14:paraId="460FC52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or difficult intubation during pregnancy</w:t>
            </w:r>
          </w:p>
        </w:tc>
      </w:tr>
      <w:tr w:rsidR="00B46DAE" w:rsidRPr="00B46DAE" w14:paraId="71451D3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587B5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O2961</w:t>
            </w:r>
          </w:p>
        </w:tc>
        <w:tc>
          <w:tcPr>
            <w:tcW w:w="7088" w:type="dxa"/>
            <w:hideMark/>
          </w:tcPr>
          <w:p w14:paraId="424BCEB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intubation during pregnancy</w:t>
            </w:r>
          </w:p>
        </w:tc>
      </w:tr>
      <w:tr w:rsidR="00B46DAE" w:rsidRPr="00B46DAE" w14:paraId="243DF6A8" w14:textId="77777777" w:rsidTr="006F5124">
        <w:trPr>
          <w:trHeight w:val="397"/>
        </w:trPr>
        <w:tc>
          <w:tcPr>
            <w:tcW w:w="1838" w:type="dxa"/>
            <w:noWrap/>
            <w:hideMark/>
          </w:tcPr>
          <w:p w14:paraId="037D9F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O2962</w:t>
            </w:r>
          </w:p>
        </w:tc>
        <w:tc>
          <w:tcPr>
            <w:tcW w:w="7088" w:type="dxa"/>
            <w:hideMark/>
          </w:tcPr>
          <w:p w14:paraId="0568E5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Difficult intubation during pregnancy</w:t>
            </w:r>
          </w:p>
        </w:tc>
      </w:tr>
      <w:tr w:rsidR="00B46DAE" w:rsidRPr="00B46DAE" w14:paraId="34E975D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82C421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O298</w:t>
            </w:r>
          </w:p>
        </w:tc>
        <w:tc>
          <w:tcPr>
            <w:tcW w:w="7088" w:type="dxa"/>
            <w:hideMark/>
          </w:tcPr>
          <w:p w14:paraId="54F0CC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anaesthesia during pregnancy</w:t>
            </w:r>
          </w:p>
        </w:tc>
      </w:tr>
      <w:tr w:rsidR="00B46DAE" w:rsidRPr="00B46DAE" w14:paraId="345A7759" w14:textId="77777777" w:rsidTr="006F5124">
        <w:trPr>
          <w:trHeight w:val="397"/>
        </w:trPr>
        <w:tc>
          <w:tcPr>
            <w:tcW w:w="1838" w:type="dxa"/>
            <w:noWrap/>
            <w:hideMark/>
          </w:tcPr>
          <w:p w14:paraId="7B5ACD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O299</w:t>
            </w:r>
          </w:p>
        </w:tc>
        <w:tc>
          <w:tcPr>
            <w:tcW w:w="7088" w:type="dxa"/>
            <w:hideMark/>
          </w:tcPr>
          <w:p w14:paraId="658EDA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 of anaesthesia during pregnancy, unspecified</w:t>
            </w:r>
          </w:p>
        </w:tc>
      </w:tr>
      <w:tr w:rsidR="00B46DAE" w:rsidRPr="00B46DAE" w14:paraId="5AAEAAF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DA158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O30</w:t>
            </w:r>
          </w:p>
        </w:tc>
        <w:tc>
          <w:tcPr>
            <w:tcW w:w="7088" w:type="dxa"/>
            <w:hideMark/>
          </w:tcPr>
          <w:p w14:paraId="01DEC8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gestation</w:t>
            </w:r>
          </w:p>
        </w:tc>
      </w:tr>
      <w:tr w:rsidR="00B46DAE" w:rsidRPr="00B46DAE" w14:paraId="54C972D8" w14:textId="77777777" w:rsidTr="006F5124">
        <w:trPr>
          <w:trHeight w:val="397"/>
        </w:trPr>
        <w:tc>
          <w:tcPr>
            <w:tcW w:w="1838" w:type="dxa"/>
            <w:noWrap/>
            <w:hideMark/>
          </w:tcPr>
          <w:p w14:paraId="79E2923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O300</w:t>
            </w:r>
          </w:p>
        </w:tc>
        <w:tc>
          <w:tcPr>
            <w:tcW w:w="7088" w:type="dxa"/>
            <w:hideMark/>
          </w:tcPr>
          <w:p w14:paraId="040F29F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Twin pregnancy</w:t>
            </w:r>
          </w:p>
        </w:tc>
      </w:tr>
      <w:tr w:rsidR="00B46DAE" w:rsidRPr="00B46DAE" w14:paraId="1F48C0B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F47B6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O301</w:t>
            </w:r>
          </w:p>
        </w:tc>
        <w:tc>
          <w:tcPr>
            <w:tcW w:w="7088" w:type="dxa"/>
            <w:hideMark/>
          </w:tcPr>
          <w:p w14:paraId="0D29FFD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Triplet pregnancy</w:t>
            </w:r>
          </w:p>
        </w:tc>
      </w:tr>
      <w:tr w:rsidR="00B46DAE" w:rsidRPr="00B46DAE" w14:paraId="41390429" w14:textId="77777777" w:rsidTr="006F5124">
        <w:trPr>
          <w:trHeight w:val="397"/>
        </w:trPr>
        <w:tc>
          <w:tcPr>
            <w:tcW w:w="1838" w:type="dxa"/>
            <w:noWrap/>
            <w:hideMark/>
          </w:tcPr>
          <w:p w14:paraId="4515C54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O302</w:t>
            </w:r>
          </w:p>
        </w:tc>
        <w:tc>
          <w:tcPr>
            <w:tcW w:w="7088" w:type="dxa"/>
            <w:hideMark/>
          </w:tcPr>
          <w:p w14:paraId="6F3E39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Quadruplet pregnancy</w:t>
            </w:r>
          </w:p>
        </w:tc>
      </w:tr>
      <w:tr w:rsidR="00B46DAE" w:rsidRPr="00B46DAE" w14:paraId="10AB960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3617B4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O308</w:t>
            </w:r>
          </w:p>
        </w:tc>
        <w:tc>
          <w:tcPr>
            <w:tcW w:w="7088" w:type="dxa"/>
            <w:hideMark/>
          </w:tcPr>
          <w:p w14:paraId="0DC3193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multiple gestation</w:t>
            </w:r>
          </w:p>
        </w:tc>
      </w:tr>
      <w:tr w:rsidR="00B46DAE" w:rsidRPr="00B46DAE" w14:paraId="44270863" w14:textId="77777777" w:rsidTr="006F5124">
        <w:trPr>
          <w:trHeight w:val="397"/>
        </w:trPr>
        <w:tc>
          <w:tcPr>
            <w:tcW w:w="1838" w:type="dxa"/>
            <w:noWrap/>
            <w:hideMark/>
          </w:tcPr>
          <w:p w14:paraId="21A7106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O309</w:t>
            </w:r>
          </w:p>
        </w:tc>
        <w:tc>
          <w:tcPr>
            <w:tcW w:w="7088" w:type="dxa"/>
            <w:hideMark/>
          </w:tcPr>
          <w:p w14:paraId="212C864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gestation, unspecified</w:t>
            </w:r>
          </w:p>
        </w:tc>
      </w:tr>
      <w:tr w:rsidR="00B46DAE" w:rsidRPr="00B46DAE" w14:paraId="07DCE19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8798E3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O31</w:t>
            </w:r>
          </w:p>
        </w:tc>
        <w:tc>
          <w:tcPr>
            <w:tcW w:w="7088" w:type="dxa"/>
            <w:hideMark/>
          </w:tcPr>
          <w:p w14:paraId="5A519C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Complications specific to multiple gestation</w:t>
            </w:r>
          </w:p>
        </w:tc>
      </w:tr>
      <w:tr w:rsidR="00B46DAE" w:rsidRPr="00B46DAE" w14:paraId="6A4B52B0" w14:textId="77777777" w:rsidTr="006F5124">
        <w:trPr>
          <w:trHeight w:val="397"/>
        </w:trPr>
        <w:tc>
          <w:tcPr>
            <w:tcW w:w="1838" w:type="dxa"/>
            <w:noWrap/>
            <w:hideMark/>
          </w:tcPr>
          <w:p w14:paraId="3FC808A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O310</w:t>
            </w:r>
          </w:p>
        </w:tc>
        <w:tc>
          <w:tcPr>
            <w:tcW w:w="7088" w:type="dxa"/>
            <w:hideMark/>
          </w:tcPr>
          <w:p w14:paraId="780170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Papyraceous fetus</w:t>
            </w:r>
          </w:p>
        </w:tc>
      </w:tr>
      <w:tr w:rsidR="00B46DAE" w:rsidRPr="00B46DAE" w14:paraId="6150FAA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6B027B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O311</w:t>
            </w:r>
          </w:p>
        </w:tc>
        <w:tc>
          <w:tcPr>
            <w:tcW w:w="7088" w:type="dxa"/>
            <w:hideMark/>
          </w:tcPr>
          <w:p w14:paraId="0EF17C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Continuing pregnancy after abortion of one fetus or more</w:t>
            </w:r>
          </w:p>
        </w:tc>
      </w:tr>
      <w:tr w:rsidR="00B46DAE" w:rsidRPr="00B46DAE" w14:paraId="09150B68" w14:textId="77777777" w:rsidTr="006F5124">
        <w:trPr>
          <w:trHeight w:val="397"/>
        </w:trPr>
        <w:tc>
          <w:tcPr>
            <w:tcW w:w="1838" w:type="dxa"/>
            <w:noWrap/>
            <w:hideMark/>
          </w:tcPr>
          <w:p w14:paraId="7AAC27D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O312</w:t>
            </w:r>
          </w:p>
        </w:tc>
        <w:tc>
          <w:tcPr>
            <w:tcW w:w="7088" w:type="dxa"/>
            <w:hideMark/>
          </w:tcPr>
          <w:p w14:paraId="3980464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Continuing pregnancy after intrauterine death of one fetus or more</w:t>
            </w:r>
          </w:p>
        </w:tc>
      </w:tr>
      <w:tr w:rsidR="00B46DAE" w:rsidRPr="00B46DAE" w14:paraId="20973BB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76340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O318</w:t>
            </w:r>
          </w:p>
        </w:tc>
        <w:tc>
          <w:tcPr>
            <w:tcW w:w="7088" w:type="dxa"/>
            <w:hideMark/>
          </w:tcPr>
          <w:p w14:paraId="05B58A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specific to multiple gestation</w:t>
            </w:r>
          </w:p>
        </w:tc>
      </w:tr>
      <w:tr w:rsidR="00B46DAE" w:rsidRPr="00B46DAE" w14:paraId="6BD9EC8E" w14:textId="77777777" w:rsidTr="006F5124">
        <w:trPr>
          <w:trHeight w:val="397"/>
        </w:trPr>
        <w:tc>
          <w:tcPr>
            <w:tcW w:w="1838" w:type="dxa"/>
            <w:noWrap/>
            <w:hideMark/>
          </w:tcPr>
          <w:p w14:paraId="64DB906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w:t>
            </w:r>
          </w:p>
        </w:tc>
        <w:tc>
          <w:tcPr>
            <w:tcW w:w="7088" w:type="dxa"/>
            <w:hideMark/>
          </w:tcPr>
          <w:p w14:paraId="563FE2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known or suspected malpresentation of fetus</w:t>
            </w:r>
          </w:p>
        </w:tc>
      </w:tr>
      <w:tr w:rsidR="00B46DAE" w:rsidRPr="00B46DAE" w14:paraId="58BE3C5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254E7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O320</w:t>
            </w:r>
          </w:p>
        </w:tc>
        <w:tc>
          <w:tcPr>
            <w:tcW w:w="7088" w:type="dxa"/>
            <w:hideMark/>
          </w:tcPr>
          <w:p w14:paraId="2E323F9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unstable lie</w:t>
            </w:r>
          </w:p>
        </w:tc>
      </w:tr>
      <w:tr w:rsidR="00B46DAE" w:rsidRPr="00B46DAE" w14:paraId="2126B5D9" w14:textId="77777777" w:rsidTr="006F5124">
        <w:trPr>
          <w:trHeight w:val="397"/>
        </w:trPr>
        <w:tc>
          <w:tcPr>
            <w:tcW w:w="1838" w:type="dxa"/>
            <w:noWrap/>
            <w:hideMark/>
          </w:tcPr>
          <w:p w14:paraId="151E20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O321</w:t>
            </w:r>
          </w:p>
        </w:tc>
        <w:tc>
          <w:tcPr>
            <w:tcW w:w="7088" w:type="dxa"/>
            <w:hideMark/>
          </w:tcPr>
          <w:p w14:paraId="3FE0764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breech presentation</w:t>
            </w:r>
          </w:p>
        </w:tc>
      </w:tr>
      <w:tr w:rsidR="00B46DAE" w:rsidRPr="00B46DAE" w14:paraId="14F2C9E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51B0BD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O322</w:t>
            </w:r>
          </w:p>
        </w:tc>
        <w:tc>
          <w:tcPr>
            <w:tcW w:w="7088" w:type="dxa"/>
            <w:hideMark/>
          </w:tcPr>
          <w:p w14:paraId="59A11D6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transverse and oblique lie</w:t>
            </w:r>
          </w:p>
        </w:tc>
      </w:tr>
      <w:tr w:rsidR="00B46DAE" w:rsidRPr="00B46DAE" w14:paraId="23C75509" w14:textId="77777777" w:rsidTr="006F5124">
        <w:trPr>
          <w:trHeight w:val="397"/>
        </w:trPr>
        <w:tc>
          <w:tcPr>
            <w:tcW w:w="1838" w:type="dxa"/>
            <w:noWrap/>
            <w:hideMark/>
          </w:tcPr>
          <w:p w14:paraId="4138343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O323</w:t>
            </w:r>
          </w:p>
        </w:tc>
        <w:tc>
          <w:tcPr>
            <w:tcW w:w="7088" w:type="dxa"/>
            <w:hideMark/>
          </w:tcPr>
          <w:p w14:paraId="24386D5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face, brow and chin presentation</w:t>
            </w:r>
          </w:p>
        </w:tc>
      </w:tr>
      <w:tr w:rsidR="00B46DAE" w:rsidRPr="00B46DAE" w14:paraId="0574EF2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115F71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O324</w:t>
            </w:r>
          </w:p>
        </w:tc>
        <w:tc>
          <w:tcPr>
            <w:tcW w:w="7088" w:type="dxa"/>
            <w:hideMark/>
          </w:tcPr>
          <w:p w14:paraId="32B5D9E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high head at term</w:t>
            </w:r>
          </w:p>
        </w:tc>
      </w:tr>
      <w:tr w:rsidR="00B46DAE" w:rsidRPr="00B46DAE" w14:paraId="5A01FE22" w14:textId="77777777" w:rsidTr="006F5124">
        <w:trPr>
          <w:trHeight w:val="397"/>
        </w:trPr>
        <w:tc>
          <w:tcPr>
            <w:tcW w:w="1838" w:type="dxa"/>
            <w:noWrap/>
            <w:hideMark/>
          </w:tcPr>
          <w:p w14:paraId="720841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O325</w:t>
            </w:r>
          </w:p>
        </w:tc>
        <w:tc>
          <w:tcPr>
            <w:tcW w:w="7088" w:type="dxa"/>
            <w:hideMark/>
          </w:tcPr>
          <w:p w14:paraId="41CC69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multiple gestation with malpresentation of one fetus or more</w:t>
            </w:r>
          </w:p>
        </w:tc>
      </w:tr>
      <w:tr w:rsidR="00B46DAE" w:rsidRPr="00B46DAE" w14:paraId="7B31A64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97F43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O326</w:t>
            </w:r>
          </w:p>
        </w:tc>
        <w:tc>
          <w:tcPr>
            <w:tcW w:w="7088" w:type="dxa"/>
            <w:hideMark/>
          </w:tcPr>
          <w:p w14:paraId="42420E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compound presentation</w:t>
            </w:r>
          </w:p>
        </w:tc>
      </w:tr>
      <w:tr w:rsidR="00B46DAE" w:rsidRPr="00B46DAE" w14:paraId="1A70417D" w14:textId="77777777" w:rsidTr="006F5124">
        <w:trPr>
          <w:trHeight w:val="397"/>
        </w:trPr>
        <w:tc>
          <w:tcPr>
            <w:tcW w:w="1838" w:type="dxa"/>
            <w:noWrap/>
            <w:hideMark/>
          </w:tcPr>
          <w:p w14:paraId="3AC4AA5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O328</w:t>
            </w:r>
          </w:p>
        </w:tc>
        <w:tc>
          <w:tcPr>
            <w:tcW w:w="7088" w:type="dxa"/>
            <w:hideMark/>
          </w:tcPr>
          <w:p w14:paraId="25C8910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malpresentation of fetus</w:t>
            </w:r>
          </w:p>
        </w:tc>
      </w:tr>
      <w:tr w:rsidR="00B46DAE" w:rsidRPr="00B46DAE" w14:paraId="4A783EE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F8D15A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O329</w:t>
            </w:r>
          </w:p>
        </w:tc>
        <w:tc>
          <w:tcPr>
            <w:tcW w:w="7088" w:type="dxa"/>
            <w:hideMark/>
          </w:tcPr>
          <w:p w14:paraId="428384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malpresentation of fetus, unspecified</w:t>
            </w:r>
          </w:p>
        </w:tc>
      </w:tr>
      <w:tr w:rsidR="00B46DAE" w:rsidRPr="00B46DAE" w14:paraId="62E2A3FF" w14:textId="77777777" w:rsidTr="006F5124">
        <w:trPr>
          <w:trHeight w:val="397"/>
        </w:trPr>
        <w:tc>
          <w:tcPr>
            <w:tcW w:w="1838" w:type="dxa"/>
            <w:noWrap/>
            <w:hideMark/>
          </w:tcPr>
          <w:p w14:paraId="021189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w:t>
            </w:r>
          </w:p>
        </w:tc>
        <w:tc>
          <w:tcPr>
            <w:tcW w:w="7088" w:type="dxa"/>
            <w:hideMark/>
          </w:tcPr>
          <w:p w14:paraId="75D0B5F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known or suspected disproportion</w:t>
            </w:r>
          </w:p>
        </w:tc>
      </w:tr>
      <w:tr w:rsidR="00B46DAE" w:rsidRPr="00B46DAE" w14:paraId="3295DE3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BBA4C9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O330</w:t>
            </w:r>
          </w:p>
        </w:tc>
        <w:tc>
          <w:tcPr>
            <w:tcW w:w="7088" w:type="dxa"/>
            <w:hideMark/>
          </w:tcPr>
          <w:p w14:paraId="25185C3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deformity of maternal pelvic bones</w:t>
            </w:r>
          </w:p>
        </w:tc>
      </w:tr>
      <w:tr w:rsidR="00B46DAE" w:rsidRPr="00B46DAE" w14:paraId="6F637E96" w14:textId="77777777" w:rsidTr="006F5124">
        <w:trPr>
          <w:trHeight w:val="397"/>
        </w:trPr>
        <w:tc>
          <w:tcPr>
            <w:tcW w:w="1838" w:type="dxa"/>
            <w:noWrap/>
            <w:hideMark/>
          </w:tcPr>
          <w:p w14:paraId="3A7B3E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O331</w:t>
            </w:r>
          </w:p>
        </w:tc>
        <w:tc>
          <w:tcPr>
            <w:tcW w:w="7088" w:type="dxa"/>
            <w:hideMark/>
          </w:tcPr>
          <w:p w14:paraId="2523F46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generally contracted pelvis</w:t>
            </w:r>
          </w:p>
        </w:tc>
      </w:tr>
      <w:tr w:rsidR="00B46DAE" w:rsidRPr="00B46DAE" w14:paraId="329A924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6FC2D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O332</w:t>
            </w:r>
          </w:p>
        </w:tc>
        <w:tc>
          <w:tcPr>
            <w:tcW w:w="7088" w:type="dxa"/>
            <w:hideMark/>
          </w:tcPr>
          <w:p w14:paraId="23709F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inlet contraction of pelvis</w:t>
            </w:r>
          </w:p>
        </w:tc>
      </w:tr>
      <w:tr w:rsidR="00B46DAE" w:rsidRPr="00B46DAE" w14:paraId="008D0715" w14:textId="77777777" w:rsidTr="006F5124">
        <w:trPr>
          <w:trHeight w:val="397"/>
        </w:trPr>
        <w:tc>
          <w:tcPr>
            <w:tcW w:w="1838" w:type="dxa"/>
            <w:noWrap/>
            <w:hideMark/>
          </w:tcPr>
          <w:p w14:paraId="6EEA65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O333</w:t>
            </w:r>
          </w:p>
        </w:tc>
        <w:tc>
          <w:tcPr>
            <w:tcW w:w="7088" w:type="dxa"/>
            <w:hideMark/>
          </w:tcPr>
          <w:p w14:paraId="31435E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outlet contraction of pelvis</w:t>
            </w:r>
          </w:p>
        </w:tc>
      </w:tr>
      <w:tr w:rsidR="00B46DAE" w:rsidRPr="00B46DAE" w14:paraId="2AA3FC8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D55550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O334</w:t>
            </w:r>
          </w:p>
        </w:tc>
        <w:tc>
          <w:tcPr>
            <w:tcW w:w="7088" w:type="dxa"/>
            <w:hideMark/>
          </w:tcPr>
          <w:p w14:paraId="0DAC6B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of mixed maternal and fetal origin</w:t>
            </w:r>
          </w:p>
        </w:tc>
      </w:tr>
      <w:tr w:rsidR="00B46DAE" w:rsidRPr="00B46DAE" w14:paraId="6098DCE7" w14:textId="77777777" w:rsidTr="006F5124">
        <w:trPr>
          <w:trHeight w:val="397"/>
        </w:trPr>
        <w:tc>
          <w:tcPr>
            <w:tcW w:w="1838" w:type="dxa"/>
            <w:noWrap/>
            <w:hideMark/>
          </w:tcPr>
          <w:p w14:paraId="701B1B9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O335</w:t>
            </w:r>
          </w:p>
        </w:tc>
        <w:tc>
          <w:tcPr>
            <w:tcW w:w="7088" w:type="dxa"/>
            <w:hideMark/>
          </w:tcPr>
          <w:p w14:paraId="5AFE15D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unusually large fetus</w:t>
            </w:r>
          </w:p>
        </w:tc>
      </w:tr>
      <w:tr w:rsidR="00B46DAE" w:rsidRPr="00B46DAE" w14:paraId="115B3BE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35F77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O336</w:t>
            </w:r>
          </w:p>
        </w:tc>
        <w:tc>
          <w:tcPr>
            <w:tcW w:w="7088" w:type="dxa"/>
            <w:hideMark/>
          </w:tcPr>
          <w:p w14:paraId="606B59A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hydrocephalic fetus</w:t>
            </w:r>
          </w:p>
        </w:tc>
      </w:tr>
      <w:tr w:rsidR="00B46DAE" w:rsidRPr="00B46DAE" w14:paraId="393F7886" w14:textId="77777777" w:rsidTr="006F5124">
        <w:trPr>
          <w:trHeight w:val="397"/>
        </w:trPr>
        <w:tc>
          <w:tcPr>
            <w:tcW w:w="1838" w:type="dxa"/>
            <w:noWrap/>
            <w:hideMark/>
          </w:tcPr>
          <w:p w14:paraId="7414E2E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O337</w:t>
            </w:r>
          </w:p>
        </w:tc>
        <w:tc>
          <w:tcPr>
            <w:tcW w:w="7088" w:type="dxa"/>
            <w:hideMark/>
          </w:tcPr>
          <w:p w14:paraId="6051B2A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due to other fetal deformities</w:t>
            </w:r>
          </w:p>
        </w:tc>
      </w:tr>
      <w:tr w:rsidR="00B46DAE" w:rsidRPr="00B46DAE" w14:paraId="423B4F7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2FF8DF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O338</w:t>
            </w:r>
          </w:p>
        </w:tc>
        <w:tc>
          <w:tcPr>
            <w:tcW w:w="7088" w:type="dxa"/>
            <w:hideMark/>
          </w:tcPr>
          <w:p w14:paraId="30F5013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of other origin</w:t>
            </w:r>
          </w:p>
        </w:tc>
      </w:tr>
      <w:tr w:rsidR="00B46DAE" w:rsidRPr="00B46DAE" w14:paraId="0DA70A06" w14:textId="77777777" w:rsidTr="006F5124">
        <w:trPr>
          <w:trHeight w:val="397"/>
        </w:trPr>
        <w:tc>
          <w:tcPr>
            <w:tcW w:w="1838" w:type="dxa"/>
            <w:noWrap/>
            <w:hideMark/>
          </w:tcPr>
          <w:p w14:paraId="7864C84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O339</w:t>
            </w:r>
          </w:p>
        </w:tc>
        <w:tc>
          <w:tcPr>
            <w:tcW w:w="7088" w:type="dxa"/>
            <w:hideMark/>
          </w:tcPr>
          <w:p w14:paraId="4D63ED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disproportion, unspecified</w:t>
            </w:r>
          </w:p>
        </w:tc>
      </w:tr>
      <w:tr w:rsidR="00B46DAE" w:rsidRPr="00B46DAE" w14:paraId="0C01147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C384A4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w:t>
            </w:r>
          </w:p>
        </w:tc>
        <w:tc>
          <w:tcPr>
            <w:tcW w:w="7088" w:type="dxa"/>
            <w:hideMark/>
          </w:tcPr>
          <w:p w14:paraId="7685F4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known or suspected abnormality of pelvic organs</w:t>
            </w:r>
          </w:p>
        </w:tc>
      </w:tr>
      <w:tr w:rsidR="00B46DAE" w:rsidRPr="00B46DAE" w14:paraId="634F864A" w14:textId="77777777" w:rsidTr="006F5124">
        <w:trPr>
          <w:trHeight w:val="397"/>
        </w:trPr>
        <w:tc>
          <w:tcPr>
            <w:tcW w:w="1838" w:type="dxa"/>
            <w:noWrap/>
            <w:hideMark/>
          </w:tcPr>
          <w:p w14:paraId="207ABD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O340</w:t>
            </w:r>
          </w:p>
        </w:tc>
        <w:tc>
          <w:tcPr>
            <w:tcW w:w="7088" w:type="dxa"/>
            <w:hideMark/>
          </w:tcPr>
          <w:p w14:paraId="1FC1A7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congenital malformation of uterus</w:t>
            </w:r>
          </w:p>
        </w:tc>
      </w:tr>
      <w:tr w:rsidR="00B46DAE" w:rsidRPr="00B46DAE" w14:paraId="03E913B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CDFB9C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O341</w:t>
            </w:r>
          </w:p>
        </w:tc>
        <w:tc>
          <w:tcPr>
            <w:tcW w:w="7088" w:type="dxa"/>
            <w:hideMark/>
          </w:tcPr>
          <w:p w14:paraId="2DE6A23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tumour of corpus uteri</w:t>
            </w:r>
          </w:p>
        </w:tc>
      </w:tr>
      <w:tr w:rsidR="00B46DAE" w:rsidRPr="00B46DAE" w14:paraId="27306BB4" w14:textId="77777777" w:rsidTr="006F5124">
        <w:trPr>
          <w:trHeight w:val="397"/>
        </w:trPr>
        <w:tc>
          <w:tcPr>
            <w:tcW w:w="1838" w:type="dxa"/>
            <w:noWrap/>
            <w:hideMark/>
          </w:tcPr>
          <w:p w14:paraId="1FA6D64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O342</w:t>
            </w:r>
          </w:p>
        </w:tc>
        <w:tc>
          <w:tcPr>
            <w:tcW w:w="7088" w:type="dxa"/>
            <w:hideMark/>
          </w:tcPr>
          <w:p w14:paraId="5E7770D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due to uterine scar from previous surgery</w:t>
            </w:r>
          </w:p>
        </w:tc>
      </w:tr>
      <w:tr w:rsidR="00B46DAE" w:rsidRPr="00B46DAE" w14:paraId="0FFF7BF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7A0A77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O343</w:t>
            </w:r>
          </w:p>
        </w:tc>
        <w:tc>
          <w:tcPr>
            <w:tcW w:w="7088" w:type="dxa"/>
            <w:hideMark/>
          </w:tcPr>
          <w:p w14:paraId="394465B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cervical incompetence</w:t>
            </w:r>
          </w:p>
        </w:tc>
      </w:tr>
      <w:tr w:rsidR="00B46DAE" w:rsidRPr="00B46DAE" w14:paraId="5598A719" w14:textId="77777777" w:rsidTr="006F5124">
        <w:trPr>
          <w:trHeight w:val="397"/>
        </w:trPr>
        <w:tc>
          <w:tcPr>
            <w:tcW w:w="1838" w:type="dxa"/>
            <w:noWrap/>
            <w:hideMark/>
          </w:tcPr>
          <w:p w14:paraId="5742B1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O344</w:t>
            </w:r>
          </w:p>
        </w:tc>
        <w:tc>
          <w:tcPr>
            <w:tcW w:w="7088" w:type="dxa"/>
            <w:hideMark/>
          </w:tcPr>
          <w:p w14:paraId="34A268B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abnormalities of cervix</w:t>
            </w:r>
          </w:p>
        </w:tc>
      </w:tr>
      <w:tr w:rsidR="00B46DAE" w:rsidRPr="00B46DAE" w14:paraId="37BE60A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C4F49C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O345</w:t>
            </w:r>
          </w:p>
        </w:tc>
        <w:tc>
          <w:tcPr>
            <w:tcW w:w="7088" w:type="dxa"/>
            <w:hideMark/>
          </w:tcPr>
          <w:p w14:paraId="68CDBC5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abnormalities of gravid uterus</w:t>
            </w:r>
          </w:p>
        </w:tc>
      </w:tr>
      <w:tr w:rsidR="00B46DAE" w:rsidRPr="00B46DAE" w14:paraId="2E2F8931" w14:textId="77777777" w:rsidTr="006F5124">
        <w:trPr>
          <w:trHeight w:val="397"/>
        </w:trPr>
        <w:tc>
          <w:tcPr>
            <w:tcW w:w="1838" w:type="dxa"/>
            <w:noWrap/>
            <w:hideMark/>
          </w:tcPr>
          <w:p w14:paraId="1D8E5F0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O346</w:t>
            </w:r>
          </w:p>
        </w:tc>
        <w:tc>
          <w:tcPr>
            <w:tcW w:w="7088" w:type="dxa"/>
            <w:hideMark/>
          </w:tcPr>
          <w:p w14:paraId="79E0552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abnormality of vagina</w:t>
            </w:r>
          </w:p>
        </w:tc>
      </w:tr>
      <w:tr w:rsidR="00B46DAE" w:rsidRPr="00B46DAE" w14:paraId="7A8DA03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0AEF65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O347</w:t>
            </w:r>
          </w:p>
        </w:tc>
        <w:tc>
          <w:tcPr>
            <w:tcW w:w="7088" w:type="dxa"/>
            <w:hideMark/>
          </w:tcPr>
          <w:p w14:paraId="032D43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abnormality of vulva and perineum</w:t>
            </w:r>
          </w:p>
        </w:tc>
      </w:tr>
      <w:tr w:rsidR="00B46DAE" w:rsidRPr="00B46DAE" w14:paraId="5C63A7C7" w14:textId="77777777" w:rsidTr="006F5124">
        <w:trPr>
          <w:trHeight w:val="397"/>
        </w:trPr>
        <w:tc>
          <w:tcPr>
            <w:tcW w:w="1838" w:type="dxa"/>
            <w:noWrap/>
            <w:hideMark/>
          </w:tcPr>
          <w:p w14:paraId="2648ABB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O348</w:t>
            </w:r>
          </w:p>
        </w:tc>
        <w:tc>
          <w:tcPr>
            <w:tcW w:w="7088" w:type="dxa"/>
            <w:hideMark/>
          </w:tcPr>
          <w:p w14:paraId="4CF133F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abnormalities of pelvic organs</w:t>
            </w:r>
          </w:p>
        </w:tc>
      </w:tr>
      <w:tr w:rsidR="00B46DAE" w:rsidRPr="00B46DAE" w14:paraId="156B487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62872B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O349</w:t>
            </w:r>
          </w:p>
        </w:tc>
        <w:tc>
          <w:tcPr>
            <w:tcW w:w="7088" w:type="dxa"/>
            <w:hideMark/>
          </w:tcPr>
          <w:p w14:paraId="08C555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abnormality of pelvic organ, unspecified</w:t>
            </w:r>
          </w:p>
        </w:tc>
      </w:tr>
      <w:tr w:rsidR="00B46DAE" w:rsidRPr="00B46DAE" w14:paraId="55666575" w14:textId="77777777" w:rsidTr="006F5124">
        <w:trPr>
          <w:trHeight w:val="397"/>
        </w:trPr>
        <w:tc>
          <w:tcPr>
            <w:tcW w:w="1838" w:type="dxa"/>
            <w:noWrap/>
            <w:hideMark/>
          </w:tcPr>
          <w:p w14:paraId="4FC8899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w:t>
            </w:r>
          </w:p>
        </w:tc>
        <w:tc>
          <w:tcPr>
            <w:tcW w:w="7088" w:type="dxa"/>
            <w:hideMark/>
          </w:tcPr>
          <w:p w14:paraId="5B548B0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known or suspected fetal abnormality and damage</w:t>
            </w:r>
          </w:p>
        </w:tc>
      </w:tr>
      <w:tr w:rsidR="00B46DAE" w:rsidRPr="00B46DAE" w14:paraId="2B7416B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44F122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O350</w:t>
            </w:r>
          </w:p>
        </w:tc>
        <w:tc>
          <w:tcPr>
            <w:tcW w:w="7088" w:type="dxa"/>
            <w:hideMark/>
          </w:tcPr>
          <w:p w14:paraId="7877EA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central nervous system malformation in fetus</w:t>
            </w:r>
          </w:p>
        </w:tc>
      </w:tr>
      <w:tr w:rsidR="00B46DAE" w:rsidRPr="00B46DAE" w14:paraId="6277B8DC" w14:textId="77777777" w:rsidTr="006F5124">
        <w:trPr>
          <w:trHeight w:val="397"/>
        </w:trPr>
        <w:tc>
          <w:tcPr>
            <w:tcW w:w="1838" w:type="dxa"/>
            <w:noWrap/>
            <w:hideMark/>
          </w:tcPr>
          <w:p w14:paraId="1F98592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O351</w:t>
            </w:r>
          </w:p>
        </w:tc>
        <w:tc>
          <w:tcPr>
            <w:tcW w:w="7088" w:type="dxa"/>
            <w:hideMark/>
          </w:tcPr>
          <w:p w14:paraId="32A0EB8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chromosomal abnormality in fetus</w:t>
            </w:r>
          </w:p>
        </w:tc>
      </w:tr>
      <w:tr w:rsidR="00B46DAE" w:rsidRPr="00B46DAE" w14:paraId="504814E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5FBB99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O352</w:t>
            </w:r>
          </w:p>
        </w:tc>
        <w:tc>
          <w:tcPr>
            <w:tcW w:w="7088" w:type="dxa"/>
            <w:hideMark/>
          </w:tcPr>
          <w:p w14:paraId="450AF43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hereditary disease in fetus</w:t>
            </w:r>
          </w:p>
        </w:tc>
      </w:tr>
      <w:tr w:rsidR="00B46DAE" w:rsidRPr="00B46DAE" w14:paraId="69D677F0" w14:textId="77777777" w:rsidTr="006F5124">
        <w:trPr>
          <w:trHeight w:val="397"/>
        </w:trPr>
        <w:tc>
          <w:tcPr>
            <w:tcW w:w="1838" w:type="dxa"/>
            <w:noWrap/>
            <w:hideMark/>
          </w:tcPr>
          <w:p w14:paraId="7856FF3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O353</w:t>
            </w:r>
          </w:p>
        </w:tc>
        <w:tc>
          <w:tcPr>
            <w:tcW w:w="7088" w:type="dxa"/>
            <w:hideMark/>
          </w:tcPr>
          <w:p w14:paraId="3C88DEC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damage to fetus from viral disease in mother</w:t>
            </w:r>
          </w:p>
        </w:tc>
      </w:tr>
      <w:tr w:rsidR="00B46DAE" w:rsidRPr="00B46DAE" w14:paraId="658217C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3C42C9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O354</w:t>
            </w:r>
          </w:p>
        </w:tc>
        <w:tc>
          <w:tcPr>
            <w:tcW w:w="7088" w:type="dxa"/>
            <w:hideMark/>
          </w:tcPr>
          <w:p w14:paraId="77F0A1F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damage to fetus from alcohol</w:t>
            </w:r>
          </w:p>
        </w:tc>
      </w:tr>
      <w:tr w:rsidR="00B46DAE" w:rsidRPr="00B46DAE" w14:paraId="2C35EBCA" w14:textId="77777777" w:rsidTr="006F5124">
        <w:trPr>
          <w:trHeight w:val="397"/>
        </w:trPr>
        <w:tc>
          <w:tcPr>
            <w:tcW w:w="1838" w:type="dxa"/>
            <w:noWrap/>
            <w:hideMark/>
          </w:tcPr>
          <w:p w14:paraId="4AD837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O355</w:t>
            </w:r>
          </w:p>
        </w:tc>
        <w:tc>
          <w:tcPr>
            <w:tcW w:w="7088" w:type="dxa"/>
            <w:hideMark/>
          </w:tcPr>
          <w:p w14:paraId="63E6E6E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damage to fetus by drugs</w:t>
            </w:r>
          </w:p>
        </w:tc>
      </w:tr>
      <w:tr w:rsidR="00B46DAE" w:rsidRPr="00B46DAE" w14:paraId="03C5B6E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BA368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O356</w:t>
            </w:r>
          </w:p>
        </w:tc>
        <w:tc>
          <w:tcPr>
            <w:tcW w:w="7088" w:type="dxa"/>
            <w:hideMark/>
          </w:tcPr>
          <w:p w14:paraId="36DE28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damage to fetus by radiation</w:t>
            </w:r>
          </w:p>
        </w:tc>
      </w:tr>
      <w:tr w:rsidR="00B46DAE" w:rsidRPr="00B46DAE" w14:paraId="2A509260" w14:textId="77777777" w:rsidTr="006F5124">
        <w:trPr>
          <w:trHeight w:val="397"/>
        </w:trPr>
        <w:tc>
          <w:tcPr>
            <w:tcW w:w="1838" w:type="dxa"/>
            <w:noWrap/>
            <w:hideMark/>
          </w:tcPr>
          <w:p w14:paraId="5305CEE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O357</w:t>
            </w:r>
          </w:p>
        </w:tc>
        <w:tc>
          <w:tcPr>
            <w:tcW w:w="7088" w:type="dxa"/>
            <w:hideMark/>
          </w:tcPr>
          <w:p w14:paraId="20DF1C6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damage to fetus by other medical procedures</w:t>
            </w:r>
          </w:p>
        </w:tc>
      </w:tr>
      <w:tr w:rsidR="00B46DAE" w:rsidRPr="00B46DAE" w14:paraId="08216FF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00C3E3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O358</w:t>
            </w:r>
          </w:p>
        </w:tc>
        <w:tc>
          <w:tcPr>
            <w:tcW w:w="7088" w:type="dxa"/>
            <w:hideMark/>
          </w:tcPr>
          <w:p w14:paraId="20BCDA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(suspected) fetal abnormality and damage</w:t>
            </w:r>
          </w:p>
        </w:tc>
      </w:tr>
      <w:tr w:rsidR="00B46DAE" w:rsidRPr="00B46DAE" w14:paraId="32329833" w14:textId="77777777" w:rsidTr="006F5124">
        <w:trPr>
          <w:trHeight w:val="397"/>
        </w:trPr>
        <w:tc>
          <w:tcPr>
            <w:tcW w:w="1838" w:type="dxa"/>
            <w:noWrap/>
            <w:hideMark/>
          </w:tcPr>
          <w:p w14:paraId="05D20E2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O359</w:t>
            </w:r>
          </w:p>
        </w:tc>
        <w:tc>
          <w:tcPr>
            <w:tcW w:w="7088" w:type="dxa"/>
            <w:hideMark/>
          </w:tcPr>
          <w:p w14:paraId="6675044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(suspected) fetal abnormality and damage, unspecified</w:t>
            </w:r>
          </w:p>
        </w:tc>
      </w:tr>
      <w:tr w:rsidR="00B46DAE" w:rsidRPr="00B46DAE" w14:paraId="3A1FF68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A05A60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w:t>
            </w:r>
          </w:p>
        </w:tc>
        <w:tc>
          <w:tcPr>
            <w:tcW w:w="7088" w:type="dxa"/>
            <w:hideMark/>
          </w:tcPr>
          <w:p w14:paraId="25BF620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known or suspected fetal problems</w:t>
            </w:r>
          </w:p>
        </w:tc>
      </w:tr>
      <w:tr w:rsidR="00B46DAE" w:rsidRPr="00B46DAE" w14:paraId="1161D881" w14:textId="77777777" w:rsidTr="006F5124">
        <w:trPr>
          <w:trHeight w:val="397"/>
        </w:trPr>
        <w:tc>
          <w:tcPr>
            <w:tcW w:w="1838" w:type="dxa"/>
            <w:noWrap/>
            <w:hideMark/>
          </w:tcPr>
          <w:p w14:paraId="7740EF3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O360</w:t>
            </w:r>
          </w:p>
        </w:tc>
        <w:tc>
          <w:tcPr>
            <w:tcW w:w="7088" w:type="dxa"/>
            <w:hideMark/>
          </w:tcPr>
          <w:p w14:paraId="11269D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rhesus isoimmunisation</w:t>
            </w:r>
          </w:p>
        </w:tc>
      </w:tr>
      <w:tr w:rsidR="00B46DAE" w:rsidRPr="00B46DAE" w14:paraId="6A6065E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1BB759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O361</w:t>
            </w:r>
          </w:p>
        </w:tc>
        <w:tc>
          <w:tcPr>
            <w:tcW w:w="7088" w:type="dxa"/>
            <w:hideMark/>
          </w:tcPr>
          <w:p w14:paraId="3F9C4D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isoimmunisation</w:t>
            </w:r>
          </w:p>
        </w:tc>
      </w:tr>
      <w:tr w:rsidR="00B46DAE" w:rsidRPr="00B46DAE" w14:paraId="3E809A21" w14:textId="77777777" w:rsidTr="006F5124">
        <w:trPr>
          <w:trHeight w:val="397"/>
        </w:trPr>
        <w:tc>
          <w:tcPr>
            <w:tcW w:w="1838" w:type="dxa"/>
            <w:noWrap/>
            <w:hideMark/>
          </w:tcPr>
          <w:p w14:paraId="0F31C82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O362</w:t>
            </w:r>
          </w:p>
        </w:tc>
        <w:tc>
          <w:tcPr>
            <w:tcW w:w="7088" w:type="dxa"/>
            <w:hideMark/>
          </w:tcPr>
          <w:p w14:paraId="03D932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hydrops fetalis</w:t>
            </w:r>
          </w:p>
        </w:tc>
      </w:tr>
      <w:tr w:rsidR="00B46DAE" w:rsidRPr="00B46DAE" w14:paraId="2FAF463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6A5C20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O363</w:t>
            </w:r>
          </w:p>
        </w:tc>
        <w:tc>
          <w:tcPr>
            <w:tcW w:w="7088" w:type="dxa"/>
            <w:hideMark/>
          </w:tcPr>
          <w:p w14:paraId="0011387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signs of fetal hypoxia</w:t>
            </w:r>
          </w:p>
        </w:tc>
      </w:tr>
      <w:tr w:rsidR="00B46DAE" w:rsidRPr="00B46DAE" w14:paraId="4EB62D91" w14:textId="77777777" w:rsidTr="006F5124">
        <w:trPr>
          <w:trHeight w:val="397"/>
        </w:trPr>
        <w:tc>
          <w:tcPr>
            <w:tcW w:w="1838" w:type="dxa"/>
            <w:noWrap/>
            <w:hideMark/>
          </w:tcPr>
          <w:p w14:paraId="72251C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O364</w:t>
            </w:r>
          </w:p>
        </w:tc>
        <w:tc>
          <w:tcPr>
            <w:tcW w:w="7088" w:type="dxa"/>
            <w:hideMark/>
          </w:tcPr>
          <w:p w14:paraId="14B3BF1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intrauterine death</w:t>
            </w:r>
          </w:p>
        </w:tc>
      </w:tr>
      <w:tr w:rsidR="00B46DAE" w:rsidRPr="00B46DAE" w14:paraId="0D1DB8C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DFF029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O365</w:t>
            </w:r>
          </w:p>
        </w:tc>
        <w:tc>
          <w:tcPr>
            <w:tcW w:w="7088" w:type="dxa"/>
            <w:hideMark/>
          </w:tcPr>
          <w:p w14:paraId="7B126E4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poor fetal growth</w:t>
            </w:r>
          </w:p>
        </w:tc>
      </w:tr>
      <w:tr w:rsidR="00B46DAE" w:rsidRPr="00B46DAE" w14:paraId="414F0CB3" w14:textId="77777777" w:rsidTr="006F5124">
        <w:trPr>
          <w:trHeight w:val="397"/>
        </w:trPr>
        <w:tc>
          <w:tcPr>
            <w:tcW w:w="1838" w:type="dxa"/>
            <w:noWrap/>
            <w:hideMark/>
          </w:tcPr>
          <w:p w14:paraId="4847084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O366</w:t>
            </w:r>
          </w:p>
        </w:tc>
        <w:tc>
          <w:tcPr>
            <w:tcW w:w="7088" w:type="dxa"/>
            <w:hideMark/>
          </w:tcPr>
          <w:p w14:paraId="681679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excessive fetal growth</w:t>
            </w:r>
          </w:p>
        </w:tc>
      </w:tr>
      <w:tr w:rsidR="00B46DAE" w:rsidRPr="00B46DAE" w14:paraId="616E477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0A705F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O367</w:t>
            </w:r>
          </w:p>
        </w:tc>
        <w:tc>
          <w:tcPr>
            <w:tcW w:w="7088" w:type="dxa"/>
            <w:hideMark/>
          </w:tcPr>
          <w:p w14:paraId="729BE35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viable fetus in abdominal pregnancy</w:t>
            </w:r>
          </w:p>
        </w:tc>
      </w:tr>
      <w:tr w:rsidR="00B46DAE" w:rsidRPr="00B46DAE" w14:paraId="2C5ED4F6" w14:textId="77777777" w:rsidTr="006F5124">
        <w:trPr>
          <w:trHeight w:val="397"/>
        </w:trPr>
        <w:tc>
          <w:tcPr>
            <w:tcW w:w="1838" w:type="dxa"/>
            <w:noWrap/>
            <w:hideMark/>
          </w:tcPr>
          <w:p w14:paraId="5EB7A02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O368</w:t>
            </w:r>
          </w:p>
        </w:tc>
        <w:tc>
          <w:tcPr>
            <w:tcW w:w="7088" w:type="dxa"/>
            <w:hideMark/>
          </w:tcPr>
          <w:p w14:paraId="4588CE4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other specified fetal problems</w:t>
            </w:r>
          </w:p>
        </w:tc>
      </w:tr>
      <w:tr w:rsidR="00B46DAE" w:rsidRPr="00B46DAE" w14:paraId="28662BB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D1CA04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O369</w:t>
            </w:r>
          </w:p>
        </w:tc>
        <w:tc>
          <w:tcPr>
            <w:tcW w:w="7088" w:type="dxa"/>
            <w:hideMark/>
          </w:tcPr>
          <w:p w14:paraId="5E3EC05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care for fetal problem, unspecified</w:t>
            </w:r>
          </w:p>
        </w:tc>
      </w:tr>
      <w:tr w:rsidR="00B46DAE" w:rsidRPr="00B46DAE" w14:paraId="060E5DAA" w14:textId="77777777" w:rsidTr="006F5124">
        <w:trPr>
          <w:trHeight w:val="397"/>
        </w:trPr>
        <w:tc>
          <w:tcPr>
            <w:tcW w:w="1838" w:type="dxa"/>
            <w:noWrap/>
            <w:hideMark/>
          </w:tcPr>
          <w:p w14:paraId="72A8D2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O40</w:t>
            </w:r>
          </w:p>
        </w:tc>
        <w:tc>
          <w:tcPr>
            <w:tcW w:w="7088" w:type="dxa"/>
            <w:hideMark/>
          </w:tcPr>
          <w:p w14:paraId="51AD72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Polyhydramnios</w:t>
            </w:r>
          </w:p>
        </w:tc>
      </w:tr>
      <w:tr w:rsidR="00B46DAE" w:rsidRPr="00B46DAE" w14:paraId="0137F76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02BE8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O41</w:t>
            </w:r>
          </w:p>
        </w:tc>
        <w:tc>
          <w:tcPr>
            <w:tcW w:w="7088" w:type="dxa"/>
            <w:hideMark/>
          </w:tcPr>
          <w:p w14:paraId="5F95645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disorders of amniotic fluid and membranes</w:t>
            </w:r>
          </w:p>
        </w:tc>
      </w:tr>
      <w:tr w:rsidR="00B46DAE" w:rsidRPr="00B46DAE" w14:paraId="0C4313C8" w14:textId="77777777" w:rsidTr="006F5124">
        <w:trPr>
          <w:trHeight w:val="397"/>
        </w:trPr>
        <w:tc>
          <w:tcPr>
            <w:tcW w:w="1838" w:type="dxa"/>
            <w:noWrap/>
            <w:hideMark/>
          </w:tcPr>
          <w:p w14:paraId="5B1B56C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O410</w:t>
            </w:r>
          </w:p>
        </w:tc>
        <w:tc>
          <w:tcPr>
            <w:tcW w:w="7088" w:type="dxa"/>
            <w:hideMark/>
          </w:tcPr>
          <w:p w14:paraId="42DBFB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Oligohydramnios</w:t>
            </w:r>
          </w:p>
        </w:tc>
      </w:tr>
      <w:tr w:rsidR="00B46DAE" w:rsidRPr="00B46DAE" w14:paraId="0BC50D2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45A9C5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O411</w:t>
            </w:r>
          </w:p>
        </w:tc>
        <w:tc>
          <w:tcPr>
            <w:tcW w:w="7088" w:type="dxa"/>
            <w:hideMark/>
          </w:tcPr>
          <w:p w14:paraId="232CE11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 of amniotic sac and membranes</w:t>
            </w:r>
          </w:p>
        </w:tc>
      </w:tr>
      <w:tr w:rsidR="00B46DAE" w:rsidRPr="00B46DAE" w14:paraId="558148F9" w14:textId="77777777" w:rsidTr="006F5124">
        <w:trPr>
          <w:trHeight w:val="397"/>
        </w:trPr>
        <w:tc>
          <w:tcPr>
            <w:tcW w:w="1838" w:type="dxa"/>
            <w:noWrap/>
            <w:hideMark/>
          </w:tcPr>
          <w:p w14:paraId="219534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O418</w:t>
            </w:r>
          </w:p>
        </w:tc>
        <w:tc>
          <w:tcPr>
            <w:tcW w:w="7088" w:type="dxa"/>
            <w:hideMark/>
          </w:tcPr>
          <w:p w14:paraId="740095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disorders of amniotic fluid and membranes</w:t>
            </w:r>
          </w:p>
        </w:tc>
      </w:tr>
      <w:tr w:rsidR="00B46DAE" w:rsidRPr="00B46DAE" w14:paraId="7EE0CFD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BD959A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O419</w:t>
            </w:r>
          </w:p>
        </w:tc>
        <w:tc>
          <w:tcPr>
            <w:tcW w:w="7088" w:type="dxa"/>
            <w:hideMark/>
          </w:tcPr>
          <w:p w14:paraId="3C50B2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Disorder of amniotic fluid and membranes, unspecified</w:t>
            </w:r>
          </w:p>
        </w:tc>
      </w:tr>
      <w:tr w:rsidR="00B46DAE" w:rsidRPr="00B46DAE" w14:paraId="70D051EF" w14:textId="77777777" w:rsidTr="006F5124">
        <w:trPr>
          <w:trHeight w:val="397"/>
        </w:trPr>
        <w:tc>
          <w:tcPr>
            <w:tcW w:w="1838" w:type="dxa"/>
            <w:noWrap/>
            <w:hideMark/>
          </w:tcPr>
          <w:p w14:paraId="1191EA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w:t>
            </w:r>
          </w:p>
        </w:tc>
        <w:tc>
          <w:tcPr>
            <w:tcW w:w="7088" w:type="dxa"/>
            <w:hideMark/>
          </w:tcPr>
          <w:p w14:paraId="25EF85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w:t>
            </w:r>
          </w:p>
        </w:tc>
      </w:tr>
      <w:tr w:rsidR="00B46DAE" w:rsidRPr="00B46DAE" w14:paraId="40682D0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2E4349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O420</w:t>
            </w:r>
          </w:p>
        </w:tc>
        <w:tc>
          <w:tcPr>
            <w:tcW w:w="7088" w:type="dxa"/>
            <w:hideMark/>
          </w:tcPr>
          <w:p w14:paraId="07C2349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 onset of labour within 24 hours</w:t>
            </w:r>
          </w:p>
        </w:tc>
      </w:tr>
      <w:tr w:rsidR="00B46DAE" w:rsidRPr="00B46DAE" w14:paraId="2CEB89F7" w14:textId="77777777" w:rsidTr="006F5124">
        <w:trPr>
          <w:trHeight w:val="397"/>
        </w:trPr>
        <w:tc>
          <w:tcPr>
            <w:tcW w:w="1838" w:type="dxa"/>
            <w:noWrap/>
            <w:hideMark/>
          </w:tcPr>
          <w:p w14:paraId="7793F11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O421</w:t>
            </w:r>
          </w:p>
        </w:tc>
        <w:tc>
          <w:tcPr>
            <w:tcW w:w="7088" w:type="dxa"/>
            <w:hideMark/>
          </w:tcPr>
          <w:p w14:paraId="01942F6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 onset of labour after 24 hours</w:t>
            </w:r>
          </w:p>
        </w:tc>
      </w:tr>
      <w:tr w:rsidR="00B46DAE" w:rsidRPr="00B46DAE" w14:paraId="16CFF0C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31892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O4211</w:t>
            </w:r>
          </w:p>
        </w:tc>
        <w:tc>
          <w:tcPr>
            <w:tcW w:w="7088" w:type="dxa"/>
            <w:hideMark/>
          </w:tcPr>
          <w:p w14:paraId="40C313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 onset of labour between 1-7 days later</w:t>
            </w:r>
          </w:p>
        </w:tc>
      </w:tr>
      <w:tr w:rsidR="00B46DAE" w:rsidRPr="00B46DAE" w14:paraId="5297D427" w14:textId="77777777" w:rsidTr="006F5124">
        <w:trPr>
          <w:trHeight w:val="397"/>
        </w:trPr>
        <w:tc>
          <w:tcPr>
            <w:tcW w:w="1838" w:type="dxa"/>
            <w:noWrap/>
            <w:hideMark/>
          </w:tcPr>
          <w:p w14:paraId="42544B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O4212</w:t>
            </w:r>
          </w:p>
        </w:tc>
        <w:tc>
          <w:tcPr>
            <w:tcW w:w="7088" w:type="dxa"/>
            <w:hideMark/>
          </w:tcPr>
          <w:p w14:paraId="36ED8F1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 onset of labour more than 7 days later</w:t>
            </w:r>
          </w:p>
        </w:tc>
      </w:tr>
      <w:tr w:rsidR="00B46DAE" w:rsidRPr="00B46DAE" w14:paraId="27555AA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5B2B1B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O422</w:t>
            </w:r>
          </w:p>
        </w:tc>
        <w:tc>
          <w:tcPr>
            <w:tcW w:w="7088" w:type="dxa"/>
            <w:hideMark/>
          </w:tcPr>
          <w:p w14:paraId="535963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 labour delayed by therapy</w:t>
            </w:r>
          </w:p>
        </w:tc>
      </w:tr>
      <w:tr w:rsidR="00B46DAE" w:rsidRPr="00B46DAE" w14:paraId="1A0F0731" w14:textId="77777777" w:rsidTr="006F5124">
        <w:trPr>
          <w:trHeight w:val="397"/>
        </w:trPr>
        <w:tc>
          <w:tcPr>
            <w:tcW w:w="1838" w:type="dxa"/>
            <w:noWrap/>
            <w:hideMark/>
          </w:tcPr>
          <w:p w14:paraId="10847E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O429</w:t>
            </w:r>
          </w:p>
        </w:tc>
        <w:tc>
          <w:tcPr>
            <w:tcW w:w="7088" w:type="dxa"/>
            <w:hideMark/>
          </w:tcPr>
          <w:p w14:paraId="45E5C04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rupture of membranes, unspecified</w:t>
            </w:r>
          </w:p>
        </w:tc>
      </w:tr>
      <w:tr w:rsidR="00B46DAE" w:rsidRPr="00B46DAE" w14:paraId="0503C13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D93A5A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O43</w:t>
            </w:r>
          </w:p>
        </w:tc>
        <w:tc>
          <w:tcPr>
            <w:tcW w:w="7088" w:type="dxa"/>
            <w:hideMark/>
          </w:tcPr>
          <w:p w14:paraId="344638F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Placental disorders</w:t>
            </w:r>
          </w:p>
        </w:tc>
      </w:tr>
      <w:tr w:rsidR="00B46DAE" w:rsidRPr="00B46DAE" w14:paraId="367FCC8E" w14:textId="77777777" w:rsidTr="006F5124">
        <w:trPr>
          <w:trHeight w:val="397"/>
        </w:trPr>
        <w:tc>
          <w:tcPr>
            <w:tcW w:w="1838" w:type="dxa"/>
            <w:noWrap/>
            <w:hideMark/>
          </w:tcPr>
          <w:p w14:paraId="7C17DC8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O430</w:t>
            </w:r>
          </w:p>
        </w:tc>
        <w:tc>
          <w:tcPr>
            <w:tcW w:w="7088" w:type="dxa"/>
            <w:hideMark/>
          </w:tcPr>
          <w:p w14:paraId="3A75064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Placental transfusion syndromes</w:t>
            </w:r>
          </w:p>
        </w:tc>
      </w:tr>
      <w:tr w:rsidR="00B46DAE" w:rsidRPr="00B46DAE" w14:paraId="18BB33A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FD744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O431</w:t>
            </w:r>
          </w:p>
        </w:tc>
        <w:tc>
          <w:tcPr>
            <w:tcW w:w="7088" w:type="dxa"/>
            <w:hideMark/>
          </w:tcPr>
          <w:p w14:paraId="6078E37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Malformation of placenta</w:t>
            </w:r>
          </w:p>
        </w:tc>
      </w:tr>
      <w:tr w:rsidR="00B46DAE" w:rsidRPr="00B46DAE" w14:paraId="155DBEA8" w14:textId="77777777" w:rsidTr="006F5124">
        <w:trPr>
          <w:trHeight w:val="397"/>
        </w:trPr>
        <w:tc>
          <w:tcPr>
            <w:tcW w:w="1838" w:type="dxa"/>
            <w:noWrap/>
            <w:hideMark/>
          </w:tcPr>
          <w:p w14:paraId="60B89AC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O432</w:t>
            </w:r>
          </w:p>
        </w:tc>
        <w:tc>
          <w:tcPr>
            <w:tcW w:w="7088" w:type="dxa"/>
            <w:hideMark/>
          </w:tcPr>
          <w:p w14:paraId="2517993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Morbidly adherent placenta</w:t>
            </w:r>
          </w:p>
        </w:tc>
      </w:tr>
      <w:tr w:rsidR="00B46DAE" w:rsidRPr="00B46DAE" w14:paraId="4A0E3BF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867E72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O438</w:t>
            </w:r>
          </w:p>
        </w:tc>
        <w:tc>
          <w:tcPr>
            <w:tcW w:w="7088" w:type="dxa"/>
            <w:hideMark/>
          </w:tcPr>
          <w:p w14:paraId="551CB9B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placental disorders</w:t>
            </w:r>
          </w:p>
        </w:tc>
      </w:tr>
      <w:tr w:rsidR="00B46DAE" w:rsidRPr="00B46DAE" w14:paraId="6CC82D83" w14:textId="77777777" w:rsidTr="006F5124">
        <w:trPr>
          <w:trHeight w:val="397"/>
        </w:trPr>
        <w:tc>
          <w:tcPr>
            <w:tcW w:w="1838" w:type="dxa"/>
            <w:noWrap/>
            <w:hideMark/>
          </w:tcPr>
          <w:p w14:paraId="1F1F1DF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O439</w:t>
            </w:r>
          </w:p>
        </w:tc>
        <w:tc>
          <w:tcPr>
            <w:tcW w:w="7088" w:type="dxa"/>
            <w:hideMark/>
          </w:tcPr>
          <w:p w14:paraId="07CD5F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Placental disorder, unspecified</w:t>
            </w:r>
          </w:p>
        </w:tc>
      </w:tr>
      <w:tr w:rsidR="00B46DAE" w:rsidRPr="00B46DAE" w14:paraId="5E5C401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686EC5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O44</w:t>
            </w:r>
          </w:p>
        </w:tc>
        <w:tc>
          <w:tcPr>
            <w:tcW w:w="7088" w:type="dxa"/>
            <w:hideMark/>
          </w:tcPr>
          <w:p w14:paraId="112548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Placenta praevia</w:t>
            </w:r>
          </w:p>
        </w:tc>
      </w:tr>
      <w:tr w:rsidR="00B46DAE" w:rsidRPr="00B46DAE" w14:paraId="11A274BC" w14:textId="77777777" w:rsidTr="006F5124">
        <w:trPr>
          <w:trHeight w:val="397"/>
        </w:trPr>
        <w:tc>
          <w:tcPr>
            <w:tcW w:w="1838" w:type="dxa"/>
            <w:noWrap/>
            <w:hideMark/>
          </w:tcPr>
          <w:p w14:paraId="1414163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O440</w:t>
            </w:r>
          </w:p>
        </w:tc>
        <w:tc>
          <w:tcPr>
            <w:tcW w:w="7088" w:type="dxa"/>
            <w:hideMark/>
          </w:tcPr>
          <w:p w14:paraId="61A4FD9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Placenta praevia specified as without haemorrhage</w:t>
            </w:r>
          </w:p>
        </w:tc>
      </w:tr>
      <w:tr w:rsidR="00B46DAE" w:rsidRPr="00B46DAE" w14:paraId="3A32E0F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0651E1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O441</w:t>
            </w:r>
          </w:p>
        </w:tc>
        <w:tc>
          <w:tcPr>
            <w:tcW w:w="7088" w:type="dxa"/>
            <w:hideMark/>
          </w:tcPr>
          <w:p w14:paraId="623F87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Placenta praevia with haemorrhage</w:t>
            </w:r>
          </w:p>
        </w:tc>
      </w:tr>
      <w:tr w:rsidR="00B46DAE" w:rsidRPr="00B46DAE" w14:paraId="246F9779" w14:textId="77777777" w:rsidTr="006F5124">
        <w:trPr>
          <w:trHeight w:val="397"/>
        </w:trPr>
        <w:tc>
          <w:tcPr>
            <w:tcW w:w="1838" w:type="dxa"/>
            <w:noWrap/>
            <w:hideMark/>
          </w:tcPr>
          <w:p w14:paraId="4CECF5A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O45</w:t>
            </w:r>
          </w:p>
        </w:tc>
        <w:tc>
          <w:tcPr>
            <w:tcW w:w="7088" w:type="dxa"/>
            <w:hideMark/>
          </w:tcPr>
          <w:p w14:paraId="399857D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separation of placenta [abruptio placentae]</w:t>
            </w:r>
          </w:p>
        </w:tc>
      </w:tr>
      <w:tr w:rsidR="00B46DAE" w:rsidRPr="00B46DAE" w14:paraId="39F646F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812BCC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O450</w:t>
            </w:r>
          </w:p>
        </w:tc>
        <w:tc>
          <w:tcPr>
            <w:tcW w:w="7088" w:type="dxa"/>
            <w:hideMark/>
          </w:tcPr>
          <w:p w14:paraId="31E1AE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separation of placenta with coagulation defect</w:t>
            </w:r>
          </w:p>
        </w:tc>
      </w:tr>
      <w:tr w:rsidR="00B46DAE" w:rsidRPr="00B46DAE" w14:paraId="3495EF55" w14:textId="77777777" w:rsidTr="006F5124">
        <w:trPr>
          <w:trHeight w:val="397"/>
        </w:trPr>
        <w:tc>
          <w:tcPr>
            <w:tcW w:w="1838" w:type="dxa"/>
            <w:noWrap/>
            <w:hideMark/>
          </w:tcPr>
          <w:p w14:paraId="380E173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O458</w:t>
            </w:r>
          </w:p>
        </w:tc>
        <w:tc>
          <w:tcPr>
            <w:tcW w:w="7088" w:type="dxa"/>
            <w:hideMark/>
          </w:tcPr>
          <w:p w14:paraId="0F9DD2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premature separation of placenta</w:t>
            </w:r>
          </w:p>
        </w:tc>
      </w:tr>
      <w:tr w:rsidR="00B46DAE" w:rsidRPr="00B46DAE" w14:paraId="22207EF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70B4C9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O459</w:t>
            </w:r>
          </w:p>
        </w:tc>
        <w:tc>
          <w:tcPr>
            <w:tcW w:w="7088" w:type="dxa"/>
            <w:hideMark/>
          </w:tcPr>
          <w:p w14:paraId="07855BD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Premature separation of placenta, unspecified</w:t>
            </w:r>
          </w:p>
        </w:tc>
      </w:tr>
      <w:tr w:rsidR="00B46DAE" w:rsidRPr="00B46DAE" w14:paraId="078899F3" w14:textId="77777777" w:rsidTr="006F5124">
        <w:trPr>
          <w:trHeight w:val="397"/>
        </w:trPr>
        <w:tc>
          <w:tcPr>
            <w:tcW w:w="1838" w:type="dxa"/>
            <w:noWrap/>
            <w:hideMark/>
          </w:tcPr>
          <w:p w14:paraId="53B30D3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O46</w:t>
            </w:r>
          </w:p>
        </w:tc>
        <w:tc>
          <w:tcPr>
            <w:tcW w:w="7088" w:type="dxa"/>
            <w:hideMark/>
          </w:tcPr>
          <w:p w14:paraId="170DCD4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Antepartum haemorrhage, not elsewhere classified</w:t>
            </w:r>
          </w:p>
        </w:tc>
      </w:tr>
      <w:tr w:rsidR="00B46DAE" w:rsidRPr="00B46DAE" w14:paraId="6C4F11F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E86B6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O460</w:t>
            </w:r>
          </w:p>
        </w:tc>
        <w:tc>
          <w:tcPr>
            <w:tcW w:w="7088" w:type="dxa"/>
            <w:hideMark/>
          </w:tcPr>
          <w:p w14:paraId="311421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Antepartum haemorrhage with coagulation defect</w:t>
            </w:r>
          </w:p>
        </w:tc>
      </w:tr>
      <w:tr w:rsidR="00B46DAE" w:rsidRPr="00B46DAE" w14:paraId="2F81FEBF" w14:textId="77777777" w:rsidTr="006F5124">
        <w:trPr>
          <w:trHeight w:val="397"/>
        </w:trPr>
        <w:tc>
          <w:tcPr>
            <w:tcW w:w="1838" w:type="dxa"/>
            <w:noWrap/>
            <w:hideMark/>
          </w:tcPr>
          <w:p w14:paraId="30702B8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O468</w:t>
            </w:r>
          </w:p>
        </w:tc>
        <w:tc>
          <w:tcPr>
            <w:tcW w:w="7088" w:type="dxa"/>
            <w:hideMark/>
          </w:tcPr>
          <w:p w14:paraId="5A41F5D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antepartum haemorrhage</w:t>
            </w:r>
          </w:p>
        </w:tc>
      </w:tr>
      <w:tr w:rsidR="00B46DAE" w:rsidRPr="00B46DAE" w14:paraId="1B13986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916A89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O469</w:t>
            </w:r>
          </w:p>
        </w:tc>
        <w:tc>
          <w:tcPr>
            <w:tcW w:w="7088" w:type="dxa"/>
            <w:hideMark/>
          </w:tcPr>
          <w:p w14:paraId="654ECCC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Antepartum haemorrhage, unspecified</w:t>
            </w:r>
          </w:p>
        </w:tc>
      </w:tr>
      <w:tr w:rsidR="00B46DAE" w:rsidRPr="00B46DAE" w14:paraId="66A2A7F4" w14:textId="77777777" w:rsidTr="006F5124">
        <w:trPr>
          <w:trHeight w:val="397"/>
        </w:trPr>
        <w:tc>
          <w:tcPr>
            <w:tcW w:w="1838" w:type="dxa"/>
            <w:noWrap/>
            <w:hideMark/>
          </w:tcPr>
          <w:p w14:paraId="59CBAA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O47</w:t>
            </w:r>
          </w:p>
        </w:tc>
        <w:tc>
          <w:tcPr>
            <w:tcW w:w="7088" w:type="dxa"/>
            <w:hideMark/>
          </w:tcPr>
          <w:p w14:paraId="7558B1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False labour or labour without delivery</w:t>
            </w:r>
          </w:p>
        </w:tc>
      </w:tr>
      <w:tr w:rsidR="00B46DAE" w:rsidRPr="00B46DAE" w14:paraId="3A44E0F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912264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O470</w:t>
            </w:r>
          </w:p>
        </w:tc>
        <w:tc>
          <w:tcPr>
            <w:tcW w:w="7088" w:type="dxa"/>
            <w:hideMark/>
          </w:tcPr>
          <w:p w14:paraId="1852C46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False labour before 37 completed weeks of gestation</w:t>
            </w:r>
          </w:p>
        </w:tc>
      </w:tr>
      <w:tr w:rsidR="00B46DAE" w:rsidRPr="00B46DAE" w14:paraId="38F4B6FE" w14:textId="77777777" w:rsidTr="006F5124">
        <w:trPr>
          <w:trHeight w:val="397"/>
        </w:trPr>
        <w:tc>
          <w:tcPr>
            <w:tcW w:w="1838" w:type="dxa"/>
            <w:noWrap/>
            <w:hideMark/>
          </w:tcPr>
          <w:p w14:paraId="7F76EC6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O471</w:t>
            </w:r>
          </w:p>
        </w:tc>
        <w:tc>
          <w:tcPr>
            <w:tcW w:w="7088" w:type="dxa"/>
            <w:hideMark/>
          </w:tcPr>
          <w:p w14:paraId="1058C7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False labour at or after 37 completed weeks of gestation</w:t>
            </w:r>
          </w:p>
        </w:tc>
      </w:tr>
      <w:tr w:rsidR="00B46DAE" w:rsidRPr="00B46DAE" w14:paraId="15E271B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F1D13B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O472</w:t>
            </w:r>
          </w:p>
        </w:tc>
        <w:tc>
          <w:tcPr>
            <w:tcW w:w="7088" w:type="dxa"/>
            <w:hideMark/>
          </w:tcPr>
          <w:p w14:paraId="398A9E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without delivery</w:t>
            </w:r>
          </w:p>
        </w:tc>
      </w:tr>
      <w:tr w:rsidR="00B46DAE" w:rsidRPr="00B46DAE" w14:paraId="33D2465A" w14:textId="77777777" w:rsidTr="006F5124">
        <w:trPr>
          <w:trHeight w:val="397"/>
        </w:trPr>
        <w:tc>
          <w:tcPr>
            <w:tcW w:w="1838" w:type="dxa"/>
            <w:noWrap/>
            <w:hideMark/>
          </w:tcPr>
          <w:p w14:paraId="2B309B9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O479</w:t>
            </w:r>
          </w:p>
        </w:tc>
        <w:tc>
          <w:tcPr>
            <w:tcW w:w="7088" w:type="dxa"/>
            <w:hideMark/>
          </w:tcPr>
          <w:p w14:paraId="02CDFF9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False labour, unspecified</w:t>
            </w:r>
          </w:p>
        </w:tc>
      </w:tr>
      <w:tr w:rsidR="00B46DAE" w:rsidRPr="00B46DAE" w14:paraId="16EBF1A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4E1BB0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O48</w:t>
            </w:r>
          </w:p>
        </w:tc>
        <w:tc>
          <w:tcPr>
            <w:tcW w:w="7088" w:type="dxa"/>
            <w:hideMark/>
          </w:tcPr>
          <w:p w14:paraId="02D094D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Prolonged pregnancy</w:t>
            </w:r>
          </w:p>
        </w:tc>
      </w:tr>
      <w:tr w:rsidR="00B46DAE" w:rsidRPr="00B46DAE" w14:paraId="386B1173" w14:textId="77777777" w:rsidTr="006F5124">
        <w:trPr>
          <w:trHeight w:val="397"/>
        </w:trPr>
        <w:tc>
          <w:tcPr>
            <w:tcW w:w="1838" w:type="dxa"/>
            <w:noWrap/>
            <w:hideMark/>
          </w:tcPr>
          <w:p w14:paraId="74A14C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O60</w:t>
            </w:r>
          </w:p>
        </w:tc>
        <w:tc>
          <w:tcPr>
            <w:tcW w:w="7088" w:type="dxa"/>
            <w:hideMark/>
          </w:tcPr>
          <w:p w14:paraId="6B124E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Preterm labour and delivery</w:t>
            </w:r>
          </w:p>
        </w:tc>
      </w:tr>
      <w:tr w:rsidR="00B46DAE" w:rsidRPr="00B46DAE" w14:paraId="5DF3A66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E892E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O600</w:t>
            </w:r>
          </w:p>
        </w:tc>
        <w:tc>
          <w:tcPr>
            <w:tcW w:w="7088" w:type="dxa"/>
            <w:hideMark/>
          </w:tcPr>
          <w:p w14:paraId="6FCB1BB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Preterm labour without delivery</w:t>
            </w:r>
          </w:p>
        </w:tc>
      </w:tr>
      <w:tr w:rsidR="00B46DAE" w:rsidRPr="00B46DAE" w14:paraId="5E8FA8A6" w14:textId="77777777" w:rsidTr="006F5124">
        <w:trPr>
          <w:trHeight w:val="397"/>
        </w:trPr>
        <w:tc>
          <w:tcPr>
            <w:tcW w:w="1838" w:type="dxa"/>
            <w:noWrap/>
            <w:hideMark/>
          </w:tcPr>
          <w:p w14:paraId="6742C2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O601</w:t>
            </w:r>
          </w:p>
        </w:tc>
        <w:tc>
          <w:tcPr>
            <w:tcW w:w="7088" w:type="dxa"/>
            <w:hideMark/>
          </w:tcPr>
          <w:p w14:paraId="071F807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Preterm spontaneous labour with preterm delivery</w:t>
            </w:r>
          </w:p>
        </w:tc>
      </w:tr>
      <w:tr w:rsidR="00B46DAE" w:rsidRPr="00B46DAE" w14:paraId="5AD02B3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845BF3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O602</w:t>
            </w:r>
          </w:p>
        </w:tc>
        <w:tc>
          <w:tcPr>
            <w:tcW w:w="7088" w:type="dxa"/>
            <w:hideMark/>
          </w:tcPr>
          <w:p w14:paraId="36C5BC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Preterm spontaneous labour with term delivery</w:t>
            </w:r>
          </w:p>
        </w:tc>
      </w:tr>
      <w:tr w:rsidR="00B46DAE" w:rsidRPr="00B46DAE" w14:paraId="5315ABE8" w14:textId="77777777" w:rsidTr="006F5124">
        <w:trPr>
          <w:trHeight w:val="397"/>
        </w:trPr>
        <w:tc>
          <w:tcPr>
            <w:tcW w:w="1838" w:type="dxa"/>
            <w:noWrap/>
            <w:hideMark/>
          </w:tcPr>
          <w:p w14:paraId="7F15B66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O603</w:t>
            </w:r>
          </w:p>
        </w:tc>
        <w:tc>
          <w:tcPr>
            <w:tcW w:w="7088" w:type="dxa"/>
            <w:hideMark/>
          </w:tcPr>
          <w:p w14:paraId="7F03E2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Preterm delivery without spontaneous labour</w:t>
            </w:r>
          </w:p>
        </w:tc>
      </w:tr>
      <w:tr w:rsidR="00B46DAE" w:rsidRPr="00B46DAE" w14:paraId="6FB57D7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170C7E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O61</w:t>
            </w:r>
          </w:p>
        </w:tc>
        <w:tc>
          <w:tcPr>
            <w:tcW w:w="7088" w:type="dxa"/>
            <w:hideMark/>
          </w:tcPr>
          <w:p w14:paraId="5EB20D4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induction of labour</w:t>
            </w:r>
          </w:p>
        </w:tc>
      </w:tr>
      <w:tr w:rsidR="00B46DAE" w:rsidRPr="00B46DAE" w14:paraId="094D9A61" w14:textId="77777777" w:rsidTr="006F5124">
        <w:trPr>
          <w:trHeight w:val="397"/>
        </w:trPr>
        <w:tc>
          <w:tcPr>
            <w:tcW w:w="1838" w:type="dxa"/>
            <w:noWrap/>
            <w:hideMark/>
          </w:tcPr>
          <w:p w14:paraId="209B4DD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O610</w:t>
            </w:r>
          </w:p>
        </w:tc>
        <w:tc>
          <w:tcPr>
            <w:tcW w:w="7088" w:type="dxa"/>
            <w:hideMark/>
          </w:tcPr>
          <w:p w14:paraId="01071F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induction of labour</w:t>
            </w:r>
          </w:p>
        </w:tc>
      </w:tr>
      <w:tr w:rsidR="00B46DAE" w:rsidRPr="00B46DAE" w14:paraId="7804300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1281F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O611</w:t>
            </w:r>
          </w:p>
        </w:tc>
        <w:tc>
          <w:tcPr>
            <w:tcW w:w="7088" w:type="dxa"/>
            <w:hideMark/>
          </w:tcPr>
          <w:p w14:paraId="7B4A9A0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surgical induction of labour</w:t>
            </w:r>
          </w:p>
        </w:tc>
      </w:tr>
      <w:tr w:rsidR="00B46DAE" w:rsidRPr="00B46DAE" w14:paraId="106EC8BD" w14:textId="77777777" w:rsidTr="006F5124">
        <w:trPr>
          <w:trHeight w:val="397"/>
        </w:trPr>
        <w:tc>
          <w:tcPr>
            <w:tcW w:w="1838" w:type="dxa"/>
            <w:noWrap/>
            <w:hideMark/>
          </w:tcPr>
          <w:p w14:paraId="53B2BD8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O612</w:t>
            </w:r>
          </w:p>
        </w:tc>
        <w:tc>
          <w:tcPr>
            <w:tcW w:w="7088" w:type="dxa"/>
            <w:hideMark/>
          </w:tcPr>
          <w:p w14:paraId="0B1DC72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medical with surgical induction of labour</w:t>
            </w:r>
          </w:p>
        </w:tc>
      </w:tr>
      <w:tr w:rsidR="00B46DAE" w:rsidRPr="00B46DAE" w14:paraId="3E2A93F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517C7C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O618</w:t>
            </w:r>
          </w:p>
        </w:tc>
        <w:tc>
          <w:tcPr>
            <w:tcW w:w="7088" w:type="dxa"/>
            <w:hideMark/>
          </w:tcPr>
          <w:p w14:paraId="7C575A2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failed induction of labour</w:t>
            </w:r>
          </w:p>
        </w:tc>
      </w:tr>
      <w:tr w:rsidR="00B46DAE" w:rsidRPr="00B46DAE" w14:paraId="5DD7AB4D" w14:textId="77777777" w:rsidTr="006F5124">
        <w:trPr>
          <w:trHeight w:val="397"/>
        </w:trPr>
        <w:tc>
          <w:tcPr>
            <w:tcW w:w="1838" w:type="dxa"/>
            <w:noWrap/>
            <w:hideMark/>
          </w:tcPr>
          <w:p w14:paraId="027B1F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O619</w:t>
            </w:r>
          </w:p>
        </w:tc>
        <w:tc>
          <w:tcPr>
            <w:tcW w:w="7088" w:type="dxa"/>
            <w:hideMark/>
          </w:tcPr>
          <w:p w14:paraId="487C265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induction of labour, unspecified</w:t>
            </w:r>
          </w:p>
        </w:tc>
      </w:tr>
      <w:tr w:rsidR="00B46DAE" w:rsidRPr="00B46DAE" w14:paraId="76FA0EA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5D395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w:t>
            </w:r>
          </w:p>
        </w:tc>
        <w:tc>
          <w:tcPr>
            <w:tcW w:w="7088" w:type="dxa"/>
            <w:hideMark/>
          </w:tcPr>
          <w:p w14:paraId="112296A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Abnormalities of forces of labour</w:t>
            </w:r>
          </w:p>
        </w:tc>
      </w:tr>
      <w:tr w:rsidR="00B46DAE" w:rsidRPr="00B46DAE" w14:paraId="0446AC12" w14:textId="77777777" w:rsidTr="006F5124">
        <w:trPr>
          <w:trHeight w:val="397"/>
        </w:trPr>
        <w:tc>
          <w:tcPr>
            <w:tcW w:w="1838" w:type="dxa"/>
            <w:noWrap/>
            <w:hideMark/>
          </w:tcPr>
          <w:p w14:paraId="72103C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O620</w:t>
            </w:r>
          </w:p>
        </w:tc>
        <w:tc>
          <w:tcPr>
            <w:tcW w:w="7088" w:type="dxa"/>
            <w:hideMark/>
          </w:tcPr>
          <w:p w14:paraId="73F7CB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Primary inadequate contractions</w:t>
            </w:r>
          </w:p>
        </w:tc>
      </w:tr>
      <w:tr w:rsidR="00B46DAE" w:rsidRPr="00B46DAE" w14:paraId="55C4786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643D56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O621</w:t>
            </w:r>
          </w:p>
        </w:tc>
        <w:tc>
          <w:tcPr>
            <w:tcW w:w="7088" w:type="dxa"/>
            <w:hideMark/>
          </w:tcPr>
          <w:p w14:paraId="135F9A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Secondary uterine inertia</w:t>
            </w:r>
          </w:p>
        </w:tc>
      </w:tr>
      <w:tr w:rsidR="00B46DAE" w:rsidRPr="00B46DAE" w14:paraId="43CB3A80" w14:textId="77777777" w:rsidTr="006F5124">
        <w:trPr>
          <w:trHeight w:val="397"/>
        </w:trPr>
        <w:tc>
          <w:tcPr>
            <w:tcW w:w="1838" w:type="dxa"/>
            <w:noWrap/>
            <w:hideMark/>
          </w:tcPr>
          <w:p w14:paraId="6D4B23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O622</w:t>
            </w:r>
          </w:p>
        </w:tc>
        <w:tc>
          <w:tcPr>
            <w:tcW w:w="7088" w:type="dxa"/>
            <w:hideMark/>
          </w:tcPr>
          <w:p w14:paraId="76A219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uterine inertia</w:t>
            </w:r>
          </w:p>
        </w:tc>
      </w:tr>
      <w:tr w:rsidR="00B46DAE" w:rsidRPr="00B46DAE" w14:paraId="496F34F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69020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O623</w:t>
            </w:r>
          </w:p>
        </w:tc>
        <w:tc>
          <w:tcPr>
            <w:tcW w:w="7088" w:type="dxa"/>
            <w:hideMark/>
          </w:tcPr>
          <w:p w14:paraId="4240C2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Precipitate labour</w:t>
            </w:r>
          </w:p>
        </w:tc>
      </w:tr>
      <w:tr w:rsidR="00B46DAE" w:rsidRPr="00B46DAE" w14:paraId="63CC2FB0" w14:textId="77777777" w:rsidTr="006F5124">
        <w:trPr>
          <w:trHeight w:val="397"/>
        </w:trPr>
        <w:tc>
          <w:tcPr>
            <w:tcW w:w="1838" w:type="dxa"/>
            <w:noWrap/>
            <w:hideMark/>
          </w:tcPr>
          <w:p w14:paraId="4A51085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O624</w:t>
            </w:r>
          </w:p>
        </w:tc>
        <w:tc>
          <w:tcPr>
            <w:tcW w:w="7088" w:type="dxa"/>
            <w:hideMark/>
          </w:tcPr>
          <w:p w14:paraId="21B97BB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Hypertonic, incoordinate, and prolonged uterine contractions</w:t>
            </w:r>
          </w:p>
        </w:tc>
      </w:tr>
      <w:tr w:rsidR="00B46DAE" w:rsidRPr="00B46DAE" w14:paraId="349F242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B4E57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O628</w:t>
            </w:r>
          </w:p>
        </w:tc>
        <w:tc>
          <w:tcPr>
            <w:tcW w:w="7088" w:type="dxa"/>
            <w:hideMark/>
          </w:tcPr>
          <w:p w14:paraId="7787ED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abnormalities of forces of labour</w:t>
            </w:r>
          </w:p>
        </w:tc>
      </w:tr>
      <w:tr w:rsidR="00B46DAE" w:rsidRPr="00B46DAE" w14:paraId="6415BF77" w14:textId="77777777" w:rsidTr="006F5124">
        <w:trPr>
          <w:trHeight w:val="397"/>
        </w:trPr>
        <w:tc>
          <w:tcPr>
            <w:tcW w:w="1838" w:type="dxa"/>
            <w:noWrap/>
            <w:hideMark/>
          </w:tcPr>
          <w:p w14:paraId="583AF1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O629</w:t>
            </w:r>
          </w:p>
        </w:tc>
        <w:tc>
          <w:tcPr>
            <w:tcW w:w="7088" w:type="dxa"/>
            <w:hideMark/>
          </w:tcPr>
          <w:p w14:paraId="6842C1E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Abnormality of forces of labour, unspecified</w:t>
            </w:r>
          </w:p>
        </w:tc>
      </w:tr>
      <w:tr w:rsidR="00B46DAE" w:rsidRPr="00B46DAE" w14:paraId="32A146F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15F1E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O63</w:t>
            </w:r>
          </w:p>
        </w:tc>
        <w:tc>
          <w:tcPr>
            <w:tcW w:w="7088" w:type="dxa"/>
            <w:hideMark/>
          </w:tcPr>
          <w:p w14:paraId="291F58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Long labour</w:t>
            </w:r>
          </w:p>
        </w:tc>
      </w:tr>
      <w:tr w:rsidR="00B46DAE" w:rsidRPr="00B46DAE" w14:paraId="67CA073B" w14:textId="77777777" w:rsidTr="006F5124">
        <w:trPr>
          <w:trHeight w:val="397"/>
        </w:trPr>
        <w:tc>
          <w:tcPr>
            <w:tcW w:w="1838" w:type="dxa"/>
            <w:noWrap/>
            <w:hideMark/>
          </w:tcPr>
          <w:p w14:paraId="702C576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O630</w:t>
            </w:r>
          </w:p>
        </w:tc>
        <w:tc>
          <w:tcPr>
            <w:tcW w:w="7088" w:type="dxa"/>
            <w:hideMark/>
          </w:tcPr>
          <w:p w14:paraId="70221D4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Prolonged first stage (of labour)</w:t>
            </w:r>
          </w:p>
        </w:tc>
      </w:tr>
      <w:tr w:rsidR="00B46DAE" w:rsidRPr="00B46DAE" w14:paraId="4A7CD84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C8445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O631</w:t>
            </w:r>
          </w:p>
        </w:tc>
        <w:tc>
          <w:tcPr>
            <w:tcW w:w="7088" w:type="dxa"/>
            <w:hideMark/>
          </w:tcPr>
          <w:p w14:paraId="096D8B1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Prolonged second stage (of labour)</w:t>
            </w:r>
          </w:p>
        </w:tc>
      </w:tr>
      <w:tr w:rsidR="00B46DAE" w:rsidRPr="00B46DAE" w14:paraId="1F279236" w14:textId="77777777" w:rsidTr="006F5124">
        <w:trPr>
          <w:trHeight w:val="397"/>
        </w:trPr>
        <w:tc>
          <w:tcPr>
            <w:tcW w:w="1838" w:type="dxa"/>
            <w:noWrap/>
            <w:hideMark/>
          </w:tcPr>
          <w:p w14:paraId="3281F21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O632</w:t>
            </w:r>
          </w:p>
        </w:tc>
        <w:tc>
          <w:tcPr>
            <w:tcW w:w="7088" w:type="dxa"/>
            <w:hideMark/>
          </w:tcPr>
          <w:p w14:paraId="3E31FF9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Delayed delivery of second or subsequent fetus in multiple delivery</w:t>
            </w:r>
          </w:p>
        </w:tc>
      </w:tr>
      <w:tr w:rsidR="00B46DAE" w:rsidRPr="00B46DAE" w14:paraId="5B650B6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C20DE3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O633</w:t>
            </w:r>
          </w:p>
        </w:tc>
        <w:tc>
          <w:tcPr>
            <w:tcW w:w="7088" w:type="dxa"/>
            <w:hideMark/>
          </w:tcPr>
          <w:p w14:paraId="23FA7B9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Prolonged third stage (of labour)</w:t>
            </w:r>
          </w:p>
        </w:tc>
      </w:tr>
      <w:tr w:rsidR="00B46DAE" w:rsidRPr="00B46DAE" w14:paraId="634ABECF" w14:textId="77777777" w:rsidTr="006F5124">
        <w:trPr>
          <w:trHeight w:val="397"/>
        </w:trPr>
        <w:tc>
          <w:tcPr>
            <w:tcW w:w="1838" w:type="dxa"/>
            <w:noWrap/>
            <w:hideMark/>
          </w:tcPr>
          <w:p w14:paraId="4E725DC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O639</w:t>
            </w:r>
          </w:p>
        </w:tc>
        <w:tc>
          <w:tcPr>
            <w:tcW w:w="7088" w:type="dxa"/>
            <w:hideMark/>
          </w:tcPr>
          <w:p w14:paraId="148592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Long labour, unspecified</w:t>
            </w:r>
          </w:p>
        </w:tc>
      </w:tr>
      <w:tr w:rsidR="00B46DAE" w:rsidRPr="00B46DAE" w14:paraId="1C1A8BD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586EA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w:t>
            </w:r>
          </w:p>
        </w:tc>
        <w:tc>
          <w:tcPr>
            <w:tcW w:w="7088" w:type="dxa"/>
            <w:hideMark/>
          </w:tcPr>
          <w:p w14:paraId="63DC78F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malposition and malpresentation of fetus</w:t>
            </w:r>
          </w:p>
        </w:tc>
      </w:tr>
      <w:tr w:rsidR="00B46DAE" w:rsidRPr="00B46DAE" w14:paraId="5F002886" w14:textId="77777777" w:rsidTr="006F5124">
        <w:trPr>
          <w:trHeight w:val="397"/>
        </w:trPr>
        <w:tc>
          <w:tcPr>
            <w:tcW w:w="1838" w:type="dxa"/>
            <w:noWrap/>
            <w:hideMark/>
          </w:tcPr>
          <w:p w14:paraId="4174136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O640</w:t>
            </w:r>
          </w:p>
        </w:tc>
        <w:tc>
          <w:tcPr>
            <w:tcW w:w="7088" w:type="dxa"/>
            <w:hideMark/>
          </w:tcPr>
          <w:p w14:paraId="1D18E4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incomplete rotation of fetal head</w:t>
            </w:r>
          </w:p>
        </w:tc>
      </w:tr>
      <w:tr w:rsidR="00B46DAE" w:rsidRPr="00B46DAE" w14:paraId="29BBE12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41F915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O641</w:t>
            </w:r>
          </w:p>
        </w:tc>
        <w:tc>
          <w:tcPr>
            <w:tcW w:w="7088" w:type="dxa"/>
            <w:hideMark/>
          </w:tcPr>
          <w:p w14:paraId="6A17AFB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breech presentation</w:t>
            </w:r>
          </w:p>
        </w:tc>
      </w:tr>
      <w:tr w:rsidR="00B46DAE" w:rsidRPr="00B46DAE" w14:paraId="7BEDEAA3" w14:textId="77777777" w:rsidTr="006F5124">
        <w:trPr>
          <w:trHeight w:val="397"/>
        </w:trPr>
        <w:tc>
          <w:tcPr>
            <w:tcW w:w="1838" w:type="dxa"/>
            <w:noWrap/>
            <w:hideMark/>
          </w:tcPr>
          <w:p w14:paraId="27B99C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O642</w:t>
            </w:r>
          </w:p>
        </w:tc>
        <w:tc>
          <w:tcPr>
            <w:tcW w:w="7088" w:type="dxa"/>
            <w:hideMark/>
          </w:tcPr>
          <w:p w14:paraId="16C0C26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face presentation</w:t>
            </w:r>
          </w:p>
        </w:tc>
      </w:tr>
      <w:tr w:rsidR="00B46DAE" w:rsidRPr="00B46DAE" w14:paraId="12FDC1A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14F628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O643</w:t>
            </w:r>
          </w:p>
        </w:tc>
        <w:tc>
          <w:tcPr>
            <w:tcW w:w="7088" w:type="dxa"/>
            <w:hideMark/>
          </w:tcPr>
          <w:p w14:paraId="0D83C3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brow presentation</w:t>
            </w:r>
          </w:p>
        </w:tc>
      </w:tr>
      <w:tr w:rsidR="00B46DAE" w:rsidRPr="00B46DAE" w14:paraId="64AAE2BA" w14:textId="77777777" w:rsidTr="006F5124">
        <w:trPr>
          <w:trHeight w:val="397"/>
        </w:trPr>
        <w:tc>
          <w:tcPr>
            <w:tcW w:w="1838" w:type="dxa"/>
            <w:noWrap/>
            <w:hideMark/>
          </w:tcPr>
          <w:p w14:paraId="2BFA679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O644</w:t>
            </w:r>
          </w:p>
        </w:tc>
        <w:tc>
          <w:tcPr>
            <w:tcW w:w="7088" w:type="dxa"/>
            <w:hideMark/>
          </w:tcPr>
          <w:p w14:paraId="406458A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shoulder presentation</w:t>
            </w:r>
          </w:p>
        </w:tc>
      </w:tr>
      <w:tr w:rsidR="00B46DAE" w:rsidRPr="00B46DAE" w14:paraId="4FEF269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AC8D96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O645</w:t>
            </w:r>
          </w:p>
        </w:tc>
        <w:tc>
          <w:tcPr>
            <w:tcW w:w="7088" w:type="dxa"/>
            <w:hideMark/>
          </w:tcPr>
          <w:p w14:paraId="56492A7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compound presentation</w:t>
            </w:r>
          </w:p>
        </w:tc>
      </w:tr>
      <w:tr w:rsidR="00B46DAE" w:rsidRPr="00B46DAE" w14:paraId="4EDBB1BA" w14:textId="77777777" w:rsidTr="006F5124">
        <w:trPr>
          <w:trHeight w:val="397"/>
        </w:trPr>
        <w:tc>
          <w:tcPr>
            <w:tcW w:w="1838" w:type="dxa"/>
            <w:noWrap/>
            <w:hideMark/>
          </w:tcPr>
          <w:p w14:paraId="24A774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O648</w:t>
            </w:r>
          </w:p>
        </w:tc>
        <w:tc>
          <w:tcPr>
            <w:tcW w:w="7088" w:type="dxa"/>
            <w:hideMark/>
          </w:tcPr>
          <w:p w14:paraId="473B73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other malposition and malpresentation</w:t>
            </w:r>
          </w:p>
        </w:tc>
      </w:tr>
      <w:tr w:rsidR="00B46DAE" w:rsidRPr="00B46DAE" w14:paraId="7C41214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D3E09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O649</w:t>
            </w:r>
          </w:p>
        </w:tc>
        <w:tc>
          <w:tcPr>
            <w:tcW w:w="7088" w:type="dxa"/>
            <w:hideMark/>
          </w:tcPr>
          <w:p w14:paraId="300CF5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malposition and malpresentation, unspecified</w:t>
            </w:r>
          </w:p>
        </w:tc>
      </w:tr>
      <w:tr w:rsidR="00B46DAE" w:rsidRPr="00B46DAE" w14:paraId="4340C5A6" w14:textId="77777777" w:rsidTr="006F5124">
        <w:trPr>
          <w:trHeight w:val="397"/>
        </w:trPr>
        <w:tc>
          <w:tcPr>
            <w:tcW w:w="1838" w:type="dxa"/>
            <w:noWrap/>
            <w:hideMark/>
          </w:tcPr>
          <w:p w14:paraId="69A6CC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w:t>
            </w:r>
          </w:p>
        </w:tc>
        <w:tc>
          <w:tcPr>
            <w:tcW w:w="7088" w:type="dxa"/>
            <w:hideMark/>
          </w:tcPr>
          <w:p w14:paraId="3F127C8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maternal pelvic abnormality</w:t>
            </w:r>
          </w:p>
        </w:tc>
      </w:tr>
      <w:tr w:rsidR="00B46DAE" w:rsidRPr="00B46DAE" w14:paraId="46E95DE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6EB536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O650</w:t>
            </w:r>
          </w:p>
        </w:tc>
        <w:tc>
          <w:tcPr>
            <w:tcW w:w="7088" w:type="dxa"/>
            <w:hideMark/>
          </w:tcPr>
          <w:p w14:paraId="2CEACD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deformed pelvis</w:t>
            </w:r>
          </w:p>
        </w:tc>
      </w:tr>
      <w:tr w:rsidR="00B46DAE" w:rsidRPr="00B46DAE" w14:paraId="447671F8" w14:textId="77777777" w:rsidTr="006F5124">
        <w:trPr>
          <w:trHeight w:val="397"/>
        </w:trPr>
        <w:tc>
          <w:tcPr>
            <w:tcW w:w="1838" w:type="dxa"/>
            <w:noWrap/>
            <w:hideMark/>
          </w:tcPr>
          <w:p w14:paraId="01C411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O651</w:t>
            </w:r>
          </w:p>
        </w:tc>
        <w:tc>
          <w:tcPr>
            <w:tcW w:w="7088" w:type="dxa"/>
            <w:hideMark/>
          </w:tcPr>
          <w:p w14:paraId="59E5157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generally contracted pelvis</w:t>
            </w:r>
          </w:p>
        </w:tc>
      </w:tr>
      <w:tr w:rsidR="00B46DAE" w:rsidRPr="00B46DAE" w14:paraId="40A4F8E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EFF16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O652</w:t>
            </w:r>
          </w:p>
        </w:tc>
        <w:tc>
          <w:tcPr>
            <w:tcW w:w="7088" w:type="dxa"/>
            <w:hideMark/>
          </w:tcPr>
          <w:p w14:paraId="6B1C884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pelvic inlet contraction</w:t>
            </w:r>
          </w:p>
        </w:tc>
      </w:tr>
      <w:tr w:rsidR="00B46DAE" w:rsidRPr="00B46DAE" w14:paraId="18EECBE1" w14:textId="77777777" w:rsidTr="006F5124">
        <w:trPr>
          <w:trHeight w:val="397"/>
        </w:trPr>
        <w:tc>
          <w:tcPr>
            <w:tcW w:w="1838" w:type="dxa"/>
            <w:noWrap/>
            <w:hideMark/>
          </w:tcPr>
          <w:p w14:paraId="13ED084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O653</w:t>
            </w:r>
          </w:p>
        </w:tc>
        <w:tc>
          <w:tcPr>
            <w:tcW w:w="7088" w:type="dxa"/>
            <w:hideMark/>
          </w:tcPr>
          <w:p w14:paraId="0763C0F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pelvic outlet and mid-cavity contraction</w:t>
            </w:r>
          </w:p>
        </w:tc>
      </w:tr>
      <w:tr w:rsidR="00B46DAE" w:rsidRPr="00B46DAE" w14:paraId="6B7FFCC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C102B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O654</w:t>
            </w:r>
          </w:p>
        </w:tc>
        <w:tc>
          <w:tcPr>
            <w:tcW w:w="7088" w:type="dxa"/>
            <w:hideMark/>
          </w:tcPr>
          <w:p w14:paraId="336CAEF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fetopelvic disproportion, unspecified</w:t>
            </w:r>
          </w:p>
        </w:tc>
      </w:tr>
      <w:tr w:rsidR="00B46DAE" w:rsidRPr="00B46DAE" w14:paraId="501BCAD4" w14:textId="77777777" w:rsidTr="006F5124">
        <w:trPr>
          <w:trHeight w:val="397"/>
        </w:trPr>
        <w:tc>
          <w:tcPr>
            <w:tcW w:w="1838" w:type="dxa"/>
            <w:noWrap/>
            <w:hideMark/>
          </w:tcPr>
          <w:p w14:paraId="28109A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O655</w:t>
            </w:r>
          </w:p>
        </w:tc>
        <w:tc>
          <w:tcPr>
            <w:tcW w:w="7088" w:type="dxa"/>
            <w:hideMark/>
          </w:tcPr>
          <w:p w14:paraId="2014916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abnormality of maternal pelvic organs</w:t>
            </w:r>
          </w:p>
        </w:tc>
      </w:tr>
      <w:tr w:rsidR="00B46DAE" w:rsidRPr="00B46DAE" w14:paraId="14326A2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54104C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O658</w:t>
            </w:r>
          </w:p>
        </w:tc>
        <w:tc>
          <w:tcPr>
            <w:tcW w:w="7088" w:type="dxa"/>
            <w:hideMark/>
          </w:tcPr>
          <w:p w14:paraId="3A601C8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other maternal pelvic abnormalities</w:t>
            </w:r>
          </w:p>
        </w:tc>
      </w:tr>
      <w:tr w:rsidR="00B46DAE" w:rsidRPr="00B46DAE" w14:paraId="6BCA2AF5" w14:textId="77777777" w:rsidTr="006F5124">
        <w:trPr>
          <w:trHeight w:val="397"/>
        </w:trPr>
        <w:tc>
          <w:tcPr>
            <w:tcW w:w="1838" w:type="dxa"/>
            <w:noWrap/>
            <w:hideMark/>
          </w:tcPr>
          <w:p w14:paraId="6D1EA26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O659</w:t>
            </w:r>
          </w:p>
        </w:tc>
        <w:tc>
          <w:tcPr>
            <w:tcW w:w="7088" w:type="dxa"/>
            <w:hideMark/>
          </w:tcPr>
          <w:p w14:paraId="4B49DDA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maternal pelvic abnormality, unspecified</w:t>
            </w:r>
          </w:p>
        </w:tc>
      </w:tr>
      <w:tr w:rsidR="00B46DAE" w:rsidRPr="00B46DAE" w14:paraId="2BF8D39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5DEF58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w:t>
            </w:r>
          </w:p>
        </w:tc>
        <w:tc>
          <w:tcPr>
            <w:tcW w:w="7088" w:type="dxa"/>
            <w:hideMark/>
          </w:tcPr>
          <w:p w14:paraId="157E5E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factors affecting labour and delivery</w:t>
            </w:r>
          </w:p>
        </w:tc>
      </w:tr>
      <w:tr w:rsidR="00B46DAE" w:rsidRPr="00B46DAE" w14:paraId="54807764" w14:textId="77777777" w:rsidTr="006F5124">
        <w:trPr>
          <w:trHeight w:val="397"/>
        </w:trPr>
        <w:tc>
          <w:tcPr>
            <w:tcW w:w="1838" w:type="dxa"/>
            <w:noWrap/>
            <w:hideMark/>
          </w:tcPr>
          <w:p w14:paraId="03D9FB7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O660</w:t>
            </w:r>
          </w:p>
        </w:tc>
        <w:tc>
          <w:tcPr>
            <w:tcW w:w="7088" w:type="dxa"/>
            <w:hideMark/>
          </w:tcPr>
          <w:p w14:paraId="5C917D4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shoulder dystocia</w:t>
            </w:r>
          </w:p>
        </w:tc>
      </w:tr>
      <w:tr w:rsidR="00B46DAE" w:rsidRPr="00B46DAE" w14:paraId="7C4E948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F712CA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O661</w:t>
            </w:r>
          </w:p>
        </w:tc>
        <w:tc>
          <w:tcPr>
            <w:tcW w:w="7088" w:type="dxa"/>
            <w:hideMark/>
          </w:tcPr>
          <w:p w14:paraId="13CB60D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locked twins</w:t>
            </w:r>
          </w:p>
        </w:tc>
      </w:tr>
      <w:tr w:rsidR="00B46DAE" w:rsidRPr="00B46DAE" w14:paraId="227B386D" w14:textId="77777777" w:rsidTr="006F5124">
        <w:trPr>
          <w:trHeight w:val="397"/>
        </w:trPr>
        <w:tc>
          <w:tcPr>
            <w:tcW w:w="1838" w:type="dxa"/>
            <w:noWrap/>
            <w:hideMark/>
          </w:tcPr>
          <w:p w14:paraId="6DA423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O662</w:t>
            </w:r>
          </w:p>
        </w:tc>
        <w:tc>
          <w:tcPr>
            <w:tcW w:w="7088" w:type="dxa"/>
            <w:hideMark/>
          </w:tcPr>
          <w:p w14:paraId="4D00604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unusually large fetus</w:t>
            </w:r>
          </w:p>
        </w:tc>
      </w:tr>
      <w:tr w:rsidR="00B46DAE" w:rsidRPr="00B46DAE" w14:paraId="7EB06FE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C3067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O663</w:t>
            </w:r>
          </w:p>
        </w:tc>
        <w:tc>
          <w:tcPr>
            <w:tcW w:w="7088" w:type="dxa"/>
            <w:hideMark/>
          </w:tcPr>
          <w:p w14:paraId="180E7B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other abnormalities of fetus</w:t>
            </w:r>
          </w:p>
        </w:tc>
      </w:tr>
      <w:tr w:rsidR="00B46DAE" w:rsidRPr="00B46DAE" w14:paraId="1AFFE049" w14:textId="77777777" w:rsidTr="006F5124">
        <w:trPr>
          <w:trHeight w:val="397"/>
        </w:trPr>
        <w:tc>
          <w:tcPr>
            <w:tcW w:w="1838" w:type="dxa"/>
            <w:noWrap/>
            <w:hideMark/>
          </w:tcPr>
          <w:p w14:paraId="51C25B4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O664</w:t>
            </w:r>
          </w:p>
        </w:tc>
        <w:tc>
          <w:tcPr>
            <w:tcW w:w="7088" w:type="dxa"/>
            <w:hideMark/>
          </w:tcPr>
          <w:p w14:paraId="28352CA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trial of labour, unspecified</w:t>
            </w:r>
          </w:p>
        </w:tc>
      </w:tr>
      <w:tr w:rsidR="00B46DAE" w:rsidRPr="00B46DAE" w14:paraId="7B15492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54C18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O665</w:t>
            </w:r>
          </w:p>
        </w:tc>
        <w:tc>
          <w:tcPr>
            <w:tcW w:w="7088" w:type="dxa"/>
            <w:hideMark/>
          </w:tcPr>
          <w:p w14:paraId="3355BB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application of vacuum extractor and forceps, unspecified</w:t>
            </w:r>
          </w:p>
        </w:tc>
      </w:tr>
      <w:tr w:rsidR="00B46DAE" w:rsidRPr="00B46DAE" w14:paraId="6B764842" w14:textId="77777777" w:rsidTr="006F5124">
        <w:trPr>
          <w:trHeight w:val="397"/>
        </w:trPr>
        <w:tc>
          <w:tcPr>
            <w:tcW w:w="1838" w:type="dxa"/>
            <w:noWrap/>
            <w:hideMark/>
          </w:tcPr>
          <w:p w14:paraId="7AA35F2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O668</w:t>
            </w:r>
          </w:p>
        </w:tc>
        <w:tc>
          <w:tcPr>
            <w:tcW w:w="7088" w:type="dxa"/>
            <w:hideMark/>
          </w:tcPr>
          <w:p w14:paraId="6885AE2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other dystocia</w:t>
            </w:r>
          </w:p>
        </w:tc>
      </w:tr>
      <w:tr w:rsidR="00B46DAE" w:rsidRPr="00B46DAE" w14:paraId="2EE1231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3BEFA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O669</w:t>
            </w:r>
          </w:p>
        </w:tc>
        <w:tc>
          <w:tcPr>
            <w:tcW w:w="7088" w:type="dxa"/>
            <w:hideMark/>
          </w:tcPr>
          <w:p w14:paraId="408E51B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affected by dystocia, unspecified</w:t>
            </w:r>
          </w:p>
        </w:tc>
      </w:tr>
      <w:tr w:rsidR="00B46DAE" w:rsidRPr="00B46DAE" w14:paraId="6C6CB5E0" w14:textId="77777777" w:rsidTr="006F5124">
        <w:trPr>
          <w:trHeight w:val="397"/>
        </w:trPr>
        <w:tc>
          <w:tcPr>
            <w:tcW w:w="1838" w:type="dxa"/>
            <w:noWrap/>
            <w:hideMark/>
          </w:tcPr>
          <w:p w14:paraId="0E0BBB6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O67</w:t>
            </w:r>
          </w:p>
        </w:tc>
        <w:tc>
          <w:tcPr>
            <w:tcW w:w="7088" w:type="dxa"/>
            <w:hideMark/>
          </w:tcPr>
          <w:p w14:paraId="7321A2B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intrapartum haemorrhage, not elsewhere classified</w:t>
            </w:r>
          </w:p>
        </w:tc>
      </w:tr>
      <w:tr w:rsidR="00B46DAE" w:rsidRPr="00B46DAE" w14:paraId="0E6A8BB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18A396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O670</w:t>
            </w:r>
          </w:p>
        </w:tc>
        <w:tc>
          <w:tcPr>
            <w:tcW w:w="7088" w:type="dxa"/>
            <w:hideMark/>
          </w:tcPr>
          <w:p w14:paraId="4EC8F4F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Intrapartum haemorrhage with coagulation defect</w:t>
            </w:r>
          </w:p>
        </w:tc>
      </w:tr>
      <w:tr w:rsidR="00B46DAE" w:rsidRPr="00B46DAE" w14:paraId="34101ED4" w14:textId="77777777" w:rsidTr="006F5124">
        <w:trPr>
          <w:trHeight w:val="397"/>
        </w:trPr>
        <w:tc>
          <w:tcPr>
            <w:tcW w:w="1838" w:type="dxa"/>
            <w:noWrap/>
            <w:hideMark/>
          </w:tcPr>
          <w:p w14:paraId="287D9E4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O678</w:t>
            </w:r>
          </w:p>
        </w:tc>
        <w:tc>
          <w:tcPr>
            <w:tcW w:w="7088" w:type="dxa"/>
            <w:hideMark/>
          </w:tcPr>
          <w:p w14:paraId="762CE9B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intrapartum haemorrhage</w:t>
            </w:r>
          </w:p>
        </w:tc>
      </w:tr>
      <w:tr w:rsidR="00B46DAE" w:rsidRPr="00B46DAE" w14:paraId="1C920E4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97B67C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O679</w:t>
            </w:r>
          </w:p>
        </w:tc>
        <w:tc>
          <w:tcPr>
            <w:tcW w:w="7088" w:type="dxa"/>
            <w:hideMark/>
          </w:tcPr>
          <w:p w14:paraId="3E49496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Intrapartum haemorrhage, unspecified</w:t>
            </w:r>
          </w:p>
        </w:tc>
      </w:tr>
      <w:tr w:rsidR="00B46DAE" w:rsidRPr="00B46DAE" w14:paraId="6723600D" w14:textId="77777777" w:rsidTr="006F5124">
        <w:trPr>
          <w:trHeight w:val="397"/>
        </w:trPr>
        <w:tc>
          <w:tcPr>
            <w:tcW w:w="1838" w:type="dxa"/>
            <w:noWrap/>
            <w:hideMark/>
          </w:tcPr>
          <w:p w14:paraId="2A395D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w:t>
            </w:r>
          </w:p>
        </w:tc>
        <w:tc>
          <w:tcPr>
            <w:tcW w:w="7088" w:type="dxa"/>
            <w:hideMark/>
          </w:tcPr>
          <w:p w14:paraId="75B9775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fetal stress [distress]</w:t>
            </w:r>
          </w:p>
        </w:tc>
      </w:tr>
      <w:tr w:rsidR="00B46DAE" w:rsidRPr="00B46DAE" w14:paraId="21B5A46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328B5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O680</w:t>
            </w:r>
          </w:p>
        </w:tc>
        <w:tc>
          <w:tcPr>
            <w:tcW w:w="7088" w:type="dxa"/>
            <w:hideMark/>
          </w:tcPr>
          <w:p w14:paraId="5BD551F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fetal heart rate anomaly</w:t>
            </w:r>
          </w:p>
        </w:tc>
      </w:tr>
      <w:tr w:rsidR="00B46DAE" w:rsidRPr="00B46DAE" w14:paraId="2425DEB8" w14:textId="77777777" w:rsidTr="006F5124">
        <w:trPr>
          <w:trHeight w:val="397"/>
        </w:trPr>
        <w:tc>
          <w:tcPr>
            <w:tcW w:w="1838" w:type="dxa"/>
            <w:noWrap/>
            <w:hideMark/>
          </w:tcPr>
          <w:p w14:paraId="506FF3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O681</w:t>
            </w:r>
          </w:p>
        </w:tc>
        <w:tc>
          <w:tcPr>
            <w:tcW w:w="7088" w:type="dxa"/>
            <w:hideMark/>
          </w:tcPr>
          <w:p w14:paraId="71DF720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meconium in amniotic fluid</w:t>
            </w:r>
          </w:p>
        </w:tc>
      </w:tr>
      <w:tr w:rsidR="00B46DAE" w:rsidRPr="00B46DAE" w14:paraId="23D4EDB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BDDF5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O682</w:t>
            </w:r>
          </w:p>
        </w:tc>
        <w:tc>
          <w:tcPr>
            <w:tcW w:w="7088" w:type="dxa"/>
            <w:hideMark/>
          </w:tcPr>
          <w:p w14:paraId="6D2447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fetal heart rate anomaly with meconium in amniotic fluid</w:t>
            </w:r>
          </w:p>
        </w:tc>
      </w:tr>
      <w:tr w:rsidR="00B46DAE" w:rsidRPr="00B46DAE" w14:paraId="54E6C735" w14:textId="77777777" w:rsidTr="006F5124">
        <w:trPr>
          <w:trHeight w:val="397"/>
        </w:trPr>
        <w:tc>
          <w:tcPr>
            <w:tcW w:w="1838" w:type="dxa"/>
            <w:noWrap/>
            <w:hideMark/>
          </w:tcPr>
          <w:p w14:paraId="3AAFC2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O683</w:t>
            </w:r>
          </w:p>
        </w:tc>
        <w:tc>
          <w:tcPr>
            <w:tcW w:w="7088" w:type="dxa"/>
            <w:hideMark/>
          </w:tcPr>
          <w:p w14:paraId="03C26D4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biochemical evidence of fetal stress</w:t>
            </w:r>
          </w:p>
        </w:tc>
      </w:tr>
      <w:tr w:rsidR="00B46DAE" w:rsidRPr="00B46DAE" w14:paraId="1FE925D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4751F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O688</w:t>
            </w:r>
          </w:p>
        </w:tc>
        <w:tc>
          <w:tcPr>
            <w:tcW w:w="7088" w:type="dxa"/>
            <w:hideMark/>
          </w:tcPr>
          <w:p w14:paraId="0C4A77F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other evidence of fetal stress</w:t>
            </w:r>
          </w:p>
        </w:tc>
      </w:tr>
      <w:tr w:rsidR="00B46DAE" w:rsidRPr="00B46DAE" w14:paraId="71063A57" w14:textId="77777777" w:rsidTr="006F5124">
        <w:trPr>
          <w:trHeight w:val="397"/>
        </w:trPr>
        <w:tc>
          <w:tcPr>
            <w:tcW w:w="1838" w:type="dxa"/>
            <w:noWrap/>
            <w:hideMark/>
          </w:tcPr>
          <w:p w14:paraId="4E5D33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O689</w:t>
            </w:r>
          </w:p>
        </w:tc>
        <w:tc>
          <w:tcPr>
            <w:tcW w:w="7088" w:type="dxa"/>
            <w:hideMark/>
          </w:tcPr>
          <w:p w14:paraId="6899D82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fetal stress, unspecified</w:t>
            </w:r>
          </w:p>
        </w:tc>
      </w:tr>
      <w:tr w:rsidR="00B46DAE" w:rsidRPr="00B46DAE" w14:paraId="62BFE9D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6F904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w:t>
            </w:r>
          </w:p>
        </w:tc>
        <w:tc>
          <w:tcPr>
            <w:tcW w:w="7088" w:type="dxa"/>
            <w:hideMark/>
          </w:tcPr>
          <w:p w14:paraId="6A232E9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umbilical cord complications</w:t>
            </w:r>
          </w:p>
        </w:tc>
      </w:tr>
      <w:tr w:rsidR="00B46DAE" w:rsidRPr="00B46DAE" w14:paraId="7244641C" w14:textId="77777777" w:rsidTr="006F5124">
        <w:trPr>
          <w:trHeight w:val="397"/>
        </w:trPr>
        <w:tc>
          <w:tcPr>
            <w:tcW w:w="1838" w:type="dxa"/>
            <w:noWrap/>
            <w:hideMark/>
          </w:tcPr>
          <w:p w14:paraId="777ACE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O690</w:t>
            </w:r>
          </w:p>
        </w:tc>
        <w:tc>
          <w:tcPr>
            <w:tcW w:w="7088" w:type="dxa"/>
            <w:hideMark/>
          </w:tcPr>
          <w:p w14:paraId="3D5B4A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prolapse of cord</w:t>
            </w:r>
          </w:p>
        </w:tc>
      </w:tr>
      <w:tr w:rsidR="00B46DAE" w:rsidRPr="00B46DAE" w14:paraId="51D9E70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4C17EC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O691</w:t>
            </w:r>
          </w:p>
        </w:tc>
        <w:tc>
          <w:tcPr>
            <w:tcW w:w="7088" w:type="dxa"/>
            <w:hideMark/>
          </w:tcPr>
          <w:p w14:paraId="4E2A8F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cord around neck, with compression</w:t>
            </w:r>
          </w:p>
        </w:tc>
      </w:tr>
      <w:tr w:rsidR="00B46DAE" w:rsidRPr="00B46DAE" w14:paraId="555D2511" w14:textId="77777777" w:rsidTr="006F5124">
        <w:trPr>
          <w:trHeight w:val="397"/>
        </w:trPr>
        <w:tc>
          <w:tcPr>
            <w:tcW w:w="1838" w:type="dxa"/>
            <w:noWrap/>
            <w:hideMark/>
          </w:tcPr>
          <w:p w14:paraId="2F810AC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O692</w:t>
            </w:r>
          </w:p>
        </w:tc>
        <w:tc>
          <w:tcPr>
            <w:tcW w:w="7088" w:type="dxa"/>
            <w:hideMark/>
          </w:tcPr>
          <w:p w14:paraId="04874B3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other cord entanglement, with compression</w:t>
            </w:r>
          </w:p>
        </w:tc>
      </w:tr>
      <w:tr w:rsidR="00B46DAE" w:rsidRPr="00B46DAE" w14:paraId="45F9F72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163DDD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O693</w:t>
            </w:r>
          </w:p>
        </w:tc>
        <w:tc>
          <w:tcPr>
            <w:tcW w:w="7088" w:type="dxa"/>
            <w:hideMark/>
          </w:tcPr>
          <w:p w14:paraId="1F421A5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short cord</w:t>
            </w:r>
          </w:p>
        </w:tc>
      </w:tr>
      <w:tr w:rsidR="00B46DAE" w:rsidRPr="00B46DAE" w14:paraId="110F0C66" w14:textId="77777777" w:rsidTr="006F5124">
        <w:trPr>
          <w:trHeight w:val="397"/>
        </w:trPr>
        <w:tc>
          <w:tcPr>
            <w:tcW w:w="1838" w:type="dxa"/>
            <w:noWrap/>
            <w:hideMark/>
          </w:tcPr>
          <w:p w14:paraId="218AF1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O694</w:t>
            </w:r>
          </w:p>
        </w:tc>
        <w:tc>
          <w:tcPr>
            <w:tcW w:w="7088" w:type="dxa"/>
            <w:hideMark/>
          </w:tcPr>
          <w:p w14:paraId="6A4C6D6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vasa praevia</w:t>
            </w:r>
          </w:p>
        </w:tc>
      </w:tr>
      <w:tr w:rsidR="00B46DAE" w:rsidRPr="00B46DAE" w14:paraId="5BBECDB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95B6D1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O695</w:t>
            </w:r>
          </w:p>
        </w:tc>
        <w:tc>
          <w:tcPr>
            <w:tcW w:w="7088" w:type="dxa"/>
            <w:hideMark/>
          </w:tcPr>
          <w:p w14:paraId="1373C7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vascular lesion of cord</w:t>
            </w:r>
          </w:p>
        </w:tc>
      </w:tr>
      <w:tr w:rsidR="00B46DAE" w:rsidRPr="00B46DAE" w14:paraId="4DD46746" w14:textId="77777777" w:rsidTr="006F5124">
        <w:trPr>
          <w:trHeight w:val="397"/>
        </w:trPr>
        <w:tc>
          <w:tcPr>
            <w:tcW w:w="1838" w:type="dxa"/>
            <w:noWrap/>
            <w:hideMark/>
          </w:tcPr>
          <w:p w14:paraId="41E60DD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O698</w:t>
            </w:r>
          </w:p>
        </w:tc>
        <w:tc>
          <w:tcPr>
            <w:tcW w:w="7088" w:type="dxa"/>
            <w:hideMark/>
          </w:tcPr>
          <w:p w14:paraId="31ACD0D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other cord complications</w:t>
            </w:r>
          </w:p>
        </w:tc>
      </w:tr>
      <w:tr w:rsidR="00B46DAE" w:rsidRPr="00B46DAE" w14:paraId="35E6269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88AD7D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O699</w:t>
            </w:r>
          </w:p>
        </w:tc>
        <w:tc>
          <w:tcPr>
            <w:tcW w:w="7088" w:type="dxa"/>
            <w:hideMark/>
          </w:tcPr>
          <w:p w14:paraId="31877D7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Labour and delivery complicated by cord complication, unspecified</w:t>
            </w:r>
          </w:p>
        </w:tc>
      </w:tr>
      <w:tr w:rsidR="00B46DAE" w:rsidRPr="00B46DAE" w14:paraId="0F6DBFF1" w14:textId="77777777" w:rsidTr="006F5124">
        <w:trPr>
          <w:trHeight w:val="397"/>
        </w:trPr>
        <w:tc>
          <w:tcPr>
            <w:tcW w:w="1838" w:type="dxa"/>
            <w:noWrap/>
            <w:hideMark/>
          </w:tcPr>
          <w:p w14:paraId="5962295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O70</w:t>
            </w:r>
          </w:p>
        </w:tc>
        <w:tc>
          <w:tcPr>
            <w:tcW w:w="7088" w:type="dxa"/>
            <w:hideMark/>
          </w:tcPr>
          <w:p w14:paraId="25D8F64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Perineal laceration during delivery</w:t>
            </w:r>
          </w:p>
        </w:tc>
      </w:tr>
      <w:tr w:rsidR="00B46DAE" w:rsidRPr="00B46DAE" w14:paraId="0EB8AF9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0693D7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O700</w:t>
            </w:r>
          </w:p>
        </w:tc>
        <w:tc>
          <w:tcPr>
            <w:tcW w:w="7088" w:type="dxa"/>
            <w:hideMark/>
          </w:tcPr>
          <w:p w14:paraId="6067F1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First degree perineal laceration during delivery</w:t>
            </w:r>
          </w:p>
        </w:tc>
      </w:tr>
      <w:tr w:rsidR="00B46DAE" w:rsidRPr="00B46DAE" w14:paraId="7BDC9CB3" w14:textId="77777777" w:rsidTr="006F5124">
        <w:trPr>
          <w:trHeight w:val="397"/>
        </w:trPr>
        <w:tc>
          <w:tcPr>
            <w:tcW w:w="1838" w:type="dxa"/>
            <w:noWrap/>
            <w:hideMark/>
          </w:tcPr>
          <w:p w14:paraId="5E353F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O701</w:t>
            </w:r>
          </w:p>
        </w:tc>
        <w:tc>
          <w:tcPr>
            <w:tcW w:w="7088" w:type="dxa"/>
            <w:hideMark/>
          </w:tcPr>
          <w:p w14:paraId="3BD8811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Second degree perineal laceration during delivery</w:t>
            </w:r>
          </w:p>
        </w:tc>
      </w:tr>
      <w:tr w:rsidR="00B46DAE" w:rsidRPr="00B46DAE" w14:paraId="2DF78D4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97487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O702</w:t>
            </w:r>
          </w:p>
        </w:tc>
        <w:tc>
          <w:tcPr>
            <w:tcW w:w="7088" w:type="dxa"/>
            <w:hideMark/>
          </w:tcPr>
          <w:p w14:paraId="66783E3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Third degree perineal laceration during delivery</w:t>
            </w:r>
          </w:p>
        </w:tc>
      </w:tr>
      <w:tr w:rsidR="00B46DAE" w:rsidRPr="00B46DAE" w14:paraId="428423E4" w14:textId="77777777" w:rsidTr="006F5124">
        <w:trPr>
          <w:trHeight w:val="397"/>
        </w:trPr>
        <w:tc>
          <w:tcPr>
            <w:tcW w:w="1838" w:type="dxa"/>
            <w:noWrap/>
            <w:hideMark/>
          </w:tcPr>
          <w:p w14:paraId="0CF30F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O703</w:t>
            </w:r>
          </w:p>
        </w:tc>
        <w:tc>
          <w:tcPr>
            <w:tcW w:w="7088" w:type="dxa"/>
            <w:hideMark/>
          </w:tcPr>
          <w:p w14:paraId="63A816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Fourth degree perineal laceration during delivery</w:t>
            </w:r>
          </w:p>
        </w:tc>
      </w:tr>
      <w:tr w:rsidR="00B46DAE" w:rsidRPr="00B46DAE" w14:paraId="6E6C2F9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261B89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O709</w:t>
            </w:r>
          </w:p>
        </w:tc>
        <w:tc>
          <w:tcPr>
            <w:tcW w:w="7088" w:type="dxa"/>
            <w:hideMark/>
          </w:tcPr>
          <w:p w14:paraId="59F386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Perineal laceration during delivery, unspecified</w:t>
            </w:r>
          </w:p>
        </w:tc>
      </w:tr>
      <w:tr w:rsidR="00B46DAE" w:rsidRPr="00B46DAE" w14:paraId="18846F06" w14:textId="77777777" w:rsidTr="006F5124">
        <w:trPr>
          <w:trHeight w:val="397"/>
        </w:trPr>
        <w:tc>
          <w:tcPr>
            <w:tcW w:w="1838" w:type="dxa"/>
            <w:noWrap/>
            <w:hideMark/>
          </w:tcPr>
          <w:p w14:paraId="476BA5A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w:t>
            </w:r>
          </w:p>
        </w:tc>
        <w:tc>
          <w:tcPr>
            <w:tcW w:w="7088" w:type="dxa"/>
            <w:hideMark/>
          </w:tcPr>
          <w:p w14:paraId="07BDD44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obstetric trauma</w:t>
            </w:r>
          </w:p>
        </w:tc>
      </w:tr>
      <w:tr w:rsidR="00B46DAE" w:rsidRPr="00B46DAE" w14:paraId="570D1CA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BA3EF8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O710</w:t>
            </w:r>
          </w:p>
        </w:tc>
        <w:tc>
          <w:tcPr>
            <w:tcW w:w="7088" w:type="dxa"/>
            <w:hideMark/>
          </w:tcPr>
          <w:p w14:paraId="4B27F5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Rupture of uterus before onset of labour</w:t>
            </w:r>
          </w:p>
        </w:tc>
      </w:tr>
      <w:tr w:rsidR="00B46DAE" w:rsidRPr="00B46DAE" w14:paraId="67475AFB" w14:textId="77777777" w:rsidTr="006F5124">
        <w:trPr>
          <w:trHeight w:val="397"/>
        </w:trPr>
        <w:tc>
          <w:tcPr>
            <w:tcW w:w="1838" w:type="dxa"/>
            <w:noWrap/>
            <w:hideMark/>
          </w:tcPr>
          <w:p w14:paraId="2D10029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O7100</w:t>
            </w:r>
          </w:p>
        </w:tc>
        <w:tc>
          <w:tcPr>
            <w:tcW w:w="7088" w:type="dxa"/>
            <w:hideMark/>
          </w:tcPr>
          <w:p w14:paraId="5A4013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Rupture of uterus before onset of labour, unspecified</w:t>
            </w:r>
          </w:p>
        </w:tc>
      </w:tr>
      <w:tr w:rsidR="00B46DAE" w:rsidRPr="00B46DAE" w14:paraId="6C02766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77A2A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O7101</w:t>
            </w:r>
          </w:p>
        </w:tc>
        <w:tc>
          <w:tcPr>
            <w:tcW w:w="7088" w:type="dxa"/>
            <w:hideMark/>
          </w:tcPr>
          <w:p w14:paraId="64BE1A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rupture of uterus before onset of labour</w:t>
            </w:r>
          </w:p>
        </w:tc>
      </w:tr>
      <w:tr w:rsidR="00B46DAE" w:rsidRPr="00B46DAE" w14:paraId="7FA591AF" w14:textId="77777777" w:rsidTr="006F5124">
        <w:trPr>
          <w:trHeight w:val="397"/>
        </w:trPr>
        <w:tc>
          <w:tcPr>
            <w:tcW w:w="1838" w:type="dxa"/>
            <w:noWrap/>
            <w:hideMark/>
          </w:tcPr>
          <w:p w14:paraId="3584FCC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O7102</w:t>
            </w:r>
          </w:p>
        </w:tc>
        <w:tc>
          <w:tcPr>
            <w:tcW w:w="7088" w:type="dxa"/>
            <w:hideMark/>
          </w:tcPr>
          <w:p w14:paraId="49E209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Traumatic rupture of uterus before onset of labour</w:t>
            </w:r>
          </w:p>
        </w:tc>
      </w:tr>
      <w:tr w:rsidR="00B46DAE" w:rsidRPr="00B46DAE" w14:paraId="48D6750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DD2ECE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O711</w:t>
            </w:r>
          </w:p>
        </w:tc>
        <w:tc>
          <w:tcPr>
            <w:tcW w:w="7088" w:type="dxa"/>
            <w:hideMark/>
          </w:tcPr>
          <w:p w14:paraId="6FD7E7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Rupture of uterus during labour</w:t>
            </w:r>
          </w:p>
        </w:tc>
      </w:tr>
      <w:tr w:rsidR="00B46DAE" w:rsidRPr="00B46DAE" w14:paraId="24BA04EF" w14:textId="77777777" w:rsidTr="006F5124">
        <w:trPr>
          <w:trHeight w:val="397"/>
        </w:trPr>
        <w:tc>
          <w:tcPr>
            <w:tcW w:w="1838" w:type="dxa"/>
            <w:noWrap/>
            <w:hideMark/>
          </w:tcPr>
          <w:p w14:paraId="665450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O7110</w:t>
            </w:r>
          </w:p>
        </w:tc>
        <w:tc>
          <w:tcPr>
            <w:tcW w:w="7088" w:type="dxa"/>
            <w:hideMark/>
          </w:tcPr>
          <w:p w14:paraId="4B8E149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Rupture of uterus during labour, unspecified</w:t>
            </w:r>
          </w:p>
        </w:tc>
      </w:tr>
      <w:tr w:rsidR="00B46DAE" w:rsidRPr="00B46DAE" w14:paraId="7F6617E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F5C114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O7111</w:t>
            </w:r>
          </w:p>
        </w:tc>
        <w:tc>
          <w:tcPr>
            <w:tcW w:w="7088" w:type="dxa"/>
            <w:hideMark/>
          </w:tcPr>
          <w:p w14:paraId="5A0EA89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Spontaneous rupture of uterus during labour</w:t>
            </w:r>
          </w:p>
        </w:tc>
      </w:tr>
      <w:tr w:rsidR="00B46DAE" w:rsidRPr="00B46DAE" w14:paraId="1E374802" w14:textId="77777777" w:rsidTr="006F5124">
        <w:trPr>
          <w:trHeight w:val="397"/>
        </w:trPr>
        <w:tc>
          <w:tcPr>
            <w:tcW w:w="1838" w:type="dxa"/>
            <w:noWrap/>
            <w:hideMark/>
          </w:tcPr>
          <w:p w14:paraId="0AB090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O7112</w:t>
            </w:r>
          </w:p>
        </w:tc>
        <w:tc>
          <w:tcPr>
            <w:tcW w:w="7088" w:type="dxa"/>
            <w:hideMark/>
          </w:tcPr>
          <w:p w14:paraId="32A926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Traumatic rupture of uterus during labour</w:t>
            </w:r>
          </w:p>
        </w:tc>
      </w:tr>
      <w:tr w:rsidR="00B46DAE" w:rsidRPr="00B46DAE" w14:paraId="0D9FA6E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9D235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O712</w:t>
            </w:r>
          </w:p>
        </w:tc>
        <w:tc>
          <w:tcPr>
            <w:tcW w:w="7088" w:type="dxa"/>
            <w:hideMark/>
          </w:tcPr>
          <w:p w14:paraId="204B8E5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inversion of uterus</w:t>
            </w:r>
          </w:p>
        </w:tc>
      </w:tr>
      <w:tr w:rsidR="00B46DAE" w:rsidRPr="00B46DAE" w14:paraId="367E510E" w14:textId="77777777" w:rsidTr="006F5124">
        <w:trPr>
          <w:trHeight w:val="397"/>
        </w:trPr>
        <w:tc>
          <w:tcPr>
            <w:tcW w:w="1838" w:type="dxa"/>
            <w:noWrap/>
            <w:hideMark/>
          </w:tcPr>
          <w:p w14:paraId="40D2877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O713</w:t>
            </w:r>
          </w:p>
        </w:tc>
        <w:tc>
          <w:tcPr>
            <w:tcW w:w="7088" w:type="dxa"/>
            <w:hideMark/>
          </w:tcPr>
          <w:p w14:paraId="67A4C09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laceration of cervix</w:t>
            </w:r>
          </w:p>
        </w:tc>
      </w:tr>
      <w:tr w:rsidR="00B46DAE" w:rsidRPr="00B46DAE" w14:paraId="51A0525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6F84F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O714</w:t>
            </w:r>
          </w:p>
        </w:tc>
        <w:tc>
          <w:tcPr>
            <w:tcW w:w="7088" w:type="dxa"/>
            <w:hideMark/>
          </w:tcPr>
          <w:p w14:paraId="1F1DB47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high vaginal laceration (alone)</w:t>
            </w:r>
          </w:p>
        </w:tc>
      </w:tr>
      <w:tr w:rsidR="00B46DAE" w:rsidRPr="00B46DAE" w14:paraId="3258E170" w14:textId="77777777" w:rsidTr="006F5124">
        <w:trPr>
          <w:trHeight w:val="397"/>
        </w:trPr>
        <w:tc>
          <w:tcPr>
            <w:tcW w:w="1838" w:type="dxa"/>
            <w:noWrap/>
            <w:hideMark/>
          </w:tcPr>
          <w:p w14:paraId="0E8437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O715</w:t>
            </w:r>
          </w:p>
        </w:tc>
        <w:tc>
          <w:tcPr>
            <w:tcW w:w="7088" w:type="dxa"/>
            <w:hideMark/>
          </w:tcPr>
          <w:p w14:paraId="015EF13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obstetric injury to pelvic organs</w:t>
            </w:r>
          </w:p>
        </w:tc>
      </w:tr>
      <w:tr w:rsidR="00B46DAE" w:rsidRPr="00B46DAE" w14:paraId="31A533E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6CD555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O716</w:t>
            </w:r>
          </w:p>
        </w:tc>
        <w:tc>
          <w:tcPr>
            <w:tcW w:w="7088" w:type="dxa"/>
            <w:hideMark/>
          </w:tcPr>
          <w:p w14:paraId="5E4FACC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damage to pelvic joints and ligaments</w:t>
            </w:r>
          </w:p>
        </w:tc>
      </w:tr>
      <w:tr w:rsidR="00B46DAE" w:rsidRPr="00B46DAE" w14:paraId="3AA755CC" w14:textId="77777777" w:rsidTr="006F5124">
        <w:trPr>
          <w:trHeight w:val="397"/>
        </w:trPr>
        <w:tc>
          <w:tcPr>
            <w:tcW w:w="1838" w:type="dxa"/>
            <w:noWrap/>
            <w:hideMark/>
          </w:tcPr>
          <w:p w14:paraId="29C473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O717</w:t>
            </w:r>
          </w:p>
        </w:tc>
        <w:tc>
          <w:tcPr>
            <w:tcW w:w="7088" w:type="dxa"/>
            <w:hideMark/>
          </w:tcPr>
          <w:p w14:paraId="709FB9C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haematoma of pelvis</w:t>
            </w:r>
          </w:p>
        </w:tc>
      </w:tr>
      <w:tr w:rsidR="00B46DAE" w:rsidRPr="00B46DAE" w14:paraId="117BFCF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0933DA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O718</w:t>
            </w:r>
          </w:p>
        </w:tc>
        <w:tc>
          <w:tcPr>
            <w:tcW w:w="7088" w:type="dxa"/>
            <w:hideMark/>
          </w:tcPr>
          <w:p w14:paraId="6BB1725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obstetric trauma</w:t>
            </w:r>
          </w:p>
        </w:tc>
      </w:tr>
      <w:tr w:rsidR="00B46DAE" w:rsidRPr="00B46DAE" w14:paraId="0F2FBEF3" w14:textId="77777777" w:rsidTr="006F5124">
        <w:trPr>
          <w:trHeight w:val="397"/>
        </w:trPr>
        <w:tc>
          <w:tcPr>
            <w:tcW w:w="1838" w:type="dxa"/>
            <w:noWrap/>
            <w:hideMark/>
          </w:tcPr>
          <w:p w14:paraId="5CA4AB0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O7181</w:t>
            </w:r>
          </w:p>
        </w:tc>
        <w:tc>
          <w:tcPr>
            <w:tcW w:w="7088" w:type="dxa"/>
            <w:hideMark/>
          </w:tcPr>
          <w:p w14:paraId="344326A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uterine laceration or tear</w:t>
            </w:r>
          </w:p>
        </w:tc>
      </w:tr>
      <w:tr w:rsidR="00B46DAE" w:rsidRPr="00B46DAE" w14:paraId="5F75556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5BD2CA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O7182</w:t>
            </w:r>
          </w:p>
        </w:tc>
        <w:tc>
          <w:tcPr>
            <w:tcW w:w="7088" w:type="dxa"/>
            <w:hideMark/>
          </w:tcPr>
          <w:p w14:paraId="3567856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Diastasis of recti abdominal muscle in pregnancy or delivery</w:t>
            </w:r>
          </w:p>
        </w:tc>
      </w:tr>
      <w:tr w:rsidR="00B46DAE" w:rsidRPr="00B46DAE" w14:paraId="796EE48B" w14:textId="77777777" w:rsidTr="006F5124">
        <w:trPr>
          <w:trHeight w:val="397"/>
        </w:trPr>
        <w:tc>
          <w:tcPr>
            <w:tcW w:w="1838" w:type="dxa"/>
            <w:noWrap/>
            <w:hideMark/>
          </w:tcPr>
          <w:p w14:paraId="3359FE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O7188</w:t>
            </w:r>
          </w:p>
        </w:tc>
        <w:tc>
          <w:tcPr>
            <w:tcW w:w="7088" w:type="dxa"/>
            <w:hideMark/>
          </w:tcPr>
          <w:p w14:paraId="1E85432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obstetric trauma</w:t>
            </w:r>
          </w:p>
        </w:tc>
      </w:tr>
      <w:tr w:rsidR="00B46DAE" w:rsidRPr="00B46DAE" w14:paraId="7070EAB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E42A87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O719</w:t>
            </w:r>
          </w:p>
        </w:tc>
        <w:tc>
          <w:tcPr>
            <w:tcW w:w="7088" w:type="dxa"/>
            <w:hideMark/>
          </w:tcPr>
          <w:p w14:paraId="4E460D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trauma, unspecified</w:t>
            </w:r>
          </w:p>
        </w:tc>
      </w:tr>
      <w:tr w:rsidR="00B46DAE" w:rsidRPr="00B46DAE" w14:paraId="686FADDE" w14:textId="77777777" w:rsidTr="006F5124">
        <w:trPr>
          <w:trHeight w:val="397"/>
        </w:trPr>
        <w:tc>
          <w:tcPr>
            <w:tcW w:w="1838" w:type="dxa"/>
            <w:noWrap/>
            <w:hideMark/>
          </w:tcPr>
          <w:p w14:paraId="36EA6E7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O72</w:t>
            </w:r>
          </w:p>
        </w:tc>
        <w:tc>
          <w:tcPr>
            <w:tcW w:w="7088" w:type="dxa"/>
            <w:hideMark/>
          </w:tcPr>
          <w:p w14:paraId="5A9D87C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Third-stage and postpartum haemorrhage</w:t>
            </w:r>
          </w:p>
        </w:tc>
      </w:tr>
      <w:tr w:rsidR="00B46DAE" w:rsidRPr="00B46DAE" w14:paraId="55130AF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F6E1B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O720</w:t>
            </w:r>
          </w:p>
        </w:tc>
        <w:tc>
          <w:tcPr>
            <w:tcW w:w="7088" w:type="dxa"/>
            <w:hideMark/>
          </w:tcPr>
          <w:p w14:paraId="5E148A8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Third-stage haemorrhage</w:t>
            </w:r>
          </w:p>
        </w:tc>
      </w:tr>
      <w:tr w:rsidR="00B46DAE" w:rsidRPr="00B46DAE" w14:paraId="4A044731" w14:textId="77777777" w:rsidTr="006F5124">
        <w:trPr>
          <w:trHeight w:val="397"/>
        </w:trPr>
        <w:tc>
          <w:tcPr>
            <w:tcW w:w="1838" w:type="dxa"/>
            <w:noWrap/>
            <w:hideMark/>
          </w:tcPr>
          <w:p w14:paraId="5698D98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O721</w:t>
            </w:r>
          </w:p>
        </w:tc>
        <w:tc>
          <w:tcPr>
            <w:tcW w:w="7088" w:type="dxa"/>
            <w:hideMark/>
          </w:tcPr>
          <w:p w14:paraId="40DF1A6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immediate postpartum haemorrhage</w:t>
            </w:r>
          </w:p>
        </w:tc>
      </w:tr>
      <w:tr w:rsidR="00B46DAE" w:rsidRPr="00B46DAE" w14:paraId="753529C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12C0C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O722</w:t>
            </w:r>
          </w:p>
        </w:tc>
        <w:tc>
          <w:tcPr>
            <w:tcW w:w="7088" w:type="dxa"/>
            <w:hideMark/>
          </w:tcPr>
          <w:p w14:paraId="31FA95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Delayed and secondary postpartum haemorrhage</w:t>
            </w:r>
          </w:p>
        </w:tc>
      </w:tr>
      <w:tr w:rsidR="00B46DAE" w:rsidRPr="00B46DAE" w14:paraId="6330022D" w14:textId="77777777" w:rsidTr="006F5124">
        <w:trPr>
          <w:trHeight w:val="397"/>
        </w:trPr>
        <w:tc>
          <w:tcPr>
            <w:tcW w:w="1838" w:type="dxa"/>
            <w:noWrap/>
            <w:hideMark/>
          </w:tcPr>
          <w:p w14:paraId="1391970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O723</w:t>
            </w:r>
          </w:p>
        </w:tc>
        <w:tc>
          <w:tcPr>
            <w:tcW w:w="7088" w:type="dxa"/>
            <w:hideMark/>
          </w:tcPr>
          <w:p w14:paraId="535AF32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coagulation defects</w:t>
            </w:r>
          </w:p>
        </w:tc>
      </w:tr>
      <w:tr w:rsidR="00B46DAE" w:rsidRPr="00B46DAE" w14:paraId="6540663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3D069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O73</w:t>
            </w:r>
          </w:p>
        </w:tc>
        <w:tc>
          <w:tcPr>
            <w:tcW w:w="7088" w:type="dxa"/>
            <w:hideMark/>
          </w:tcPr>
          <w:p w14:paraId="2D74648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Retained placenta and membranes</w:t>
            </w:r>
          </w:p>
        </w:tc>
      </w:tr>
      <w:tr w:rsidR="00B46DAE" w:rsidRPr="00B46DAE" w14:paraId="7BA15C23" w14:textId="77777777" w:rsidTr="006F5124">
        <w:trPr>
          <w:trHeight w:val="397"/>
        </w:trPr>
        <w:tc>
          <w:tcPr>
            <w:tcW w:w="1838" w:type="dxa"/>
            <w:noWrap/>
            <w:hideMark/>
          </w:tcPr>
          <w:p w14:paraId="729EB63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O730</w:t>
            </w:r>
          </w:p>
        </w:tc>
        <w:tc>
          <w:tcPr>
            <w:tcW w:w="7088" w:type="dxa"/>
            <w:hideMark/>
          </w:tcPr>
          <w:p w14:paraId="4DC0E1C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Retained placenta</w:t>
            </w:r>
          </w:p>
        </w:tc>
      </w:tr>
      <w:tr w:rsidR="00B46DAE" w:rsidRPr="00B46DAE" w14:paraId="2155216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8589F4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O731</w:t>
            </w:r>
          </w:p>
        </w:tc>
        <w:tc>
          <w:tcPr>
            <w:tcW w:w="7088" w:type="dxa"/>
            <w:hideMark/>
          </w:tcPr>
          <w:p w14:paraId="7AE43F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Retained portions of placenta and membranes</w:t>
            </w:r>
          </w:p>
        </w:tc>
      </w:tr>
      <w:tr w:rsidR="00B46DAE" w:rsidRPr="00B46DAE" w14:paraId="5758FC28" w14:textId="77777777" w:rsidTr="006F5124">
        <w:trPr>
          <w:trHeight w:val="397"/>
        </w:trPr>
        <w:tc>
          <w:tcPr>
            <w:tcW w:w="1838" w:type="dxa"/>
            <w:noWrap/>
            <w:hideMark/>
          </w:tcPr>
          <w:p w14:paraId="59EF7A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w:t>
            </w:r>
          </w:p>
        </w:tc>
        <w:tc>
          <w:tcPr>
            <w:tcW w:w="7088" w:type="dxa"/>
            <w:hideMark/>
          </w:tcPr>
          <w:p w14:paraId="534349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Complications of anaesthesia during labour and delivery</w:t>
            </w:r>
          </w:p>
        </w:tc>
      </w:tr>
      <w:tr w:rsidR="00B46DAE" w:rsidRPr="00B46DAE" w14:paraId="51F36A9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BCE78D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O740</w:t>
            </w:r>
          </w:p>
        </w:tc>
        <w:tc>
          <w:tcPr>
            <w:tcW w:w="7088" w:type="dxa"/>
            <w:hideMark/>
          </w:tcPr>
          <w:p w14:paraId="0AFE1EE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Aspiration pneumonitis due to anaesthesia during labour and delivery</w:t>
            </w:r>
          </w:p>
        </w:tc>
      </w:tr>
      <w:tr w:rsidR="00B46DAE" w:rsidRPr="00B46DAE" w14:paraId="69C3FE6A" w14:textId="77777777" w:rsidTr="006F5124">
        <w:trPr>
          <w:trHeight w:val="397"/>
        </w:trPr>
        <w:tc>
          <w:tcPr>
            <w:tcW w:w="1838" w:type="dxa"/>
            <w:noWrap/>
            <w:hideMark/>
          </w:tcPr>
          <w:p w14:paraId="024DF0D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O741</w:t>
            </w:r>
          </w:p>
        </w:tc>
        <w:tc>
          <w:tcPr>
            <w:tcW w:w="7088" w:type="dxa"/>
            <w:hideMark/>
          </w:tcPr>
          <w:p w14:paraId="031C24F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pulmonary complications of anaesthesia during labour and delivery</w:t>
            </w:r>
          </w:p>
        </w:tc>
      </w:tr>
      <w:tr w:rsidR="00B46DAE" w:rsidRPr="00B46DAE" w14:paraId="182C26D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F0406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O742</w:t>
            </w:r>
          </w:p>
        </w:tc>
        <w:tc>
          <w:tcPr>
            <w:tcW w:w="7088" w:type="dxa"/>
            <w:hideMark/>
          </w:tcPr>
          <w:p w14:paraId="78816C7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Cardiac complications of anaesthesia during labour and delivery</w:t>
            </w:r>
          </w:p>
        </w:tc>
      </w:tr>
      <w:tr w:rsidR="00B46DAE" w:rsidRPr="00B46DAE" w14:paraId="26F6834D" w14:textId="77777777" w:rsidTr="006F5124">
        <w:trPr>
          <w:trHeight w:val="397"/>
        </w:trPr>
        <w:tc>
          <w:tcPr>
            <w:tcW w:w="1838" w:type="dxa"/>
            <w:noWrap/>
            <w:hideMark/>
          </w:tcPr>
          <w:p w14:paraId="70DA024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O743</w:t>
            </w:r>
          </w:p>
        </w:tc>
        <w:tc>
          <w:tcPr>
            <w:tcW w:w="7088" w:type="dxa"/>
            <w:hideMark/>
          </w:tcPr>
          <w:p w14:paraId="7697572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Central nervous system complications of anaesthesia during labour and delivery</w:t>
            </w:r>
          </w:p>
        </w:tc>
      </w:tr>
      <w:tr w:rsidR="00B46DAE" w:rsidRPr="00B46DAE" w14:paraId="1D9C54A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A17F39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O744</w:t>
            </w:r>
          </w:p>
        </w:tc>
        <w:tc>
          <w:tcPr>
            <w:tcW w:w="7088" w:type="dxa"/>
            <w:hideMark/>
          </w:tcPr>
          <w:p w14:paraId="63E9DBA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Toxic reaction to local anaesthesia during labour and delivery</w:t>
            </w:r>
          </w:p>
        </w:tc>
      </w:tr>
      <w:tr w:rsidR="00B46DAE" w:rsidRPr="00B46DAE" w14:paraId="04C6D08E" w14:textId="77777777" w:rsidTr="006F5124">
        <w:trPr>
          <w:trHeight w:val="397"/>
        </w:trPr>
        <w:tc>
          <w:tcPr>
            <w:tcW w:w="1838" w:type="dxa"/>
            <w:noWrap/>
            <w:hideMark/>
          </w:tcPr>
          <w:p w14:paraId="11698E3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O745</w:t>
            </w:r>
          </w:p>
        </w:tc>
        <w:tc>
          <w:tcPr>
            <w:tcW w:w="7088" w:type="dxa"/>
            <w:hideMark/>
          </w:tcPr>
          <w:p w14:paraId="1980FF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Spinal and epidural anaesthesia-induced headache during labour and delivery</w:t>
            </w:r>
          </w:p>
        </w:tc>
      </w:tr>
      <w:tr w:rsidR="00B46DAE" w:rsidRPr="00B46DAE" w14:paraId="1238D4A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A3B77B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O746</w:t>
            </w:r>
          </w:p>
        </w:tc>
        <w:tc>
          <w:tcPr>
            <w:tcW w:w="7088" w:type="dxa"/>
            <w:hideMark/>
          </w:tcPr>
          <w:p w14:paraId="366D17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spinal and epidural anaesthesia during labour and delivery</w:t>
            </w:r>
          </w:p>
        </w:tc>
      </w:tr>
      <w:tr w:rsidR="00B46DAE" w:rsidRPr="00B46DAE" w14:paraId="3E6C04F5" w14:textId="77777777" w:rsidTr="006F5124">
        <w:trPr>
          <w:trHeight w:val="397"/>
        </w:trPr>
        <w:tc>
          <w:tcPr>
            <w:tcW w:w="1838" w:type="dxa"/>
            <w:noWrap/>
            <w:hideMark/>
          </w:tcPr>
          <w:p w14:paraId="29429E9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O747</w:t>
            </w:r>
          </w:p>
        </w:tc>
        <w:tc>
          <w:tcPr>
            <w:tcW w:w="7088" w:type="dxa"/>
            <w:hideMark/>
          </w:tcPr>
          <w:p w14:paraId="7BCB39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or difficult intubation during labour and delivery</w:t>
            </w:r>
          </w:p>
        </w:tc>
      </w:tr>
      <w:tr w:rsidR="00B46DAE" w:rsidRPr="00B46DAE" w14:paraId="25C321A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106F4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O7471</w:t>
            </w:r>
          </w:p>
        </w:tc>
        <w:tc>
          <w:tcPr>
            <w:tcW w:w="7088" w:type="dxa"/>
            <w:hideMark/>
          </w:tcPr>
          <w:p w14:paraId="12F03F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intubation during labour and delivery</w:t>
            </w:r>
          </w:p>
        </w:tc>
      </w:tr>
      <w:tr w:rsidR="00B46DAE" w:rsidRPr="00B46DAE" w14:paraId="368AA8CF" w14:textId="77777777" w:rsidTr="006F5124">
        <w:trPr>
          <w:trHeight w:val="397"/>
        </w:trPr>
        <w:tc>
          <w:tcPr>
            <w:tcW w:w="1838" w:type="dxa"/>
            <w:noWrap/>
            <w:hideMark/>
          </w:tcPr>
          <w:p w14:paraId="49EEA8D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O7472</w:t>
            </w:r>
          </w:p>
        </w:tc>
        <w:tc>
          <w:tcPr>
            <w:tcW w:w="7088" w:type="dxa"/>
            <w:hideMark/>
          </w:tcPr>
          <w:p w14:paraId="63CFD0D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Difficult intubation during labour and delivery</w:t>
            </w:r>
          </w:p>
        </w:tc>
      </w:tr>
      <w:tr w:rsidR="00B46DAE" w:rsidRPr="00B46DAE" w14:paraId="79B4C32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07AE09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O748</w:t>
            </w:r>
          </w:p>
        </w:tc>
        <w:tc>
          <w:tcPr>
            <w:tcW w:w="7088" w:type="dxa"/>
            <w:hideMark/>
          </w:tcPr>
          <w:p w14:paraId="0507076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anaesthesia during labour and delivery</w:t>
            </w:r>
          </w:p>
        </w:tc>
      </w:tr>
      <w:tr w:rsidR="00B46DAE" w:rsidRPr="00B46DAE" w14:paraId="6995B4DD" w14:textId="77777777" w:rsidTr="006F5124">
        <w:trPr>
          <w:trHeight w:val="397"/>
        </w:trPr>
        <w:tc>
          <w:tcPr>
            <w:tcW w:w="1838" w:type="dxa"/>
            <w:noWrap/>
            <w:hideMark/>
          </w:tcPr>
          <w:p w14:paraId="26AEA8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O749</w:t>
            </w:r>
          </w:p>
        </w:tc>
        <w:tc>
          <w:tcPr>
            <w:tcW w:w="7088" w:type="dxa"/>
            <w:hideMark/>
          </w:tcPr>
          <w:p w14:paraId="1590A8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 of anaesthesia during labour and delivery, unspecified</w:t>
            </w:r>
          </w:p>
        </w:tc>
      </w:tr>
      <w:tr w:rsidR="00B46DAE" w:rsidRPr="00B46DAE" w14:paraId="4E684C5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F487E2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w:t>
            </w:r>
          </w:p>
        </w:tc>
        <w:tc>
          <w:tcPr>
            <w:tcW w:w="7088" w:type="dxa"/>
            <w:hideMark/>
          </w:tcPr>
          <w:p w14:paraId="0B1C0E9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labour and delivery, not elsewhere classified</w:t>
            </w:r>
          </w:p>
        </w:tc>
      </w:tr>
      <w:tr w:rsidR="00B46DAE" w:rsidRPr="00B46DAE" w14:paraId="6A1B6627" w14:textId="77777777" w:rsidTr="006F5124">
        <w:trPr>
          <w:trHeight w:val="397"/>
        </w:trPr>
        <w:tc>
          <w:tcPr>
            <w:tcW w:w="1838" w:type="dxa"/>
            <w:noWrap/>
            <w:hideMark/>
          </w:tcPr>
          <w:p w14:paraId="1246444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O750</w:t>
            </w:r>
          </w:p>
        </w:tc>
        <w:tc>
          <w:tcPr>
            <w:tcW w:w="7088" w:type="dxa"/>
            <w:hideMark/>
          </w:tcPr>
          <w:p w14:paraId="2CB6565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distress during labour and delivery</w:t>
            </w:r>
          </w:p>
        </w:tc>
      </w:tr>
      <w:tr w:rsidR="00B46DAE" w:rsidRPr="00B46DAE" w14:paraId="54273CC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82ACD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O751</w:t>
            </w:r>
          </w:p>
        </w:tc>
        <w:tc>
          <w:tcPr>
            <w:tcW w:w="7088" w:type="dxa"/>
            <w:hideMark/>
          </w:tcPr>
          <w:p w14:paraId="5D1A471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Shock during or following labour and delivery</w:t>
            </w:r>
          </w:p>
        </w:tc>
      </w:tr>
      <w:tr w:rsidR="00B46DAE" w:rsidRPr="00B46DAE" w14:paraId="2D343A05" w14:textId="77777777" w:rsidTr="006F5124">
        <w:trPr>
          <w:trHeight w:val="397"/>
        </w:trPr>
        <w:tc>
          <w:tcPr>
            <w:tcW w:w="1838" w:type="dxa"/>
            <w:noWrap/>
            <w:hideMark/>
          </w:tcPr>
          <w:p w14:paraId="0052F02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O752</w:t>
            </w:r>
          </w:p>
        </w:tc>
        <w:tc>
          <w:tcPr>
            <w:tcW w:w="7088" w:type="dxa"/>
            <w:hideMark/>
          </w:tcPr>
          <w:p w14:paraId="08D34CC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Pyrexia during labour, not elsewhere classified</w:t>
            </w:r>
          </w:p>
        </w:tc>
      </w:tr>
      <w:tr w:rsidR="00B46DAE" w:rsidRPr="00B46DAE" w14:paraId="19F9C31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7A2929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O753</w:t>
            </w:r>
          </w:p>
        </w:tc>
        <w:tc>
          <w:tcPr>
            <w:tcW w:w="7088" w:type="dxa"/>
            <w:hideMark/>
          </w:tcPr>
          <w:p w14:paraId="42DFAC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infection during labour</w:t>
            </w:r>
          </w:p>
        </w:tc>
      </w:tr>
      <w:tr w:rsidR="00B46DAE" w:rsidRPr="00B46DAE" w14:paraId="7D366F71" w14:textId="77777777" w:rsidTr="006F5124">
        <w:trPr>
          <w:trHeight w:val="397"/>
        </w:trPr>
        <w:tc>
          <w:tcPr>
            <w:tcW w:w="1838" w:type="dxa"/>
            <w:noWrap/>
            <w:hideMark/>
          </w:tcPr>
          <w:p w14:paraId="1DBDE54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O754</w:t>
            </w:r>
          </w:p>
        </w:tc>
        <w:tc>
          <w:tcPr>
            <w:tcW w:w="7088" w:type="dxa"/>
            <w:hideMark/>
          </w:tcPr>
          <w:p w14:paraId="1912B1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obstetric surgery and procedures</w:t>
            </w:r>
          </w:p>
        </w:tc>
      </w:tr>
      <w:tr w:rsidR="00B46DAE" w:rsidRPr="00B46DAE" w14:paraId="0C49215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C5E34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O755</w:t>
            </w:r>
          </w:p>
        </w:tc>
        <w:tc>
          <w:tcPr>
            <w:tcW w:w="7088" w:type="dxa"/>
            <w:hideMark/>
          </w:tcPr>
          <w:p w14:paraId="350141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Delayed delivery after artificial rupture of membranes</w:t>
            </w:r>
          </w:p>
        </w:tc>
      </w:tr>
      <w:tr w:rsidR="00B46DAE" w:rsidRPr="00B46DAE" w14:paraId="4C37509A" w14:textId="77777777" w:rsidTr="006F5124">
        <w:trPr>
          <w:trHeight w:val="397"/>
        </w:trPr>
        <w:tc>
          <w:tcPr>
            <w:tcW w:w="1838" w:type="dxa"/>
            <w:noWrap/>
            <w:hideMark/>
          </w:tcPr>
          <w:p w14:paraId="6C8FEC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O756</w:t>
            </w:r>
          </w:p>
        </w:tc>
        <w:tc>
          <w:tcPr>
            <w:tcW w:w="7088" w:type="dxa"/>
            <w:hideMark/>
          </w:tcPr>
          <w:p w14:paraId="686A2C6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Delayed delivery after spontaneous or unspecified rupture of membranes</w:t>
            </w:r>
          </w:p>
        </w:tc>
      </w:tr>
      <w:tr w:rsidR="00B46DAE" w:rsidRPr="00B46DAE" w14:paraId="5E5BF95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11BF93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O757</w:t>
            </w:r>
          </w:p>
        </w:tc>
        <w:tc>
          <w:tcPr>
            <w:tcW w:w="7088" w:type="dxa"/>
            <w:hideMark/>
          </w:tcPr>
          <w:p w14:paraId="2934819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Vaginal delivery following previous caesarean section</w:t>
            </w:r>
          </w:p>
        </w:tc>
      </w:tr>
      <w:tr w:rsidR="00B46DAE" w:rsidRPr="00B46DAE" w14:paraId="591F80F2" w14:textId="77777777" w:rsidTr="006F5124">
        <w:trPr>
          <w:trHeight w:val="397"/>
        </w:trPr>
        <w:tc>
          <w:tcPr>
            <w:tcW w:w="1838" w:type="dxa"/>
            <w:noWrap/>
            <w:hideMark/>
          </w:tcPr>
          <w:p w14:paraId="097A27A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O758</w:t>
            </w:r>
          </w:p>
        </w:tc>
        <w:tc>
          <w:tcPr>
            <w:tcW w:w="7088" w:type="dxa"/>
            <w:hideMark/>
          </w:tcPr>
          <w:p w14:paraId="2E50497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complications of labour and delivery</w:t>
            </w:r>
          </w:p>
        </w:tc>
      </w:tr>
      <w:tr w:rsidR="00B46DAE" w:rsidRPr="00B46DAE" w14:paraId="6F26BFF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8A2A3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O759</w:t>
            </w:r>
          </w:p>
        </w:tc>
        <w:tc>
          <w:tcPr>
            <w:tcW w:w="7088" w:type="dxa"/>
            <w:hideMark/>
          </w:tcPr>
          <w:p w14:paraId="02681CD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 of labour and delivery, unspecified</w:t>
            </w:r>
          </w:p>
        </w:tc>
      </w:tr>
      <w:tr w:rsidR="00B46DAE" w:rsidRPr="00B46DAE" w14:paraId="6C2454C5" w14:textId="77777777" w:rsidTr="006F5124">
        <w:trPr>
          <w:trHeight w:val="397"/>
        </w:trPr>
        <w:tc>
          <w:tcPr>
            <w:tcW w:w="1838" w:type="dxa"/>
            <w:noWrap/>
            <w:hideMark/>
          </w:tcPr>
          <w:p w14:paraId="3CA037F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O80</w:t>
            </w:r>
          </w:p>
        </w:tc>
        <w:tc>
          <w:tcPr>
            <w:tcW w:w="7088" w:type="dxa"/>
            <w:hideMark/>
          </w:tcPr>
          <w:p w14:paraId="69909EA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Single spontaneous delivery</w:t>
            </w:r>
          </w:p>
        </w:tc>
      </w:tr>
      <w:tr w:rsidR="00B46DAE" w:rsidRPr="00B46DAE" w14:paraId="2F5A176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8D5086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O81</w:t>
            </w:r>
          </w:p>
        </w:tc>
        <w:tc>
          <w:tcPr>
            <w:tcW w:w="7088" w:type="dxa"/>
            <w:hideMark/>
          </w:tcPr>
          <w:p w14:paraId="2FB0DEA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Single delivery by forceps and vacuum extractor</w:t>
            </w:r>
          </w:p>
        </w:tc>
      </w:tr>
      <w:tr w:rsidR="00B46DAE" w:rsidRPr="00B46DAE" w14:paraId="5618CF70" w14:textId="77777777" w:rsidTr="006F5124">
        <w:trPr>
          <w:trHeight w:val="397"/>
        </w:trPr>
        <w:tc>
          <w:tcPr>
            <w:tcW w:w="1838" w:type="dxa"/>
            <w:noWrap/>
            <w:hideMark/>
          </w:tcPr>
          <w:p w14:paraId="2E401A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O82</w:t>
            </w:r>
          </w:p>
        </w:tc>
        <w:tc>
          <w:tcPr>
            <w:tcW w:w="7088" w:type="dxa"/>
            <w:hideMark/>
          </w:tcPr>
          <w:p w14:paraId="6C4CB7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Single delivery by caesarean section</w:t>
            </w:r>
          </w:p>
        </w:tc>
      </w:tr>
      <w:tr w:rsidR="00B46DAE" w:rsidRPr="00B46DAE" w14:paraId="3F8F0FC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0DACCB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O83</w:t>
            </w:r>
          </w:p>
        </w:tc>
        <w:tc>
          <w:tcPr>
            <w:tcW w:w="7088" w:type="dxa"/>
            <w:hideMark/>
          </w:tcPr>
          <w:p w14:paraId="34EB3C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assisted single delivery</w:t>
            </w:r>
          </w:p>
        </w:tc>
      </w:tr>
      <w:tr w:rsidR="00B46DAE" w:rsidRPr="00B46DAE" w14:paraId="3661F01A" w14:textId="77777777" w:rsidTr="006F5124">
        <w:trPr>
          <w:trHeight w:val="397"/>
        </w:trPr>
        <w:tc>
          <w:tcPr>
            <w:tcW w:w="1838" w:type="dxa"/>
            <w:noWrap/>
            <w:hideMark/>
          </w:tcPr>
          <w:p w14:paraId="6E5CE74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w:t>
            </w:r>
          </w:p>
        </w:tc>
        <w:tc>
          <w:tcPr>
            <w:tcW w:w="7088" w:type="dxa"/>
            <w:hideMark/>
          </w:tcPr>
          <w:p w14:paraId="7D22AD5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w:t>
            </w:r>
          </w:p>
        </w:tc>
      </w:tr>
      <w:tr w:rsidR="00B46DAE" w:rsidRPr="00B46DAE" w14:paraId="7784C44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644E02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O840</w:t>
            </w:r>
          </w:p>
        </w:tc>
        <w:tc>
          <w:tcPr>
            <w:tcW w:w="7088" w:type="dxa"/>
            <w:hideMark/>
          </w:tcPr>
          <w:p w14:paraId="7B57EF5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 all spontaneous</w:t>
            </w:r>
          </w:p>
        </w:tc>
      </w:tr>
      <w:tr w:rsidR="00B46DAE" w:rsidRPr="00B46DAE" w14:paraId="251D9640" w14:textId="77777777" w:rsidTr="006F5124">
        <w:trPr>
          <w:trHeight w:val="397"/>
        </w:trPr>
        <w:tc>
          <w:tcPr>
            <w:tcW w:w="1838" w:type="dxa"/>
            <w:noWrap/>
            <w:hideMark/>
          </w:tcPr>
          <w:p w14:paraId="3B6AA72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O841</w:t>
            </w:r>
          </w:p>
        </w:tc>
        <w:tc>
          <w:tcPr>
            <w:tcW w:w="7088" w:type="dxa"/>
            <w:hideMark/>
          </w:tcPr>
          <w:p w14:paraId="059AF7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 all by forceps and vacuum extractor</w:t>
            </w:r>
          </w:p>
        </w:tc>
      </w:tr>
      <w:tr w:rsidR="00B46DAE" w:rsidRPr="00B46DAE" w14:paraId="0665A07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B19D14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O842</w:t>
            </w:r>
          </w:p>
        </w:tc>
        <w:tc>
          <w:tcPr>
            <w:tcW w:w="7088" w:type="dxa"/>
            <w:hideMark/>
          </w:tcPr>
          <w:p w14:paraId="287E0A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 all by caesarean section</w:t>
            </w:r>
          </w:p>
        </w:tc>
      </w:tr>
      <w:tr w:rsidR="00B46DAE" w:rsidRPr="00B46DAE" w14:paraId="29992C89" w14:textId="77777777" w:rsidTr="006F5124">
        <w:trPr>
          <w:trHeight w:val="397"/>
        </w:trPr>
        <w:tc>
          <w:tcPr>
            <w:tcW w:w="1838" w:type="dxa"/>
            <w:noWrap/>
            <w:hideMark/>
          </w:tcPr>
          <w:p w14:paraId="03C92E5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O848</w:t>
            </w:r>
          </w:p>
        </w:tc>
        <w:tc>
          <w:tcPr>
            <w:tcW w:w="7088" w:type="dxa"/>
            <w:hideMark/>
          </w:tcPr>
          <w:p w14:paraId="5803EC9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multiple delivery</w:t>
            </w:r>
          </w:p>
        </w:tc>
      </w:tr>
      <w:tr w:rsidR="00B46DAE" w:rsidRPr="00B46DAE" w14:paraId="42A7468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44E540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O8481</w:t>
            </w:r>
          </w:p>
        </w:tc>
        <w:tc>
          <w:tcPr>
            <w:tcW w:w="7088" w:type="dxa"/>
            <w:hideMark/>
          </w:tcPr>
          <w:p w14:paraId="7BFA0BE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 all assisted, not elsewhere classified</w:t>
            </w:r>
          </w:p>
        </w:tc>
      </w:tr>
      <w:tr w:rsidR="00B46DAE" w:rsidRPr="00B46DAE" w14:paraId="146CC4B4" w14:textId="77777777" w:rsidTr="006F5124">
        <w:trPr>
          <w:trHeight w:val="397"/>
        </w:trPr>
        <w:tc>
          <w:tcPr>
            <w:tcW w:w="1838" w:type="dxa"/>
            <w:noWrap/>
            <w:hideMark/>
          </w:tcPr>
          <w:p w14:paraId="264895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O8482</w:t>
            </w:r>
          </w:p>
        </w:tc>
        <w:tc>
          <w:tcPr>
            <w:tcW w:w="7088" w:type="dxa"/>
            <w:hideMark/>
          </w:tcPr>
          <w:p w14:paraId="499C837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 by combination of methods</w:t>
            </w:r>
          </w:p>
        </w:tc>
      </w:tr>
      <w:tr w:rsidR="00B46DAE" w:rsidRPr="00B46DAE" w14:paraId="31A820A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BC2D7A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O849</w:t>
            </w:r>
          </w:p>
        </w:tc>
        <w:tc>
          <w:tcPr>
            <w:tcW w:w="7088" w:type="dxa"/>
            <w:hideMark/>
          </w:tcPr>
          <w:p w14:paraId="6CD7E63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Multiple delivery, unspecified</w:t>
            </w:r>
          </w:p>
        </w:tc>
      </w:tr>
      <w:tr w:rsidR="00B46DAE" w:rsidRPr="00B46DAE" w14:paraId="4637D8D1" w14:textId="77777777" w:rsidTr="006F5124">
        <w:trPr>
          <w:trHeight w:val="397"/>
        </w:trPr>
        <w:tc>
          <w:tcPr>
            <w:tcW w:w="1838" w:type="dxa"/>
            <w:noWrap/>
            <w:hideMark/>
          </w:tcPr>
          <w:p w14:paraId="19F8872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O85</w:t>
            </w:r>
          </w:p>
        </w:tc>
        <w:tc>
          <w:tcPr>
            <w:tcW w:w="7088" w:type="dxa"/>
            <w:hideMark/>
          </w:tcPr>
          <w:p w14:paraId="6E657B4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Puerperal sepsis</w:t>
            </w:r>
          </w:p>
        </w:tc>
      </w:tr>
      <w:tr w:rsidR="00B46DAE" w:rsidRPr="00B46DAE" w14:paraId="3AF4069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785AB6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O86</w:t>
            </w:r>
          </w:p>
        </w:tc>
        <w:tc>
          <w:tcPr>
            <w:tcW w:w="7088" w:type="dxa"/>
            <w:hideMark/>
          </w:tcPr>
          <w:p w14:paraId="0E0D9AB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puerperal infections</w:t>
            </w:r>
          </w:p>
        </w:tc>
      </w:tr>
      <w:tr w:rsidR="00B46DAE" w:rsidRPr="00B46DAE" w14:paraId="444F29EA" w14:textId="77777777" w:rsidTr="006F5124">
        <w:trPr>
          <w:trHeight w:val="397"/>
        </w:trPr>
        <w:tc>
          <w:tcPr>
            <w:tcW w:w="1838" w:type="dxa"/>
            <w:noWrap/>
            <w:hideMark/>
          </w:tcPr>
          <w:p w14:paraId="3EAE831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O860</w:t>
            </w:r>
          </w:p>
        </w:tc>
        <w:tc>
          <w:tcPr>
            <w:tcW w:w="7088" w:type="dxa"/>
            <w:hideMark/>
          </w:tcPr>
          <w:p w14:paraId="47E8AD5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 of obstetric surgical wound</w:t>
            </w:r>
          </w:p>
        </w:tc>
      </w:tr>
      <w:tr w:rsidR="00B46DAE" w:rsidRPr="00B46DAE" w14:paraId="2B6BB21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C07D62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O861</w:t>
            </w:r>
          </w:p>
        </w:tc>
        <w:tc>
          <w:tcPr>
            <w:tcW w:w="7088" w:type="dxa"/>
            <w:hideMark/>
          </w:tcPr>
          <w:p w14:paraId="43AEFEA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infection of genital tract following delivery</w:t>
            </w:r>
          </w:p>
        </w:tc>
      </w:tr>
      <w:tr w:rsidR="00B46DAE" w:rsidRPr="00B46DAE" w14:paraId="7D46B109" w14:textId="77777777" w:rsidTr="006F5124">
        <w:trPr>
          <w:trHeight w:val="397"/>
        </w:trPr>
        <w:tc>
          <w:tcPr>
            <w:tcW w:w="1838" w:type="dxa"/>
            <w:noWrap/>
            <w:hideMark/>
          </w:tcPr>
          <w:p w14:paraId="5D9B23D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O862</w:t>
            </w:r>
          </w:p>
        </w:tc>
        <w:tc>
          <w:tcPr>
            <w:tcW w:w="7088" w:type="dxa"/>
            <w:hideMark/>
          </w:tcPr>
          <w:p w14:paraId="23BBF8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Urinary tract infection following delivery</w:t>
            </w:r>
          </w:p>
        </w:tc>
      </w:tr>
      <w:tr w:rsidR="00B46DAE" w:rsidRPr="00B46DAE" w14:paraId="3E42DAC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C02B1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O863</w:t>
            </w:r>
          </w:p>
        </w:tc>
        <w:tc>
          <w:tcPr>
            <w:tcW w:w="7088" w:type="dxa"/>
            <w:hideMark/>
          </w:tcPr>
          <w:p w14:paraId="2E5CEED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genitourinary tract infections following delivery</w:t>
            </w:r>
          </w:p>
        </w:tc>
      </w:tr>
      <w:tr w:rsidR="00B46DAE" w:rsidRPr="00B46DAE" w14:paraId="6E41EEBB" w14:textId="77777777" w:rsidTr="006F5124">
        <w:trPr>
          <w:trHeight w:val="397"/>
        </w:trPr>
        <w:tc>
          <w:tcPr>
            <w:tcW w:w="1838" w:type="dxa"/>
            <w:noWrap/>
            <w:hideMark/>
          </w:tcPr>
          <w:p w14:paraId="25D02B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O864</w:t>
            </w:r>
          </w:p>
        </w:tc>
        <w:tc>
          <w:tcPr>
            <w:tcW w:w="7088" w:type="dxa"/>
            <w:hideMark/>
          </w:tcPr>
          <w:p w14:paraId="3E200A8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Pyrexia of unknown origin following delivery</w:t>
            </w:r>
          </w:p>
        </w:tc>
      </w:tr>
      <w:tr w:rsidR="00B46DAE" w:rsidRPr="00B46DAE" w14:paraId="7F474A0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270738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O868</w:t>
            </w:r>
          </w:p>
        </w:tc>
        <w:tc>
          <w:tcPr>
            <w:tcW w:w="7088" w:type="dxa"/>
            <w:hideMark/>
          </w:tcPr>
          <w:p w14:paraId="5F0C8B4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puerperal infections</w:t>
            </w:r>
          </w:p>
        </w:tc>
      </w:tr>
      <w:tr w:rsidR="00B46DAE" w:rsidRPr="00B46DAE" w14:paraId="2AD49730" w14:textId="77777777" w:rsidTr="006F5124">
        <w:trPr>
          <w:trHeight w:val="397"/>
        </w:trPr>
        <w:tc>
          <w:tcPr>
            <w:tcW w:w="1838" w:type="dxa"/>
            <w:noWrap/>
            <w:hideMark/>
          </w:tcPr>
          <w:p w14:paraId="6CEED8D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w:t>
            </w:r>
          </w:p>
        </w:tc>
        <w:tc>
          <w:tcPr>
            <w:tcW w:w="7088" w:type="dxa"/>
            <w:hideMark/>
          </w:tcPr>
          <w:p w14:paraId="220166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Venous conditions and haemorrhoids in the puerperium</w:t>
            </w:r>
          </w:p>
        </w:tc>
      </w:tr>
      <w:tr w:rsidR="00B46DAE" w:rsidRPr="00B46DAE" w14:paraId="4E98E2C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8B8D0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O870</w:t>
            </w:r>
          </w:p>
        </w:tc>
        <w:tc>
          <w:tcPr>
            <w:tcW w:w="7088" w:type="dxa"/>
            <w:hideMark/>
          </w:tcPr>
          <w:p w14:paraId="2533C8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Superficial thrombophlebitis in the puerperium</w:t>
            </w:r>
          </w:p>
        </w:tc>
      </w:tr>
      <w:tr w:rsidR="00B46DAE" w:rsidRPr="00B46DAE" w14:paraId="1B0ECC67" w14:textId="77777777" w:rsidTr="006F5124">
        <w:trPr>
          <w:trHeight w:val="397"/>
        </w:trPr>
        <w:tc>
          <w:tcPr>
            <w:tcW w:w="1838" w:type="dxa"/>
            <w:noWrap/>
            <w:hideMark/>
          </w:tcPr>
          <w:p w14:paraId="5A40E93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O871</w:t>
            </w:r>
          </w:p>
        </w:tc>
        <w:tc>
          <w:tcPr>
            <w:tcW w:w="7088" w:type="dxa"/>
            <w:hideMark/>
          </w:tcPr>
          <w:p w14:paraId="073F1B8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Deep phlebothrombosis in the puerperium</w:t>
            </w:r>
          </w:p>
        </w:tc>
      </w:tr>
      <w:tr w:rsidR="00B46DAE" w:rsidRPr="00B46DAE" w14:paraId="24E2AAB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1C449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O872</w:t>
            </w:r>
          </w:p>
        </w:tc>
        <w:tc>
          <w:tcPr>
            <w:tcW w:w="7088" w:type="dxa"/>
            <w:hideMark/>
          </w:tcPr>
          <w:p w14:paraId="0237772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Haemorrhoids in the puerperium</w:t>
            </w:r>
          </w:p>
        </w:tc>
      </w:tr>
      <w:tr w:rsidR="00B46DAE" w:rsidRPr="00B46DAE" w14:paraId="650CA17C" w14:textId="77777777" w:rsidTr="006F5124">
        <w:trPr>
          <w:trHeight w:val="397"/>
        </w:trPr>
        <w:tc>
          <w:tcPr>
            <w:tcW w:w="1838" w:type="dxa"/>
            <w:noWrap/>
            <w:hideMark/>
          </w:tcPr>
          <w:p w14:paraId="26BB49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O873</w:t>
            </w:r>
          </w:p>
        </w:tc>
        <w:tc>
          <w:tcPr>
            <w:tcW w:w="7088" w:type="dxa"/>
            <w:hideMark/>
          </w:tcPr>
          <w:p w14:paraId="7A0D23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Cerebral venous thrombosis in the puerperium</w:t>
            </w:r>
          </w:p>
        </w:tc>
      </w:tr>
      <w:tr w:rsidR="00B46DAE" w:rsidRPr="00B46DAE" w14:paraId="314A9ED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09C0E5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O878</w:t>
            </w:r>
          </w:p>
        </w:tc>
        <w:tc>
          <w:tcPr>
            <w:tcW w:w="7088" w:type="dxa"/>
            <w:hideMark/>
          </w:tcPr>
          <w:p w14:paraId="6DDF79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venous complications in the puerperium</w:t>
            </w:r>
          </w:p>
        </w:tc>
      </w:tr>
      <w:tr w:rsidR="00B46DAE" w:rsidRPr="00B46DAE" w14:paraId="5C40AD02" w14:textId="77777777" w:rsidTr="006F5124">
        <w:trPr>
          <w:trHeight w:val="397"/>
        </w:trPr>
        <w:tc>
          <w:tcPr>
            <w:tcW w:w="1838" w:type="dxa"/>
            <w:noWrap/>
            <w:hideMark/>
          </w:tcPr>
          <w:p w14:paraId="16BB4C6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O879</w:t>
            </w:r>
          </w:p>
        </w:tc>
        <w:tc>
          <w:tcPr>
            <w:tcW w:w="7088" w:type="dxa"/>
            <w:hideMark/>
          </w:tcPr>
          <w:p w14:paraId="2A6E15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Venous condition in the puerperium</w:t>
            </w:r>
          </w:p>
        </w:tc>
      </w:tr>
      <w:tr w:rsidR="00B46DAE" w:rsidRPr="00B46DAE" w14:paraId="1D5FD41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83A18A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O88</w:t>
            </w:r>
          </w:p>
        </w:tc>
        <w:tc>
          <w:tcPr>
            <w:tcW w:w="7088" w:type="dxa"/>
            <w:hideMark/>
          </w:tcPr>
          <w:p w14:paraId="27D1240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embolism</w:t>
            </w:r>
          </w:p>
        </w:tc>
      </w:tr>
      <w:tr w:rsidR="00B46DAE" w:rsidRPr="00B46DAE" w14:paraId="461B97E7" w14:textId="77777777" w:rsidTr="006F5124">
        <w:trPr>
          <w:trHeight w:val="397"/>
        </w:trPr>
        <w:tc>
          <w:tcPr>
            <w:tcW w:w="1838" w:type="dxa"/>
            <w:noWrap/>
            <w:hideMark/>
          </w:tcPr>
          <w:p w14:paraId="0058755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O880</w:t>
            </w:r>
          </w:p>
        </w:tc>
        <w:tc>
          <w:tcPr>
            <w:tcW w:w="7088" w:type="dxa"/>
            <w:hideMark/>
          </w:tcPr>
          <w:p w14:paraId="5C9B1FB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air embolism</w:t>
            </w:r>
          </w:p>
        </w:tc>
      </w:tr>
      <w:tr w:rsidR="00B46DAE" w:rsidRPr="00B46DAE" w14:paraId="38EFF7E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B9F4F8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O881</w:t>
            </w:r>
          </w:p>
        </w:tc>
        <w:tc>
          <w:tcPr>
            <w:tcW w:w="7088" w:type="dxa"/>
            <w:hideMark/>
          </w:tcPr>
          <w:p w14:paraId="19BB13B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Amniotic fluid embolism</w:t>
            </w:r>
          </w:p>
        </w:tc>
      </w:tr>
      <w:tr w:rsidR="00B46DAE" w:rsidRPr="00B46DAE" w14:paraId="1950CDA2" w14:textId="77777777" w:rsidTr="006F5124">
        <w:trPr>
          <w:trHeight w:val="397"/>
        </w:trPr>
        <w:tc>
          <w:tcPr>
            <w:tcW w:w="1838" w:type="dxa"/>
            <w:noWrap/>
            <w:hideMark/>
          </w:tcPr>
          <w:p w14:paraId="6905F0A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O882</w:t>
            </w:r>
          </w:p>
        </w:tc>
        <w:tc>
          <w:tcPr>
            <w:tcW w:w="7088" w:type="dxa"/>
            <w:hideMark/>
          </w:tcPr>
          <w:p w14:paraId="23EEC03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blood clot embolism</w:t>
            </w:r>
          </w:p>
        </w:tc>
      </w:tr>
      <w:tr w:rsidR="00B46DAE" w:rsidRPr="00B46DAE" w14:paraId="76E8E71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BED768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O883</w:t>
            </w:r>
          </w:p>
        </w:tc>
        <w:tc>
          <w:tcPr>
            <w:tcW w:w="7088" w:type="dxa"/>
            <w:hideMark/>
          </w:tcPr>
          <w:p w14:paraId="6FE9C9A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pyaemic and septic embolism</w:t>
            </w:r>
          </w:p>
        </w:tc>
      </w:tr>
      <w:tr w:rsidR="00B46DAE" w:rsidRPr="00B46DAE" w14:paraId="6929869E" w14:textId="77777777" w:rsidTr="006F5124">
        <w:trPr>
          <w:trHeight w:val="397"/>
        </w:trPr>
        <w:tc>
          <w:tcPr>
            <w:tcW w:w="1838" w:type="dxa"/>
            <w:noWrap/>
            <w:hideMark/>
          </w:tcPr>
          <w:p w14:paraId="5FF794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O888</w:t>
            </w:r>
          </w:p>
        </w:tc>
        <w:tc>
          <w:tcPr>
            <w:tcW w:w="7088" w:type="dxa"/>
            <w:hideMark/>
          </w:tcPr>
          <w:p w14:paraId="381A6F3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obstetric embolism</w:t>
            </w:r>
          </w:p>
        </w:tc>
      </w:tr>
      <w:tr w:rsidR="00B46DAE" w:rsidRPr="00B46DAE" w14:paraId="6A1E9CE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91E3BF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w:t>
            </w:r>
          </w:p>
        </w:tc>
        <w:tc>
          <w:tcPr>
            <w:tcW w:w="7088" w:type="dxa"/>
            <w:hideMark/>
          </w:tcPr>
          <w:p w14:paraId="17EFEB3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Complications of anaesthesia during the puerperium</w:t>
            </w:r>
          </w:p>
        </w:tc>
      </w:tr>
      <w:tr w:rsidR="00B46DAE" w:rsidRPr="00B46DAE" w14:paraId="4DD5900E" w14:textId="77777777" w:rsidTr="006F5124">
        <w:trPr>
          <w:trHeight w:val="397"/>
        </w:trPr>
        <w:tc>
          <w:tcPr>
            <w:tcW w:w="1838" w:type="dxa"/>
            <w:noWrap/>
            <w:hideMark/>
          </w:tcPr>
          <w:p w14:paraId="3377200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O890</w:t>
            </w:r>
          </w:p>
        </w:tc>
        <w:tc>
          <w:tcPr>
            <w:tcW w:w="7088" w:type="dxa"/>
            <w:hideMark/>
          </w:tcPr>
          <w:p w14:paraId="7C1507B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Pulmonary complications of anaesthesia during the puerperium</w:t>
            </w:r>
          </w:p>
        </w:tc>
      </w:tr>
      <w:tr w:rsidR="00B46DAE" w:rsidRPr="00B46DAE" w14:paraId="0CD3819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504591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O891</w:t>
            </w:r>
          </w:p>
        </w:tc>
        <w:tc>
          <w:tcPr>
            <w:tcW w:w="7088" w:type="dxa"/>
            <w:hideMark/>
          </w:tcPr>
          <w:p w14:paraId="62DB297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Cardiac complications of anaesthesia during the puerperium</w:t>
            </w:r>
          </w:p>
        </w:tc>
      </w:tr>
      <w:tr w:rsidR="00B46DAE" w:rsidRPr="00B46DAE" w14:paraId="53C752B8" w14:textId="77777777" w:rsidTr="006F5124">
        <w:trPr>
          <w:trHeight w:val="397"/>
        </w:trPr>
        <w:tc>
          <w:tcPr>
            <w:tcW w:w="1838" w:type="dxa"/>
            <w:noWrap/>
            <w:hideMark/>
          </w:tcPr>
          <w:p w14:paraId="291F6E4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O892</w:t>
            </w:r>
          </w:p>
        </w:tc>
        <w:tc>
          <w:tcPr>
            <w:tcW w:w="7088" w:type="dxa"/>
            <w:hideMark/>
          </w:tcPr>
          <w:p w14:paraId="35D5526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Central nervous system complications of anaesthesia during the puerperium</w:t>
            </w:r>
          </w:p>
        </w:tc>
      </w:tr>
      <w:tr w:rsidR="00B46DAE" w:rsidRPr="00B46DAE" w14:paraId="60FF87A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0BD4F1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O893</w:t>
            </w:r>
          </w:p>
        </w:tc>
        <w:tc>
          <w:tcPr>
            <w:tcW w:w="7088" w:type="dxa"/>
            <w:hideMark/>
          </w:tcPr>
          <w:p w14:paraId="1990BF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Toxic reaction to local anaesthesia during the puerperium</w:t>
            </w:r>
          </w:p>
        </w:tc>
      </w:tr>
      <w:tr w:rsidR="00B46DAE" w:rsidRPr="00B46DAE" w14:paraId="6CDB4C83" w14:textId="77777777" w:rsidTr="006F5124">
        <w:trPr>
          <w:trHeight w:val="397"/>
        </w:trPr>
        <w:tc>
          <w:tcPr>
            <w:tcW w:w="1838" w:type="dxa"/>
            <w:noWrap/>
            <w:hideMark/>
          </w:tcPr>
          <w:p w14:paraId="460327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O894</w:t>
            </w:r>
          </w:p>
        </w:tc>
        <w:tc>
          <w:tcPr>
            <w:tcW w:w="7088" w:type="dxa"/>
            <w:hideMark/>
          </w:tcPr>
          <w:p w14:paraId="02009E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Spinal and epidural anaesthesia-induced headache during the puerperium</w:t>
            </w:r>
          </w:p>
        </w:tc>
      </w:tr>
      <w:tr w:rsidR="00B46DAE" w:rsidRPr="00B46DAE" w14:paraId="68C3EAD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41341B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O895</w:t>
            </w:r>
          </w:p>
        </w:tc>
        <w:tc>
          <w:tcPr>
            <w:tcW w:w="7088" w:type="dxa"/>
            <w:hideMark/>
          </w:tcPr>
          <w:p w14:paraId="61CBF6B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spinal and epidural anaesthesia during the puerperium</w:t>
            </w:r>
          </w:p>
        </w:tc>
      </w:tr>
      <w:tr w:rsidR="00B46DAE" w:rsidRPr="00B46DAE" w14:paraId="672F1B5A" w14:textId="77777777" w:rsidTr="006F5124">
        <w:trPr>
          <w:trHeight w:val="397"/>
        </w:trPr>
        <w:tc>
          <w:tcPr>
            <w:tcW w:w="1838" w:type="dxa"/>
            <w:noWrap/>
            <w:hideMark/>
          </w:tcPr>
          <w:p w14:paraId="3F164F8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O896</w:t>
            </w:r>
          </w:p>
        </w:tc>
        <w:tc>
          <w:tcPr>
            <w:tcW w:w="7088" w:type="dxa"/>
            <w:hideMark/>
          </w:tcPr>
          <w:p w14:paraId="55F65BD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or difficult intubation during the puerperium</w:t>
            </w:r>
          </w:p>
        </w:tc>
      </w:tr>
      <w:tr w:rsidR="00B46DAE" w:rsidRPr="00B46DAE" w14:paraId="7185F5F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539456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O8961</w:t>
            </w:r>
          </w:p>
        </w:tc>
        <w:tc>
          <w:tcPr>
            <w:tcW w:w="7088" w:type="dxa"/>
            <w:hideMark/>
          </w:tcPr>
          <w:p w14:paraId="5127737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Failed intubation during the puerperium</w:t>
            </w:r>
          </w:p>
        </w:tc>
      </w:tr>
      <w:tr w:rsidR="00B46DAE" w:rsidRPr="00B46DAE" w14:paraId="78BA43F1" w14:textId="77777777" w:rsidTr="006F5124">
        <w:trPr>
          <w:trHeight w:val="397"/>
        </w:trPr>
        <w:tc>
          <w:tcPr>
            <w:tcW w:w="1838" w:type="dxa"/>
            <w:noWrap/>
            <w:hideMark/>
          </w:tcPr>
          <w:p w14:paraId="3B3A257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O8962</w:t>
            </w:r>
          </w:p>
        </w:tc>
        <w:tc>
          <w:tcPr>
            <w:tcW w:w="7088" w:type="dxa"/>
            <w:hideMark/>
          </w:tcPr>
          <w:p w14:paraId="40BB9E7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Difficult intubation during the puerperium</w:t>
            </w:r>
          </w:p>
        </w:tc>
      </w:tr>
      <w:tr w:rsidR="00B46DAE" w:rsidRPr="00B46DAE" w14:paraId="1B252EE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CCD6E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O898</w:t>
            </w:r>
          </w:p>
        </w:tc>
        <w:tc>
          <w:tcPr>
            <w:tcW w:w="7088" w:type="dxa"/>
            <w:hideMark/>
          </w:tcPr>
          <w:p w14:paraId="1007ED3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anaesthesia during the puerperium</w:t>
            </w:r>
          </w:p>
        </w:tc>
      </w:tr>
      <w:tr w:rsidR="00B46DAE" w:rsidRPr="00B46DAE" w14:paraId="68F69F48" w14:textId="77777777" w:rsidTr="006F5124">
        <w:trPr>
          <w:trHeight w:val="397"/>
        </w:trPr>
        <w:tc>
          <w:tcPr>
            <w:tcW w:w="1838" w:type="dxa"/>
            <w:noWrap/>
            <w:hideMark/>
          </w:tcPr>
          <w:p w14:paraId="7C8523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O899</w:t>
            </w:r>
          </w:p>
        </w:tc>
        <w:tc>
          <w:tcPr>
            <w:tcW w:w="7088" w:type="dxa"/>
            <w:hideMark/>
          </w:tcPr>
          <w:p w14:paraId="1AAC8EF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 of anaesthesia during the puerperium, unspecified</w:t>
            </w:r>
          </w:p>
        </w:tc>
      </w:tr>
      <w:tr w:rsidR="00B46DAE" w:rsidRPr="00B46DAE" w14:paraId="46FDB88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849746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w:t>
            </w:r>
          </w:p>
        </w:tc>
        <w:tc>
          <w:tcPr>
            <w:tcW w:w="7088" w:type="dxa"/>
            <w:hideMark/>
          </w:tcPr>
          <w:p w14:paraId="15039F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Complications of the puerperium, not elsewhere classified</w:t>
            </w:r>
          </w:p>
        </w:tc>
      </w:tr>
      <w:tr w:rsidR="00B46DAE" w:rsidRPr="00B46DAE" w14:paraId="60C65B54" w14:textId="77777777" w:rsidTr="006F5124">
        <w:trPr>
          <w:trHeight w:val="397"/>
        </w:trPr>
        <w:tc>
          <w:tcPr>
            <w:tcW w:w="1838" w:type="dxa"/>
            <w:noWrap/>
            <w:hideMark/>
          </w:tcPr>
          <w:p w14:paraId="0E9C8A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O900</w:t>
            </w:r>
          </w:p>
        </w:tc>
        <w:tc>
          <w:tcPr>
            <w:tcW w:w="7088" w:type="dxa"/>
            <w:hideMark/>
          </w:tcPr>
          <w:p w14:paraId="268894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Disruption of caesarean section wound</w:t>
            </w:r>
          </w:p>
        </w:tc>
      </w:tr>
      <w:tr w:rsidR="00B46DAE" w:rsidRPr="00B46DAE" w14:paraId="1BB7609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4AAA2C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O901</w:t>
            </w:r>
          </w:p>
        </w:tc>
        <w:tc>
          <w:tcPr>
            <w:tcW w:w="7088" w:type="dxa"/>
            <w:hideMark/>
          </w:tcPr>
          <w:p w14:paraId="11343A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Disruption of perineal obstetric wound</w:t>
            </w:r>
          </w:p>
        </w:tc>
      </w:tr>
      <w:tr w:rsidR="00B46DAE" w:rsidRPr="00B46DAE" w14:paraId="44864EFF" w14:textId="77777777" w:rsidTr="006F5124">
        <w:trPr>
          <w:trHeight w:val="397"/>
        </w:trPr>
        <w:tc>
          <w:tcPr>
            <w:tcW w:w="1838" w:type="dxa"/>
            <w:noWrap/>
            <w:hideMark/>
          </w:tcPr>
          <w:p w14:paraId="6502004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O902</w:t>
            </w:r>
          </w:p>
        </w:tc>
        <w:tc>
          <w:tcPr>
            <w:tcW w:w="7088" w:type="dxa"/>
            <w:hideMark/>
          </w:tcPr>
          <w:p w14:paraId="18D1D28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Haematoma of obstetric wound</w:t>
            </w:r>
          </w:p>
        </w:tc>
      </w:tr>
      <w:tr w:rsidR="00B46DAE" w:rsidRPr="00B46DAE" w14:paraId="38013B1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F91713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O903</w:t>
            </w:r>
          </w:p>
        </w:tc>
        <w:tc>
          <w:tcPr>
            <w:tcW w:w="7088" w:type="dxa"/>
            <w:hideMark/>
          </w:tcPr>
          <w:p w14:paraId="39B035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Cardiomyopathy in the puerperium</w:t>
            </w:r>
          </w:p>
        </w:tc>
      </w:tr>
      <w:tr w:rsidR="00B46DAE" w:rsidRPr="00B46DAE" w14:paraId="03911BC7" w14:textId="77777777" w:rsidTr="006F5124">
        <w:trPr>
          <w:trHeight w:val="397"/>
        </w:trPr>
        <w:tc>
          <w:tcPr>
            <w:tcW w:w="1838" w:type="dxa"/>
            <w:noWrap/>
            <w:hideMark/>
          </w:tcPr>
          <w:p w14:paraId="224538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O904</w:t>
            </w:r>
          </w:p>
        </w:tc>
        <w:tc>
          <w:tcPr>
            <w:tcW w:w="7088" w:type="dxa"/>
            <w:hideMark/>
          </w:tcPr>
          <w:p w14:paraId="54A2C5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acute kidney failure</w:t>
            </w:r>
          </w:p>
        </w:tc>
      </w:tr>
      <w:tr w:rsidR="00B46DAE" w:rsidRPr="00B46DAE" w14:paraId="4456446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0E3579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O905</w:t>
            </w:r>
          </w:p>
        </w:tc>
        <w:tc>
          <w:tcPr>
            <w:tcW w:w="7088" w:type="dxa"/>
            <w:hideMark/>
          </w:tcPr>
          <w:p w14:paraId="5CA516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thyroiditis</w:t>
            </w:r>
          </w:p>
        </w:tc>
      </w:tr>
      <w:tr w:rsidR="00B46DAE" w:rsidRPr="00B46DAE" w14:paraId="342609D4" w14:textId="77777777" w:rsidTr="006F5124">
        <w:trPr>
          <w:trHeight w:val="397"/>
        </w:trPr>
        <w:tc>
          <w:tcPr>
            <w:tcW w:w="1838" w:type="dxa"/>
            <w:noWrap/>
            <w:hideMark/>
          </w:tcPr>
          <w:p w14:paraId="3C8AB32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O908</w:t>
            </w:r>
          </w:p>
        </w:tc>
        <w:tc>
          <w:tcPr>
            <w:tcW w:w="7088" w:type="dxa"/>
            <w:hideMark/>
          </w:tcPr>
          <w:p w14:paraId="3007BE8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complications of the puerperium, not elsewhere classified</w:t>
            </w:r>
          </w:p>
        </w:tc>
      </w:tr>
      <w:tr w:rsidR="00B46DAE" w:rsidRPr="00B46DAE" w14:paraId="2DD068A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253E55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O909</w:t>
            </w:r>
          </w:p>
        </w:tc>
        <w:tc>
          <w:tcPr>
            <w:tcW w:w="7088" w:type="dxa"/>
            <w:hideMark/>
          </w:tcPr>
          <w:p w14:paraId="579297A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Complication of the puerperium, unspecified</w:t>
            </w:r>
          </w:p>
        </w:tc>
      </w:tr>
      <w:tr w:rsidR="00B46DAE" w:rsidRPr="00B46DAE" w14:paraId="3231F4E1" w14:textId="77777777" w:rsidTr="006F5124">
        <w:trPr>
          <w:trHeight w:val="397"/>
        </w:trPr>
        <w:tc>
          <w:tcPr>
            <w:tcW w:w="1838" w:type="dxa"/>
            <w:noWrap/>
            <w:hideMark/>
          </w:tcPr>
          <w:p w14:paraId="2F4B0A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w:t>
            </w:r>
          </w:p>
        </w:tc>
        <w:tc>
          <w:tcPr>
            <w:tcW w:w="7088" w:type="dxa"/>
            <w:hideMark/>
          </w:tcPr>
          <w:p w14:paraId="6CEF44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Infections of breast associated with childbirth</w:t>
            </w:r>
          </w:p>
        </w:tc>
      </w:tr>
      <w:tr w:rsidR="00B46DAE" w:rsidRPr="00B46DAE" w14:paraId="5CFFA0E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18C3BD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O910</w:t>
            </w:r>
          </w:p>
        </w:tc>
        <w:tc>
          <w:tcPr>
            <w:tcW w:w="7088" w:type="dxa"/>
            <w:hideMark/>
          </w:tcPr>
          <w:p w14:paraId="3BE1B59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 of nipple associated with childbirth</w:t>
            </w:r>
          </w:p>
        </w:tc>
      </w:tr>
      <w:tr w:rsidR="00B46DAE" w:rsidRPr="00B46DAE" w14:paraId="43A83329" w14:textId="77777777" w:rsidTr="006F5124">
        <w:trPr>
          <w:trHeight w:val="397"/>
        </w:trPr>
        <w:tc>
          <w:tcPr>
            <w:tcW w:w="1838" w:type="dxa"/>
            <w:noWrap/>
            <w:hideMark/>
          </w:tcPr>
          <w:p w14:paraId="55CC38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O9100</w:t>
            </w:r>
          </w:p>
        </w:tc>
        <w:tc>
          <w:tcPr>
            <w:tcW w:w="7088" w:type="dxa"/>
            <w:hideMark/>
          </w:tcPr>
          <w:p w14:paraId="16A143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 of nipple associated with childbirth, without mention of attachment difficulty</w:t>
            </w:r>
          </w:p>
        </w:tc>
      </w:tr>
      <w:tr w:rsidR="00B46DAE" w:rsidRPr="00B46DAE" w14:paraId="7F5CBD8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6BF90A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O9101</w:t>
            </w:r>
          </w:p>
        </w:tc>
        <w:tc>
          <w:tcPr>
            <w:tcW w:w="7088" w:type="dxa"/>
            <w:hideMark/>
          </w:tcPr>
          <w:p w14:paraId="1E1DFC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Infection of nipple associated with childbirth, with mention of attachment difficulty</w:t>
            </w:r>
          </w:p>
        </w:tc>
      </w:tr>
      <w:tr w:rsidR="00B46DAE" w:rsidRPr="00B46DAE" w14:paraId="4F00BC22" w14:textId="77777777" w:rsidTr="006F5124">
        <w:trPr>
          <w:trHeight w:val="397"/>
        </w:trPr>
        <w:tc>
          <w:tcPr>
            <w:tcW w:w="1838" w:type="dxa"/>
            <w:noWrap/>
            <w:hideMark/>
          </w:tcPr>
          <w:p w14:paraId="23DF75E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O911</w:t>
            </w:r>
          </w:p>
        </w:tc>
        <w:tc>
          <w:tcPr>
            <w:tcW w:w="7088" w:type="dxa"/>
            <w:hideMark/>
          </w:tcPr>
          <w:p w14:paraId="4EB9F53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Abscess of breast associated with childbirth</w:t>
            </w:r>
          </w:p>
        </w:tc>
      </w:tr>
      <w:tr w:rsidR="00B46DAE" w:rsidRPr="00B46DAE" w14:paraId="19ED3CE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A3E41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O9110</w:t>
            </w:r>
          </w:p>
        </w:tc>
        <w:tc>
          <w:tcPr>
            <w:tcW w:w="7088" w:type="dxa"/>
            <w:hideMark/>
          </w:tcPr>
          <w:p w14:paraId="717469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Abscess of breast associated with childbirth, without mention of attachment difficulty</w:t>
            </w:r>
          </w:p>
        </w:tc>
      </w:tr>
      <w:tr w:rsidR="00B46DAE" w:rsidRPr="00B46DAE" w14:paraId="3734FF95" w14:textId="77777777" w:rsidTr="006F5124">
        <w:trPr>
          <w:trHeight w:val="397"/>
        </w:trPr>
        <w:tc>
          <w:tcPr>
            <w:tcW w:w="1838" w:type="dxa"/>
            <w:noWrap/>
            <w:hideMark/>
          </w:tcPr>
          <w:p w14:paraId="3D4564C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O9111</w:t>
            </w:r>
          </w:p>
        </w:tc>
        <w:tc>
          <w:tcPr>
            <w:tcW w:w="7088" w:type="dxa"/>
            <w:hideMark/>
          </w:tcPr>
          <w:p w14:paraId="2A37BC0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Abscess of breast associated with childbirth, with mention of attachment difficulty</w:t>
            </w:r>
          </w:p>
        </w:tc>
      </w:tr>
      <w:tr w:rsidR="00B46DAE" w:rsidRPr="00B46DAE" w14:paraId="5C3D5E0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73DC2F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O912</w:t>
            </w:r>
          </w:p>
        </w:tc>
        <w:tc>
          <w:tcPr>
            <w:tcW w:w="7088" w:type="dxa"/>
            <w:hideMark/>
          </w:tcPr>
          <w:p w14:paraId="676D03F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Nonpurulent mastitis associated with childbirth</w:t>
            </w:r>
          </w:p>
        </w:tc>
      </w:tr>
      <w:tr w:rsidR="00B46DAE" w:rsidRPr="00B46DAE" w14:paraId="14E9AB19" w14:textId="77777777" w:rsidTr="006F5124">
        <w:trPr>
          <w:trHeight w:val="397"/>
        </w:trPr>
        <w:tc>
          <w:tcPr>
            <w:tcW w:w="1838" w:type="dxa"/>
            <w:noWrap/>
            <w:hideMark/>
          </w:tcPr>
          <w:p w14:paraId="394D7A8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O9120</w:t>
            </w:r>
          </w:p>
        </w:tc>
        <w:tc>
          <w:tcPr>
            <w:tcW w:w="7088" w:type="dxa"/>
            <w:hideMark/>
          </w:tcPr>
          <w:p w14:paraId="6C625F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Nonpurulent mastitis associated with childbirth, without mention of attachment difficulty</w:t>
            </w:r>
          </w:p>
        </w:tc>
      </w:tr>
      <w:tr w:rsidR="00B46DAE" w:rsidRPr="00B46DAE" w14:paraId="74DEFE1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35593A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O9121</w:t>
            </w:r>
          </w:p>
        </w:tc>
        <w:tc>
          <w:tcPr>
            <w:tcW w:w="7088" w:type="dxa"/>
            <w:hideMark/>
          </w:tcPr>
          <w:p w14:paraId="650E68F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Nonpurulent mastitis associated with childbirth, with mention of attachment difficulty</w:t>
            </w:r>
          </w:p>
        </w:tc>
      </w:tr>
      <w:tr w:rsidR="00B46DAE" w:rsidRPr="00B46DAE" w14:paraId="53DA0BC5" w14:textId="77777777" w:rsidTr="006F5124">
        <w:trPr>
          <w:trHeight w:val="397"/>
        </w:trPr>
        <w:tc>
          <w:tcPr>
            <w:tcW w:w="1838" w:type="dxa"/>
            <w:noWrap/>
            <w:hideMark/>
          </w:tcPr>
          <w:p w14:paraId="29C6911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w:t>
            </w:r>
          </w:p>
        </w:tc>
        <w:tc>
          <w:tcPr>
            <w:tcW w:w="7088" w:type="dxa"/>
            <w:hideMark/>
          </w:tcPr>
          <w:p w14:paraId="41B83BC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disorders of breast and lactation associated with childbirth</w:t>
            </w:r>
          </w:p>
        </w:tc>
      </w:tr>
      <w:tr w:rsidR="00B46DAE" w:rsidRPr="00B46DAE" w14:paraId="2F8C19B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F0273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O920</w:t>
            </w:r>
          </w:p>
        </w:tc>
        <w:tc>
          <w:tcPr>
            <w:tcW w:w="7088" w:type="dxa"/>
            <w:hideMark/>
          </w:tcPr>
          <w:p w14:paraId="4C1728F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Retracted nipple associated with childbirth</w:t>
            </w:r>
          </w:p>
        </w:tc>
      </w:tr>
      <w:tr w:rsidR="00B46DAE" w:rsidRPr="00B46DAE" w14:paraId="33376EE7" w14:textId="77777777" w:rsidTr="006F5124">
        <w:trPr>
          <w:trHeight w:val="397"/>
        </w:trPr>
        <w:tc>
          <w:tcPr>
            <w:tcW w:w="1838" w:type="dxa"/>
            <w:noWrap/>
            <w:hideMark/>
          </w:tcPr>
          <w:p w14:paraId="2CC2ACD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O9200</w:t>
            </w:r>
          </w:p>
        </w:tc>
        <w:tc>
          <w:tcPr>
            <w:tcW w:w="7088" w:type="dxa"/>
            <w:hideMark/>
          </w:tcPr>
          <w:p w14:paraId="436C77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Retracted nipple associated with childbirth, without mention of attachment difficulty</w:t>
            </w:r>
          </w:p>
        </w:tc>
      </w:tr>
      <w:tr w:rsidR="00B46DAE" w:rsidRPr="00B46DAE" w14:paraId="7EAD06F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0A66B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O9201</w:t>
            </w:r>
          </w:p>
        </w:tc>
        <w:tc>
          <w:tcPr>
            <w:tcW w:w="7088" w:type="dxa"/>
            <w:hideMark/>
          </w:tcPr>
          <w:p w14:paraId="3B88804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Retracted nipple associated with childbirth, with mention of attachment difficulty</w:t>
            </w:r>
          </w:p>
        </w:tc>
      </w:tr>
      <w:tr w:rsidR="00B46DAE" w:rsidRPr="00B46DAE" w14:paraId="78EE23FF" w14:textId="77777777" w:rsidTr="006F5124">
        <w:trPr>
          <w:trHeight w:val="397"/>
        </w:trPr>
        <w:tc>
          <w:tcPr>
            <w:tcW w:w="1838" w:type="dxa"/>
            <w:noWrap/>
            <w:hideMark/>
          </w:tcPr>
          <w:p w14:paraId="4EF12B4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O921</w:t>
            </w:r>
          </w:p>
        </w:tc>
        <w:tc>
          <w:tcPr>
            <w:tcW w:w="7088" w:type="dxa"/>
            <w:hideMark/>
          </w:tcPr>
          <w:p w14:paraId="15159B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Cracked nipple associated with childbirth</w:t>
            </w:r>
          </w:p>
        </w:tc>
      </w:tr>
      <w:tr w:rsidR="00B46DAE" w:rsidRPr="00B46DAE" w14:paraId="147BFF3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2E7DF0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O9210</w:t>
            </w:r>
          </w:p>
        </w:tc>
        <w:tc>
          <w:tcPr>
            <w:tcW w:w="7088" w:type="dxa"/>
            <w:hideMark/>
          </w:tcPr>
          <w:p w14:paraId="7462FC7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Cracked nipple associated with childbirth, without mention of attachment difficulty</w:t>
            </w:r>
          </w:p>
        </w:tc>
      </w:tr>
      <w:tr w:rsidR="00B46DAE" w:rsidRPr="00B46DAE" w14:paraId="07682118" w14:textId="77777777" w:rsidTr="006F5124">
        <w:trPr>
          <w:trHeight w:val="397"/>
        </w:trPr>
        <w:tc>
          <w:tcPr>
            <w:tcW w:w="1838" w:type="dxa"/>
            <w:noWrap/>
            <w:hideMark/>
          </w:tcPr>
          <w:p w14:paraId="73FA3A8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O9211</w:t>
            </w:r>
          </w:p>
        </w:tc>
        <w:tc>
          <w:tcPr>
            <w:tcW w:w="7088" w:type="dxa"/>
            <w:hideMark/>
          </w:tcPr>
          <w:p w14:paraId="61A4B95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Cracked nipple associated with childbirth, with mention of attachment difficulty</w:t>
            </w:r>
          </w:p>
        </w:tc>
      </w:tr>
      <w:tr w:rsidR="00B46DAE" w:rsidRPr="00B46DAE" w14:paraId="0522520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0CA564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O922</w:t>
            </w:r>
          </w:p>
        </w:tc>
        <w:tc>
          <w:tcPr>
            <w:tcW w:w="7088" w:type="dxa"/>
            <w:hideMark/>
          </w:tcPr>
          <w:p w14:paraId="2D5DDE3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disorders of breast associated with childbirth</w:t>
            </w:r>
          </w:p>
        </w:tc>
      </w:tr>
      <w:tr w:rsidR="00B46DAE" w:rsidRPr="00B46DAE" w14:paraId="56462CEB" w14:textId="77777777" w:rsidTr="006F5124">
        <w:trPr>
          <w:trHeight w:val="397"/>
        </w:trPr>
        <w:tc>
          <w:tcPr>
            <w:tcW w:w="1838" w:type="dxa"/>
            <w:noWrap/>
            <w:hideMark/>
          </w:tcPr>
          <w:p w14:paraId="10B08D1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O9220</w:t>
            </w:r>
          </w:p>
        </w:tc>
        <w:tc>
          <w:tcPr>
            <w:tcW w:w="7088" w:type="dxa"/>
            <w:hideMark/>
          </w:tcPr>
          <w:p w14:paraId="602068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disorders of breast associated with childbirth, without mention of attachment difficulty</w:t>
            </w:r>
          </w:p>
        </w:tc>
      </w:tr>
      <w:tr w:rsidR="00B46DAE" w:rsidRPr="00B46DAE" w14:paraId="02E8137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D36292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O9221</w:t>
            </w:r>
          </w:p>
        </w:tc>
        <w:tc>
          <w:tcPr>
            <w:tcW w:w="7088" w:type="dxa"/>
            <w:hideMark/>
          </w:tcPr>
          <w:p w14:paraId="01D5D20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disorders of breast associated with childbirth, with mention of attachment difficulty</w:t>
            </w:r>
          </w:p>
        </w:tc>
      </w:tr>
      <w:tr w:rsidR="00B46DAE" w:rsidRPr="00B46DAE" w14:paraId="0B3F9E65" w14:textId="77777777" w:rsidTr="006F5124">
        <w:trPr>
          <w:trHeight w:val="397"/>
        </w:trPr>
        <w:tc>
          <w:tcPr>
            <w:tcW w:w="1838" w:type="dxa"/>
            <w:noWrap/>
            <w:hideMark/>
          </w:tcPr>
          <w:p w14:paraId="1C40894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O923</w:t>
            </w:r>
          </w:p>
        </w:tc>
        <w:tc>
          <w:tcPr>
            <w:tcW w:w="7088" w:type="dxa"/>
            <w:hideMark/>
          </w:tcPr>
          <w:p w14:paraId="72DFB5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Agalactia</w:t>
            </w:r>
          </w:p>
        </w:tc>
      </w:tr>
      <w:tr w:rsidR="00B46DAE" w:rsidRPr="00B46DAE" w14:paraId="53295FC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2AC37F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O9230</w:t>
            </w:r>
          </w:p>
        </w:tc>
        <w:tc>
          <w:tcPr>
            <w:tcW w:w="7088" w:type="dxa"/>
            <w:hideMark/>
          </w:tcPr>
          <w:p w14:paraId="43EC168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Agalactia, without mention of attachment difficulty</w:t>
            </w:r>
          </w:p>
        </w:tc>
      </w:tr>
      <w:tr w:rsidR="00B46DAE" w:rsidRPr="00B46DAE" w14:paraId="6CDA9A20" w14:textId="77777777" w:rsidTr="006F5124">
        <w:trPr>
          <w:trHeight w:val="397"/>
        </w:trPr>
        <w:tc>
          <w:tcPr>
            <w:tcW w:w="1838" w:type="dxa"/>
            <w:noWrap/>
            <w:hideMark/>
          </w:tcPr>
          <w:p w14:paraId="754B751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O9231</w:t>
            </w:r>
          </w:p>
        </w:tc>
        <w:tc>
          <w:tcPr>
            <w:tcW w:w="7088" w:type="dxa"/>
            <w:hideMark/>
          </w:tcPr>
          <w:p w14:paraId="6AD79E2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Agalactia, with mention of attachment difficulty</w:t>
            </w:r>
          </w:p>
        </w:tc>
      </w:tr>
      <w:tr w:rsidR="00B46DAE" w:rsidRPr="00B46DAE" w14:paraId="4C5738C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957AFB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O924</w:t>
            </w:r>
          </w:p>
        </w:tc>
        <w:tc>
          <w:tcPr>
            <w:tcW w:w="7088" w:type="dxa"/>
            <w:hideMark/>
          </w:tcPr>
          <w:p w14:paraId="53FDD81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Hypogalactia</w:t>
            </w:r>
          </w:p>
        </w:tc>
      </w:tr>
      <w:tr w:rsidR="00B46DAE" w:rsidRPr="00B46DAE" w14:paraId="789E173A" w14:textId="77777777" w:rsidTr="006F5124">
        <w:trPr>
          <w:trHeight w:val="397"/>
        </w:trPr>
        <w:tc>
          <w:tcPr>
            <w:tcW w:w="1838" w:type="dxa"/>
            <w:noWrap/>
            <w:hideMark/>
          </w:tcPr>
          <w:p w14:paraId="4929148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O9240</w:t>
            </w:r>
          </w:p>
        </w:tc>
        <w:tc>
          <w:tcPr>
            <w:tcW w:w="7088" w:type="dxa"/>
            <w:hideMark/>
          </w:tcPr>
          <w:p w14:paraId="4804BB9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Hypogalactia, without mention of attachment difficulty</w:t>
            </w:r>
          </w:p>
        </w:tc>
      </w:tr>
      <w:tr w:rsidR="00B46DAE" w:rsidRPr="00B46DAE" w14:paraId="77F4B16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3EDF7D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O9241</w:t>
            </w:r>
          </w:p>
        </w:tc>
        <w:tc>
          <w:tcPr>
            <w:tcW w:w="7088" w:type="dxa"/>
            <w:hideMark/>
          </w:tcPr>
          <w:p w14:paraId="3B48EE8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Hypogalactia, with mention of attachment difficulty</w:t>
            </w:r>
          </w:p>
        </w:tc>
      </w:tr>
      <w:tr w:rsidR="00B46DAE" w:rsidRPr="00B46DAE" w14:paraId="278BEEF6" w14:textId="77777777" w:rsidTr="006F5124">
        <w:trPr>
          <w:trHeight w:val="397"/>
        </w:trPr>
        <w:tc>
          <w:tcPr>
            <w:tcW w:w="1838" w:type="dxa"/>
            <w:noWrap/>
            <w:hideMark/>
          </w:tcPr>
          <w:p w14:paraId="014775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O925</w:t>
            </w:r>
          </w:p>
        </w:tc>
        <w:tc>
          <w:tcPr>
            <w:tcW w:w="7088" w:type="dxa"/>
            <w:hideMark/>
          </w:tcPr>
          <w:p w14:paraId="2D6F729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Suppressed lactation</w:t>
            </w:r>
          </w:p>
        </w:tc>
      </w:tr>
      <w:tr w:rsidR="00B46DAE" w:rsidRPr="00B46DAE" w14:paraId="20592D0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E5B2C1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O9250</w:t>
            </w:r>
          </w:p>
        </w:tc>
        <w:tc>
          <w:tcPr>
            <w:tcW w:w="7088" w:type="dxa"/>
            <w:hideMark/>
          </w:tcPr>
          <w:p w14:paraId="4AB86DC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Suppressed lactation, without mention of attachment difficulty</w:t>
            </w:r>
          </w:p>
        </w:tc>
      </w:tr>
      <w:tr w:rsidR="00B46DAE" w:rsidRPr="00B46DAE" w14:paraId="608CC8D3" w14:textId="77777777" w:rsidTr="006F5124">
        <w:trPr>
          <w:trHeight w:val="397"/>
        </w:trPr>
        <w:tc>
          <w:tcPr>
            <w:tcW w:w="1838" w:type="dxa"/>
            <w:noWrap/>
            <w:hideMark/>
          </w:tcPr>
          <w:p w14:paraId="18218AC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O9251</w:t>
            </w:r>
          </w:p>
        </w:tc>
        <w:tc>
          <w:tcPr>
            <w:tcW w:w="7088" w:type="dxa"/>
            <w:hideMark/>
          </w:tcPr>
          <w:p w14:paraId="59D5222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Suppressed lactation, with mention of attachment difficulty</w:t>
            </w:r>
          </w:p>
        </w:tc>
      </w:tr>
      <w:tr w:rsidR="00B46DAE" w:rsidRPr="00B46DAE" w14:paraId="1726869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40134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O926</w:t>
            </w:r>
          </w:p>
        </w:tc>
        <w:tc>
          <w:tcPr>
            <w:tcW w:w="7088" w:type="dxa"/>
            <w:hideMark/>
          </w:tcPr>
          <w:p w14:paraId="0D47D0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Galactorrhoea</w:t>
            </w:r>
          </w:p>
        </w:tc>
      </w:tr>
      <w:tr w:rsidR="00B46DAE" w:rsidRPr="00B46DAE" w14:paraId="4C8F59AC" w14:textId="77777777" w:rsidTr="006F5124">
        <w:trPr>
          <w:trHeight w:val="397"/>
        </w:trPr>
        <w:tc>
          <w:tcPr>
            <w:tcW w:w="1838" w:type="dxa"/>
            <w:noWrap/>
            <w:hideMark/>
          </w:tcPr>
          <w:p w14:paraId="3C06F43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O9260</w:t>
            </w:r>
          </w:p>
        </w:tc>
        <w:tc>
          <w:tcPr>
            <w:tcW w:w="7088" w:type="dxa"/>
            <w:hideMark/>
          </w:tcPr>
          <w:p w14:paraId="71D327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Galactorrhoea, without mention of attachment difficulty</w:t>
            </w:r>
          </w:p>
        </w:tc>
      </w:tr>
      <w:tr w:rsidR="00B46DAE" w:rsidRPr="00B46DAE" w14:paraId="5B22999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26FFDD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O9261</w:t>
            </w:r>
          </w:p>
        </w:tc>
        <w:tc>
          <w:tcPr>
            <w:tcW w:w="7088" w:type="dxa"/>
            <w:hideMark/>
          </w:tcPr>
          <w:p w14:paraId="0D6AF4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Galactorrhoea, with mention of attachment difficulty</w:t>
            </w:r>
          </w:p>
        </w:tc>
      </w:tr>
      <w:tr w:rsidR="00B46DAE" w:rsidRPr="00B46DAE" w14:paraId="561ED22D" w14:textId="77777777" w:rsidTr="006F5124">
        <w:trPr>
          <w:trHeight w:val="397"/>
        </w:trPr>
        <w:tc>
          <w:tcPr>
            <w:tcW w:w="1838" w:type="dxa"/>
            <w:noWrap/>
            <w:hideMark/>
          </w:tcPr>
          <w:p w14:paraId="596A955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O927</w:t>
            </w:r>
          </w:p>
        </w:tc>
        <w:tc>
          <w:tcPr>
            <w:tcW w:w="7088" w:type="dxa"/>
            <w:hideMark/>
          </w:tcPr>
          <w:p w14:paraId="68EFE48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disorders of lactation</w:t>
            </w:r>
          </w:p>
        </w:tc>
      </w:tr>
      <w:tr w:rsidR="00B46DAE" w:rsidRPr="00B46DAE" w14:paraId="4DAB6AB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771FEF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O9270</w:t>
            </w:r>
          </w:p>
        </w:tc>
        <w:tc>
          <w:tcPr>
            <w:tcW w:w="7088" w:type="dxa"/>
            <w:hideMark/>
          </w:tcPr>
          <w:p w14:paraId="6B4EEB7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disorders of lactation, without mention of attachment difficulty</w:t>
            </w:r>
          </w:p>
        </w:tc>
      </w:tr>
      <w:tr w:rsidR="00B46DAE" w:rsidRPr="00B46DAE" w14:paraId="0EC901D1" w14:textId="77777777" w:rsidTr="006F5124">
        <w:trPr>
          <w:trHeight w:val="397"/>
        </w:trPr>
        <w:tc>
          <w:tcPr>
            <w:tcW w:w="1838" w:type="dxa"/>
            <w:noWrap/>
            <w:hideMark/>
          </w:tcPr>
          <w:p w14:paraId="442A343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O9271</w:t>
            </w:r>
          </w:p>
        </w:tc>
        <w:tc>
          <w:tcPr>
            <w:tcW w:w="7088" w:type="dxa"/>
            <w:hideMark/>
          </w:tcPr>
          <w:p w14:paraId="2222093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and unspecified disorders of lactation, with mention of attachment difficulty</w:t>
            </w:r>
          </w:p>
        </w:tc>
      </w:tr>
      <w:tr w:rsidR="00B46DAE" w:rsidRPr="00B46DAE" w14:paraId="601AFA3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057592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O94</w:t>
            </w:r>
          </w:p>
        </w:tc>
        <w:tc>
          <w:tcPr>
            <w:tcW w:w="7088" w:type="dxa"/>
            <w:hideMark/>
          </w:tcPr>
          <w:p w14:paraId="42054AF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Sequelae of complication of pregnancy, childbirth and the puerperium</w:t>
            </w:r>
          </w:p>
        </w:tc>
      </w:tr>
      <w:tr w:rsidR="00B46DAE" w:rsidRPr="00B46DAE" w14:paraId="2A658CDF" w14:textId="77777777" w:rsidTr="006F5124">
        <w:trPr>
          <w:trHeight w:val="397"/>
        </w:trPr>
        <w:tc>
          <w:tcPr>
            <w:tcW w:w="1838" w:type="dxa"/>
            <w:noWrap/>
            <w:hideMark/>
          </w:tcPr>
          <w:p w14:paraId="05FD16A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O95</w:t>
            </w:r>
          </w:p>
        </w:tc>
        <w:tc>
          <w:tcPr>
            <w:tcW w:w="7088" w:type="dxa"/>
            <w:hideMark/>
          </w:tcPr>
          <w:p w14:paraId="595B9B6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Obstetric death of unspecified cause</w:t>
            </w:r>
          </w:p>
        </w:tc>
      </w:tr>
      <w:tr w:rsidR="00B46DAE" w:rsidRPr="00B46DAE" w14:paraId="2A33261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4DA014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O96</w:t>
            </w:r>
          </w:p>
        </w:tc>
        <w:tc>
          <w:tcPr>
            <w:tcW w:w="7088" w:type="dxa"/>
            <w:hideMark/>
          </w:tcPr>
          <w:p w14:paraId="0A70F35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any obstetric cause occurring more than 42 days but less than one year after delivery</w:t>
            </w:r>
          </w:p>
        </w:tc>
      </w:tr>
      <w:tr w:rsidR="00B46DAE" w:rsidRPr="00B46DAE" w14:paraId="796C6F36" w14:textId="77777777" w:rsidTr="006F5124">
        <w:trPr>
          <w:trHeight w:val="397"/>
        </w:trPr>
        <w:tc>
          <w:tcPr>
            <w:tcW w:w="1838" w:type="dxa"/>
            <w:noWrap/>
            <w:hideMark/>
          </w:tcPr>
          <w:p w14:paraId="07484A7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O960</w:t>
            </w:r>
          </w:p>
        </w:tc>
        <w:tc>
          <w:tcPr>
            <w:tcW w:w="7088" w:type="dxa"/>
            <w:hideMark/>
          </w:tcPr>
          <w:p w14:paraId="7B5EA8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direct obstetric cause occurring more than 42 days but less than one year after delivery</w:t>
            </w:r>
          </w:p>
        </w:tc>
      </w:tr>
      <w:tr w:rsidR="00B46DAE" w:rsidRPr="00B46DAE" w14:paraId="463EBE6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FF35C9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O961</w:t>
            </w:r>
          </w:p>
        </w:tc>
        <w:tc>
          <w:tcPr>
            <w:tcW w:w="7088" w:type="dxa"/>
            <w:hideMark/>
          </w:tcPr>
          <w:p w14:paraId="4633A49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indirect obstetric cause occurring more than 42 days but less than one year after delivery</w:t>
            </w:r>
          </w:p>
        </w:tc>
      </w:tr>
      <w:tr w:rsidR="00B46DAE" w:rsidRPr="00B46DAE" w14:paraId="5B9F40B6" w14:textId="77777777" w:rsidTr="006F5124">
        <w:trPr>
          <w:trHeight w:val="397"/>
        </w:trPr>
        <w:tc>
          <w:tcPr>
            <w:tcW w:w="1838" w:type="dxa"/>
            <w:noWrap/>
            <w:hideMark/>
          </w:tcPr>
          <w:p w14:paraId="701B451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O969</w:t>
            </w:r>
          </w:p>
        </w:tc>
        <w:tc>
          <w:tcPr>
            <w:tcW w:w="7088" w:type="dxa"/>
            <w:hideMark/>
          </w:tcPr>
          <w:p w14:paraId="61357A3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unspecified obstetric cause occurring more than 42 days but less than one year after delivery</w:t>
            </w:r>
          </w:p>
        </w:tc>
      </w:tr>
      <w:tr w:rsidR="00B46DAE" w:rsidRPr="00B46DAE" w14:paraId="65F9E23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7827C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O97</w:t>
            </w:r>
          </w:p>
        </w:tc>
        <w:tc>
          <w:tcPr>
            <w:tcW w:w="7088" w:type="dxa"/>
            <w:hideMark/>
          </w:tcPr>
          <w:p w14:paraId="33DDFB2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obstetric causes, one year or more after delivery</w:t>
            </w:r>
          </w:p>
        </w:tc>
      </w:tr>
      <w:tr w:rsidR="00B46DAE" w:rsidRPr="00B46DAE" w14:paraId="0AD8B8BD" w14:textId="77777777" w:rsidTr="006F5124">
        <w:trPr>
          <w:trHeight w:val="397"/>
        </w:trPr>
        <w:tc>
          <w:tcPr>
            <w:tcW w:w="1838" w:type="dxa"/>
            <w:noWrap/>
            <w:hideMark/>
          </w:tcPr>
          <w:p w14:paraId="3E68FF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O970</w:t>
            </w:r>
          </w:p>
        </w:tc>
        <w:tc>
          <w:tcPr>
            <w:tcW w:w="7088" w:type="dxa"/>
            <w:hideMark/>
          </w:tcPr>
          <w:p w14:paraId="5D1BB41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direct obstetric cause, one year or more after delivery</w:t>
            </w:r>
          </w:p>
        </w:tc>
      </w:tr>
      <w:tr w:rsidR="00B46DAE" w:rsidRPr="00B46DAE" w14:paraId="5F4173B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733F1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O971</w:t>
            </w:r>
          </w:p>
        </w:tc>
        <w:tc>
          <w:tcPr>
            <w:tcW w:w="7088" w:type="dxa"/>
            <w:hideMark/>
          </w:tcPr>
          <w:p w14:paraId="5EB4F5A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indirect obstetric cause, one year or more after delivery</w:t>
            </w:r>
          </w:p>
        </w:tc>
      </w:tr>
      <w:tr w:rsidR="00B46DAE" w:rsidRPr="00B46DAE" w14:paraId="7B5C6EBC" w14:textId="77777777" w:rsidTr="006F5124">
        <w:trPr>
          <w:trHeight w:val="397"/>
        </w:trPr>
        <w:tc>
          <w:tcPr>
            <w:tcW w:w="1838" w:type="dxa"/>
            <w:noWrap/>
            <w:hideMark/>
          </w:tcPr>
          <w:p w14:paraId="6D002D9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O979</w:t>
            </w:r>
          </w:p>
        </w:tc>
        <w:tc>
          <w:tcPr>
            <w:tcW w:w="7088" w:type="dxa"/>
            <w:hideMark/>
          </w:tcPr>
          <w:p w14:paraId="3AE196A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Death from unspecified obstetric cause, one year or more after delivery</w:t>
            </w:r>
          </w:p>
        </w:tc>
      </w:tr>
      <w:tr w:rsidR="00B46DAE" w:rsidRPr="00B46DAE" w14:paraId="7416DB0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41110B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w:t>
            </w:r>
          </w:p>
        </w:tc>
        <w:tc>
          <w:tcPr>
            <w:tcW w:w="7088" w:type="dxa"/>
            <w:hideMark/>
          </w:tcPr>
          <w:p w14:paraId="3DBC18F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Maternal infectious and parasitic diseases classifiable elsewhere in pregnancy, childbirth and the puerperium</w:t>
            </w:r>
          </w:p>
        </w:tc>
      </w:tr>
      <w:tr w:rsidR="00B46DAE" w:rsidRPr="00B46DAE" w14:paraId="50278349" w14:textId="77777777" w:rsidTr="006F5124">
        <w:trPr>
          <w:trHeight w:val="397"/>
        </w:trPr>
        <w:tc>
          <w:tcPr>
            <w:tcW w:w="1838" w:type="dxa"/>
            <w:noWrap/>
            <w:hideMark/>
          </w:tcPr>
          <w:p w14:paraId="2BDD7BD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O980</w:t>
            </w:r>
          </w:p>
        </w:tc>
        <w:tc>
          <w:tcPr>
            <w:tcW w:w="7088" w:type="dxa"/>
            <w:hideMark/>
          </w:tcPr>
          <w:p w14:paraId="6AE4373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Tuberculosis in pregnancy, childbirth and the puerperium</w:t>
            </w:r>
          </w:p>
        </w:tc>
      </w:tr>
      <w:tr w:rsidR="00B46DAE" w:rsidRPr="00B46DAE" w14:paraId="1F2CEA0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6E471D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O981</w:t>
            </w:r>
          </w:p>
        </w:tc>
        <w:tc>
          <w:tcPr>
            <w:tcW w:w="7088" w:type="dxa"/>
            <w:hideMark/>
          </w:tcPr>
          <w:p w14:paraId="54F03BA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Syphilis in pregnancy, childbirth and the puerperium</w:t>
            </w:r>
          </w:p>
        </w:tc>
      </w:tr>
      <w:tr w:rsidR="00B46DAE" w:rsidRPr="00B46DAE" w14:paraId="06B32699" w14:textId="77777777" w:rsidTr="006F5124">
        <w:trPr>
          <w:trHeight w:val="397"/>
        </w:trPr>
        <w:tc>
          <w:tcPr>
            <w:tcW w:w="1838" w:type="dxa"/>
            <w:noWrap/>
            <w:hideMark/>
          </w:tcPr>
          <w:p w14:paraId="191BEF0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O982</w:t>
            </w:r>
          </w:p>
        </w:tc>
        <w:tc>
          <w:tcPr>
            <w:tcW w:w="7088" w:type="dxa"/>
            <w:hideMark/>
          </w:tcPr>
          <w:p w14:paraId="5FACE3F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Gonorrhoea in pregnancy, childbirth and the puerperium</w:t>
            </w:r>
          </w:p>
        </w:tc>
      </w:tr>
      <w:tr w:rsidR="00B46DAE" w:rsidRPr="00B46DAE" w14:paraId="72A31AC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1DC6C3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O983</w:t>
            </w:r>
          </w:p>
        </w:tc>
        <w:tc>
          <w:tcPr>
            <w:tcW w:w="7088" w:type="dxa"/>
            <w:hideMark/>
          </w:tcPr>
          <w:p w14:paraId="2030290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infections with a predominantly sexual mode of transmission in pregnancy, childbirth and the puerperium</w:t>
            </w:r>
          </w:p>
        </w:tc>
      </w:tr>
      <w:tr w:rsidR="00B46DAE" w:rsidRPr="00B46DAE" w14:paraId="24079B44" w14:textId="77777777" w:rsidTr="006F5124">
        <w:trPr>
          <w:trHeight w:val="397"/>
        </w:trPr>
        <w:tc>
          <w:tcPr>
            <w:tcW w:w="1838" w:type="dxa"/>
            <w:noWrap/>
            <w:hideMark/>
          </w:tcPr>
          <w:p w14:paraId="7648372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O984</w:t>
            </w:r>
          </w:p>
        </w:tc>
        <w:tc>
          <w:tcPr>
            <w:tcW w:w="7088" w:type="dxa"/>
            <w:hideMark/>
          </w:tcPr>
          <w:p w14:paraId="4B7A0B1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Viral hepatitis in pregnancy, childbirth and the puerperium</w:t>
            </w:r>
          </w:p>
        </w:tc>
      </w:tr>
      <w:tr w:rsidR="00B46DAE" w:rsidRPr="00B46DAE" w14:paraId="175C277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2DC3E7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O985</w:t>
            </w:r>
          </w:p>
        </w:tc>
        <w:tc>
          <w:tcPr>
            <w:tcW w:w="7088" w:type="dxa"/>
            <w:hideMark/>
          </w:tcPr>
          <w:p w14:paraId="665649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viral diseases in pregnancy, childbirth and the puerperium</w:t>
            </w:r>
          </w:p>
        </w:tc>
      </w:tr>
      <w:tr w:rsidR="00B46DAE" w:rsidRPr="00B46DAE" w14:paraId="74629576" w14:textId="77777777" w:rsidTr="006F5124">
        <w:trPr>
          <w:trHeight w:val="397"/>
        </w:trPr>
        <w:tc>
          <w:tcPr>
            <w:tcW w:w="1838" w:type="dxa"/>
            <w:noWrap/>
            <w:hideMark/>
          </w:tcPr>
          <w:p w14:paraId="45637A1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O986</w:t>
            </w:r>
          </w:p>
        </w:tc>
        <w:tc>
          <w:tcPr>
            <w:tcW w:w="7088" w:type="dxa"/>
            <w:hideMark/>
          </w:tcPr>
          <w:p w14:paraId="1450A1F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Protozoal diseases in pregnancy, childbirth and the puerperium</w:t>
            </w:r>
          </w:p>
        </w:tc>
      </w:tr>
      <w:tr w:rsidR="00B46DAE" w:rsidRPr="00B46DAE" w14:paraId="117F4FD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50CBF1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O987</w:t>
            </w:r>
          </w:p>
        </w:tc>
        <w:tc>
          <w:tcPr>
            <w:tcW w:w="7088" w:type="dxa"/>
            <w:hideMark/>
          </w:tcPr>
          <w:p w14:paraId="550A919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Human immunodeficiency virus [HIV] disease in pregnancy, childbirth and the puerperium</w:t>
            </w:r>
          </w:p>
        </w:tc>
      </w:tr>
      <w:tr w:rsidR="00B46DAE" w:rsidRPr="00B46DAE" w14:paraId="3E9479E8" w14:textId="77777777" w:rsidTr="006F5124">
        <w:trPr>
          <w:trHeight w:val="397"/>
        </w:trPr>
        <w:tc>
          <w:tcPr>
            <w:tcW w:w="1838" w:type="dxa"/>
            <w:noWrap/>
            <w:hideMark/>
          </w:tcPr>
          <w:p w14:paraId="5C263D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O988</w:t>
            </w:r>
          </w:p>
        </w:tc>
        <w:tc>
          <w:tcPr>
            <w:tcW w:w="7088" w:type="dxa"/>
            <w:hideMark/>
          </w:tcPr>
          <w:p w14:paraId="422272A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maternal infectious and parasitic diseases in pregnancy, childbirth and the puerperium</w:t>
            </w:r>
          </w:p>
        </w:tc>
      </w:tr>
      <w:tr w:rsidR="00B46DAE" w:rsidRPr="00B46DAE" w14:paraId="548B0BA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11596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O989</w:t>
            </w:r>
          </w:p>
        </w:tc>
        <w:tc>
          <w:tcPr>
            <w:tcW w:w="7088" w:type="dxa"/>
            <w:hideMark/>
          </w:tcPr>
          <w:p w14:paraId="144C775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Unspecified maternal infectious or parasitic disease in pregnancy, childbirth and the puerperium</w:t>
            </w:r>
          </w:p>
        </w:tc>
      </w:tr>
      <w:tr w:rsidR="00B46DAE" w:rsidRPr="00B46DAE" w14:paraId="60D14115" w14:textId="77777777" w:rsidTr="006F5124">
        <w:trPr>
          <w:trHeight w:val="397"/>
        </w:trPr>
        <w:tc>
          <w:tcPr>
            <w:tcW w:w="1838" w:type="dxa"/>
            <w:noWrap/>
            <w:hideMark/>
          </w:tcPr>
          <w:p w14:paraId="754A4D8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w:t>
            </w:r>
          </w:p>
        </w:tc>
        <w:tc>
          <w:tcPr>
            <w:tcW w:w="7088" w:type="dxa"/>
            <w:hideMark/>
          </w:tcPr>
          <w:p w14:paraId="3E8DCBD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maternal diseases classifiable elsewhere in pregnancy, childbirth and the puerperium</w:t>
            </w:r>
          </w:p>
        </w:tc>
      </w:tr>
      <w:tr w:rsidR="00B46DAE" w:rsidRPr="00B46DAE" w14:paraId="789FDB0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6BA9D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O990</w:t>
            </w:r>
          </w:p>
        </w:tc>
        <w:tc>
          <w:tcPr>
            <w:tcW w:w="7088" w:type="dxa"/>
            <w:hideMark/>
          </w:tcPr>
          <w:p w14:paraId="504816C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Anaemia in pregnancy, childbirth and the puerperium</w:t>
            </w:r>
          </w:p>
        </w:tc>
      </w:tr>
      <w:tr w:rsidR="00B46DAE" w:rsidRPr="00B46DAE" w14:paraId="6430C731" w14:textId="77777777" w:rsidTr="006F5124">
        <w:trPr>
          <w:trHeight w:val="397"/>
        </w:trPr>
        <w:tc>
          <w:tcPr>
            <w:tcW w:w="1838" w:type="dxa"/>
            <w:noWrap/>
            <w:hideMark/>
          </w:tcPr>
          <w:p w14:paraId="27A1FDC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O9900</w:t>
            </w:r>
          </w:p>
        </w:tc>
        <w:tc>
          <w:tcPr>
            <w:tcW w:w="7088" w:type="dxa"/>
            <w:hideMark/>
          </w:tcPr>
          <w:p w14:paraId="0C9250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Anaemia in pregnancy, childbirth and the puerperium, unspecified</w:t>
            </w:r>
          </w:p>
        </w:tc>
      </w:tr>
      <w:tr w:rsidR="00B46DAE" w:rsidRPr="00B46DAE" w14:paraId="30AA516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E567CC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O9901</w:t>
            </w:r>
          </w:p>
        </w:tc>
        <w:tc>
          <w:tcPr>
            <w:tcW w:w="7088" w:type="dxa"/>
            <w:hideMark/>
          </w:tcPr>
          <w:p w14:paraId="16FE30F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Anaemia in pregnancy</w:t>
            </w:r>
          </w:p>
        </w:tc>
      </w:tr>
      <w:tr w:rsidR="00B46DAE" w:rsidRPr="00B46DAE" w14:paraId="033A4EA6" w14:textId="77777777" w:rsidTr="006F5124">
        <w:trPr>
          <w:trHeight w:val="397"/>
        </w:trPr>
        <w:tc>
          <w:tcPr>
            <w:tcW w:w="1838" w:type="dxa"/>
            <w:noWrap/>
            <w:hideMark/>
          </w:tcPr>
          <w:p w14:paraId="11026B3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O9902</w:t>
            </w:r>
          </w:p>
        </w:tc>
        <w:tc>
          <w:tcPr>
            <w:tcW w:w="7088" w:type="dxa"/>
            <w:hideMark/>
          </w:tcPr>
          <w:p w14:paraId="24D7BB5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Anaemia in pregnancy, with mention of pre-existing anaemia</w:t>
            </w:r>
          </w:p>
        </w:tc>
      </w:tr>
      <w:tr w:rsidR="00B46DAE" w:rsidRPr="00B46DAE" w14:paraId="7D576A3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EE7F49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O9903</w:t>
            </w:r>
          </w:p>
        </w:tc>
        <w:tc>
          <w:tcPr>
            <w:tcW w:w="7088" w:type="dxa"/>
            <w:hideMark/>
          </w:tcPr>
          <w:p w14:paraId="539E5C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Anaemia in childbirth and the puerperium</w:t>
            </w:r>
          </w:p>
        </w:tc>
      </w:tr>
      <w:tr w:rsidR="00B46DAE" w:rsidRPr="00B46DAE" w14:paraId="39046424" w14:textId="77777777" w:rsidTr="006F5124">
        <w:trPr>
          <w:trHeight w:val="397"/>
        </w:trPr>
        <w:tc>
          <w:tcPr>
            <w:tcW w:w="1838" w:type="dxa"/>
            <w:noWrap/>
            <w:hideMark/>
          </w:tcPr>
          <w:p w14:paraId="1D9381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O9904</w:t>
            </w:r>
          </w:p>
        </w:tc>
        <w:tc>
          <w:tcPr>
            <w:tcW w:w="7088" w:type="dxa"/>
            <w:hideMark/>
          </w:tcPr>
          <w:p w14:paraId="3EEA2E7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Anaemia in childbirth and the puerperium, with mention of pre-existing anaemia</w:t>
            </w:r>
          </w:p>
        </w:tc>
      </w:tr>
      <w:tr w:rsidR="00B46DAE" w:rsidRPr="00B46DAE" w14:paraId="22E5FDA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88290A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O991</w:t>
            </w:r>
          </w:p>
        </w:tc>
        <w:tc>
          <w:tcPr>
            <w:tcW w:w="7088" w:type="dxa"/>
            <w:hideMark/>
          </w:tcPr>
          <w:p w14:paraId="43F4D6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diseases of the blood and blood-forming organs and certain disorders involving the immune mechanism in pregnancy, childbirth and the puerperium</w:t>
            </w:r>
          </w:p>
        </w:tc>
      </w:tr>
      <w:tr w:rsidR="00B46DAE" w:rsidRPr="00B46DAE" w14:paraId="5CE0B572" w14:textId="77777777" w:rsidTr="006F5124">
        <w:trPr>
          <w:trHeight w:val="397"/>
        </w:trPr>
        <w:tc>
          <w:tcPr>
            <w:tcW w:w="1838" w:type="dxa"/>
            <w:noWrap/>
            <w:hideMark/>
          </w:tcPr>
          <w:p w14:paraId="6C414C1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O992</w:t>
            </w:r>
          </w:p>
        </w:tc>
        <w:tc>
          <w:tcPr>
            <w:tcW w:w="7088" w:type="dxa"/>
            <w:hideMark/>
          </w:tcPr>
          <w:p w14:paraId="2011907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Endocrine, nutritional and metabolic diseases in pregnancy, childbirth and the puerperium</w:t>
            </w:r>
          </w:p>
        </w:tc>
      </w:tr>
      <w:tr w:rsidR="00B46DAE" w:rsidRPr="00B46DAE" w14:paraId="153BD47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39DAC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O993</w:t>
            </w:r>
          </w:p>
        </w:tc>
        <w:tc>
          <w:tcPr>
            <w:tcW w:w="7088" w:type="dxa"/>
            <w:hideMark/>
          </w:tcPr>
          <w:p w14:paraId="42ECE5E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Mental disorders and diseases of the nervous system in pregnancy, childbirth and the puerperium</w:t>
            </w:r>
          </w:p>
        </w:tc>
      </w:tr>
      <w:tr w:rsidR="00B46DAE" w:rsidRPr="00B46DAE" w14:paraId="549688F3" w14:textId="77777777" w:rsidTr="006F5124">
        <w:trPr>
          <w:trHeight w:val="397"/>
        </w:trPr>
        <w:tc>
          <w:tcPr>
            <w:tcW w:w="1838" w:type="dxa"/>
            <w:noWrap/>
            <w:hideMark/>
          </w:tcPr>
          <w:p w14:paraId="33537A8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O9931</w:t>
            </w:r>
          </w:p>
        </w:tc>
        <w:tc>
          <w:tcPr>
            <w:tcW w:w="7088" w:type="dxa"/>
            <w:hideMark/>
          </w:tcPr>
          <w:p w14:paraId="249072F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Mental disorders in pregnancy, childbirth and the puerperium</w:t>
            </w:r>
          </w:p>
        </w:tc>
      </w:tr>
      <w:tr w:rsidR="00B46DAE" w:rsidRPr="00B46DAE" w14:paraId="3C04AD9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2E10C6B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O9932</w:t>
            </w:r>
          </w:p>
        </w:tc>
        <w:tc>
          <w:tcPr>
            <w:tcW w:w="7088" w:type="dxa"/>
            <w:hideMark/>
          </w:tcPr>
          <w:p w14:paraId="54A43E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Diseases of the nervous system in pregnancy, childbirth and the puerperium</w:t>
            </w:r>
          </w:p>
        </w:tc>
      </w:tr>
      <w:tr w:rsidR="00B46DAE" w:rsidRPr="00B46DAE" w14:paraId="41641C91" w14:textId="77777777" w:rsidTr="006F5124">
        <w:trPr>
          <w:trHeight w:val="397"/>
        </w:trPr>
        <w:tc>
          <w:tcPr>
            <w:tcW w:w="1838" w:type="dxa"/>
            <w:noWrap/>
            <w:hideMark/>
          </w:tcPr>
          <w:p w14:paraId="1A85402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O994</w:t>
            </w:r>
          </w:p>
        </w:tc>
        <w:tc>
          <w:tcPr>
            <w:tcW w:w="7088" w:type="dxa"/>
            <w:hideMark/>
          </w:tcPr>
          <w:p w14:paraId="04FB8D3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Diseases of the circulatory system in pregnancy, childbirth and the puerperium</w:t>
            </w:r>
          </w:p>
        </w:tc>
      </w:tr>
      <w:tr w:rsidR="00B46DAE" w:rsidRPr="00B46DAE" w14:paraId="3900FD85"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8A8AE0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O995</w:t>
            </w:r>
          </w:p>
        </w:tc>
        <w:tc>
          <w:tcPr>
            <w:tcW w:w="7088" w:type="dxa"/>
            <w:hideMark/>
          </w:tcPr>
          <w:p w14:paraId="3A28599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Diseases of the respiratory system in pregnancy, childbirth and the puerperium</w:t>
            </w:r>
          </w:p>
        </w:tc>
      </w:tr>
      <w:tr w:rsidR="00B46DAE" w:rsidRPr="00B46DAE" w14:paraId="42049151" w14:textId="77777777" w:rsidTr="006F5124">
        <w:trPr>
          <w:trHeight w:val="397"/>
        </w:trPr>
        <w:tc>
          <w:tcPr>
            <w:tcW w:w="1838" w:type="dxa"/>
            <w:noWrap/>
            <w:hideMark/>
          </w:tcPr>
          <w:p w14:paraId="760ABC1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O996</w:t>
            </w:r>
          </w:p>
        </w:tc>
        <w:tc>
          <w:tcPr>
            <w:tcW w:w="7088" w:type="dxa"/>
            <w:hideMark/>
          </w:tcPr>
          <w:p w14:paraId="14DECA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Diseases of the digestive system in pregnancy, childbirth and the puerperium</w:t>
            </w:r>
          </w:p>
        </w:tc>
      </w:tr>
      <w:tr w:rsidR="00B46DAE" w:rsidRPr="00B46DAE" w14:paraId="5ADD7F6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447AEF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O997</w:t>
            </w:r>
          </w:p>
        </w:tc>
        <w:tc>
          <w:tcPr>
            <w:tcW w:w="7088" w:type="dxa"/>
            <w:hideMark/>
          </w:tcPr>
          <w:p w14:paraId="0D10DC3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Diseases of the skin and subcutaneous tissue in pregnancy, childbirth and the puerperium</w:t>
            </w:r>
          </w:p>
        </w:tc>
      </w:tr>
      <w:tr w:rsidR="00B46DAE" w:rsidRPr="00B46DAE" w14:paraId="0420FD38" w14:textId="77777777" w:rsidTr="006F5124">
        <w:trPr>
          <w:trHeight w:val="397"/>
        </w:trPr>
        <w:tc>
          <w:tcPr>
            <w:tcW w:w="1838" w:type="dxa"/>
            <w:noWrap/>
            <w:hideMark/>
          </w:tcPr>
          <w:p w14:paraId="7E6C6BB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O998</w:t>
            </w:r>
          </w:p>
        </w:tc>
        <w:tc>
          <w:tcPr>
            <w:tcW w:w="7088" w:type="dxa"/>
            <w:hideMark/>
          </w:tcPr>
          <w:p w14:paraId="206CAC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specified diseases and conditions in pregnancy, childbirth and the puerperium</w:t>
            </w:r>
          </w:p>
        </w:tc>
      </w:tr>
      <w:tr w:rsidR="00B46DAE" w:rsidRPr="00B46DAE" w14:paraId="49DF66DC"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09EF25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Z32</w:t>
            </w:r>
          </w:p>
        </w:tc>
        <w:tc>
          <w:tcPr>
            <w:tcW w:w="7088" w:type="dxa"/>
            <w:hideMark/>
          </w:tcPr>
          <w:p w14:paraId="6CC482E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Pregnancy supervision, examination and test, not elsewhere classified</w:t>
            </w:r>
          </w:p>
        </w:tc>
      </w:tr>
      <w:tr w:rsidR="00B46DAE" w:rsidRPr="00B46DAE" w14:paraId="572931A3" w14:textId="77777777" w:rsidTr="006F5124">
        <w:trPr>
          <w:trHeight w:val="397"/>
        </w:trPr>
        <w:tc>
          <w:tcPr>
            <w:tcW w:w="1838" w:type="dxa"/>
            <w:noWrap/>
            <w:hideMark/>
          </w:tcPr>
          <w:p w14:paraId="1A79E41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Z320</w:t>
            </w:r>
          </w:p>
        </w:tc>
        <w:tc>
          <w:tcPr>
            <w:tcW w:w="7088" w:type="dxa"/>
            <w:hideMark/>
          </w:tcPr>
          <w:p w14:paraId="5130C60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Pregnancy, not (yet) confirmed</w:t>
            </w:r>
          </w:p>
        </w:tc>
      </w:tr>
      <w:tr w:rsidR="00B46DAE" w:rsidRPr="00B46DAE" w14:paraId="6138791B"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2621E2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Z321</w:t>
            </w:r>
          </w:p>
        </w:tc>
        <w:tc>
          <w:tcPr>
            <w:tcW w:w="7088" w:type="dxa"/>
            <w:hideMark/>
          </w:tcPr>
          <w:p w14:paraId="692C3D4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Pregnancy confirmed</w:t>
            </w:r>
          </w:p>
        </w:tc>
      </w:tr>
      <w:tr w:rsidR="00B46DAE" w:rsidRPr="00B46DAE" w14:paraId="56541656" w14:textId="77777777" w:rsidTr="006F5124">
        <w:trPr>
          <w:trHeight w:val="397"/>
        </w:trPr>
        <w:tc>
          <w:tcPr>
            <w:tcW w:w="1838" w:type="dxa"/>
            <w:noWrap/>
            <w:hideMark/>
          </w:tcPr>
          <w:p w14:paraId="4E8ADB3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Z322</w:t>
            </w:r>
          </w:p>
        </w:tc>
        <w:tc>
          <w:tcPr>
            <w:tcW w:w="7088" w:type="dxa"/>
            <w:hideMark/>
          </w:tcPr>
          <w:p w14:paraId="4009E2F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Initiation of medical abortion</w:t>
            </w:r>
          </w:p>
        </w:tc>
      </w:tr>
      <w:tr w:rsidR="00B46DAE" w:rsidRPr="00B46DAE" w14:paraId="12806004"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2E9B27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Z33</w:t>
            </w:r>
          </w:p>
        </w:tc>
        <w:tc>
          <w:tcPr>
            <w:tcW w:w="7088" w:type="dxa"/>
            <w:hideMark/>
          </w:tcPr>
          <w:p w14:paraId="0A70552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Pregnant state, incidental</w:t>
            </w:r>
          </w:p>
        </w:tc>
      </w:tr>
      <w:tr w:rsidR="00B46DAE" w:rsidRPr="00B46DAE" w14:paraId="5FC3D568" w14:textId="77777777" w:rsidTr="006F5124">
        <w:trPr>
          <w:trHeight w:val="397"/>
        </w:trPr>
        <w:tc>
          <w:tcPr>
            <w:tcW w:w="1838" w:type="dxa"/>
            <w:noWrap/>
            <w:hideMark/>
          </w:tcPr>
          <w:p w14:paraId="61F0239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Z34</w:t>
            </w:r>
          </w:p>
        </w:tc>
        <w:tc>
          <w:tcPr>
            <w:tcW w:w="7088" w:type="dxa"/>
            <w:hideMark/>
          </w:tcPr>
          <w:p w14:paraId="5491284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normal pregnancy</w:t>
            </w:r>
          </w:p>
        </w:tc>
      </w:tr>
      <w:tr w:rsidR="00B46DAE" w:rsidRPr="00B46DAE" w14:paraId="0789AA3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6DEE2E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Z340</w:t>
            </w:r>
          </w:p>
        </w:tc>
        <w:tc>
          <w:tcPr>
            <w:tcW w:w="7088" w:type="dxa"/>
            <w:hideMark/>
          </w:tcPr>
          <w:p w14:paraId="5FB395E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normal first pregnancy</w:t>
            </w:r>
          </w:p>
        </w:tc>
      </w:tr>
      <w:tr w:rsidR="00B46DAE" w:rsidRPr="00B46DAE" w14:paraId="3DFA41C8" w14:textId="77777777" w:rsidTr="006F5124">
        <w:trPr>
          <w:trHeight w:val="397"/>
        </w:trPr>
        <w:tc>
          <w:tcPr>
            <w:tcW w:w="1838" w:type="dxa"/>
            <w:noWrap/>
            <w:hideMark/>
          </w:tcPr>
          <w:p w14:paraId="4752B7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Z348</w:t>
            </w:r>
          </w:p>
        </w:tc>
        <w:tc>
          <w:tcPr>
            <w:tcW w:w="7088" w:type="dxa"/>
            <w:hideMark/>
          </w:tcPr>
          <w:p w14:paraId="4B66B35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other normal pregnancy</w:t>
            </w:r>
          </w:p>
        </w:tc>
      </w:tr>
      <w:tr w:rsidR="00B46DAE" w:rsidRPr="00B46DAE" w14:paraId="272DA76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4BA6C3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Z349</w:t>
            </w:r>
          </w:p>
        </w:tc>
        <w:tc>
          <w:tcPr>
            <w:tcW w:w="7088" w:type="dxa"/>
            <w:hideMark/>
          </w:tcPr>
          <w:p w14:paraId="3ED5B28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normal pregnancy, unspecified</w:t>
            </w:r>
          </w:p>
        </w:tc>
      </w:tr>
      <w:tr w:rsidR="00B46DAE" w:rsidRPr="00B46DAE" w14:paraId="7D94F1B1" w14:textId="77777777" w:rsidTr="006F5124">
        <w:trPr>
          <w:trHeight w:val="397"/>
        </w:trPr>
        <w:tc>
          <w:tcPr>
            <w:tcW w:w="1838" w:type="dxa"/>
            <w:noWrap/>
            <w:hideMark/>
          </w:tcPr>
          <w:p w14:paraId="1D7BD82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w:t>
            </w:r>
          </w:p>
        </w:tc>
        <w:tc>
          <w:tcPr>
            <w:tcW w:w="7088" w:type="dxa"/>
            <w:hideMark/>
          </w:tcPr>
          <w:p w14:paraId="33206A2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high-risk pregnancy</w:t>
            </w:r>
          </w:p>
        </w:tc>
      </w:tr>
      <w:tr w:rsidR="00B46DAE" w:rsidRPr="00B46DAE" w14:paraId="69906C0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60914D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Z350</w:t>
            </w:r>
          </w:p>
        </w:tc>
        <w:tc>
          <w:tcPr>
            <w:tcW w:w="7088" w:type="dxa"/>
            <w:hideMark/>
          </w:tcPr>
          <w:p w14:paraId="3571CB4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pregnancy with history of infertility</w:t>
            </w:r>
          </w:p>
        </w:tc>
      </w:tr>
      <w:tr w:rsidR="00B46DAE" w:rsidRPr="00B46DAE" w14:paraId="4E954B1D" w14:textId="77777777" w:rsidTr="006F5124">
        <w:trPr>
          <w:trHeight w:val="397"/>
        </w:trPr>
        <w:tc>
          <w:tcPr>
            <w:tcW w:w="1838" w:type="dxa"/>
            <w:noWrap/>
            <w:hideMark/>
          </w:tcPr>
          <w:p w14:paraId="648E72A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Z351</w:t>
            </w:r>
          </w:p>
        </w:tc>
        <w:tc>
          <w:tcPr>
            <w:tcW w:w="7088" w:type="dxa"/>
            <w:hideMark/>
          </w:tcPr>
          <w:p w14:paraId="47D196D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pregnancy with history of abortive outcome</w:t>
            </w:r>
          </w:p>
        </w:tc>
      </w:tr>
      <w:tr w:rsidR="00B46DAE" w:rsidRPr="00B46DAE" w14:paraId="1AA5B5D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06F858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Z352</w:t>
            </w:r>
          </w:p>
        </w:tc>
        <w:tc>
          <w:tcPr>
            <w:tcW w:w="7088" w:type="dxa"/>
            <w:hideMark/>
          </w:tcPr>
          <w:p w14:paraId="61627EC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pregnancy with other poor reproductive or obstetric history</w:t>
            </w:r>
          </w:p>
        </w:tc>
      </w:tr>
      <w:tr w:rsidR="00B46DAE" w:rsidRPr="00B46DAE" w14:paraId="2E7EB8B7" w14:textId="77777777" w:rsidTr="006F5124">
        <w:trPr>
          <w:trHeight w:val="397"/>
        </w:trPr>
        <w:tc>
          <w:tcPr>
            <w:tcW w:w="1838" w:type="dxa"/>
            <w:noWrap/>
            <w:hideMark/>
          </w:tcPr>
          <w:p w14:paraId="623DB90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Z353</w:t>
            </w:r>
          </w:p>
        </w:tc>
        <w:tc>
          <w:tcPr>
            <w:tcW w:w="7088" w:type="dxa"/>
            <w:hideMark/>
          </w:tcPr>
          <w:p w14:paraId="74EFCC5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pregnancy with history of insufficient antenatal care</w:t>
            </w:r>
          </w:p>
        </w:tc>
      </w:tr>
      <w:tr w:rsidR="00B46DAE" w:rsidRPr="00B46DAE" w14:paraId="1E0DF34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E81043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Z354</w:t>
            </w:r>
          </w:p>
        </w:tc>
        <w:tc>
          <w:tcPr>
            <w:tcW w:w="7088" w:type="dxa"/>
            <w:hideMark/>
          </w:tcPr>
          <w:p w14:paraId="468CAE7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pregnancy with grand multiparity</w:t>
            </w:r>
          </w:p>
        </w:tc>
      </w:tr>
      <w:tr w:rsidR="00B46DAE" w:rsidRPr="00B46DAE" w14:paraId="5FE24B7A" w14:textId="77777777" w:rsidTr="006F5124">
        <w:trPr>
          <w:trHeight w:val="397"/>
        </w:trPr>
        <w:tc>
          <w:tcPr>
            <w:tcW w:w="1838" w:type="dxa"/>
            <w:noWrap/>
            <w:hideMark/>
          </w:tcPr>
          <w:p w14:paraId="183BDCA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Z355</w:t>
            </w:r>
          </w:p>
        </w:tc>
        <w:tc>
          <w:tcPr>
            <w:tcW w:w="7088" w:type="dxa"/>
            <w:hideMark/>
          </w:tcPr>
          <w:p w14:paraId="4B8C493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pregnancy with advanced maternal age</w:t>
            </w:r>
          </w:p>
        </w:tc>
      </w:tr>
      <w:tr w:rsidR="00B46DAE" w:rsidRPr="00B46DAE" w14:paraId="190DA45A"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776688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Z3551</w:t>
            </w:r>
          </w:p>
        </w:tc>
        <w:tc>
          <w:tcPr>
            <w:tcW w:w="7088" w:type="dxa"/>
            <w:hideMark/>
          </w:tcPr>
          <w:p w14:paraId="6493E6E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primigravida with advanced maternal age</w:t>
            </w:r>
          </w:p>
        </w:tc>
      </w:tr>
      <w:tr w:rsidR="00B46DAE" w:rsidRPr="00B46DAE" w14:paraId="5F51A0CB" w14:textId="77777777" w:rsidTr="006F5124">
        <w:trPr>
          <w:trHeight w:val="397"/>
        </w:trPr>
        <w:tc>
          <w:tcPr>
            <w:tcW w:w="1838" w:type="dxa"/>
            <w:noWrap/>
            <w:hideMark/>
          </w:tcPr>
          <w:p w14:paraId="3B66DD4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Z3552</w:t>
            </w:r>
          </w:p>
        </w:tc>
        <w:tc>
          <w:tcPr>
            <w:tcW w:w="7088" w:type="dxa"/>
            <w:hideMark/>
          </w:tcPr>
          <w:p w14:paraId="7443925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multigravida with advanced maternal age</w:t>
            </w:r>
          </w:p>
        </w:tc>
      </w:tr>
      <w:tr w:rsidR="00B46DAE" w:rsidRPr="00B46DAE" w14:paraId="13496F6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992646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Z356</w:t>
            </w:r>
          </w:p>
        </w:tc>
        <w:tc>
          <w:tcPr>
            <w:tcW w:w="7088" w:type="dxa"/>
            <w:hideMark/>
          </w:tcPr>
          <w:p w14:paraId="6021FF3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(very) young primigravida</w:t>
            </w:r>
          </w:p>
        </w:tc>
      </w:tr>
      <w:tr w:rsidR="00B46DAE" w:rsidRPr="00B46DAE" w14:paraId="680DFA5E" w14:textId="77777777" w:rsidTr="006F5124">
        <w:trPr>
          <w:trHeight w:val="397"/>
        </w:trPr>
        <w:tc>
          <w:tcPr>
            <w:tcW w:w="1838" w:type="dxa"/>
            <w:noWrap/>
            <w:hideMark/>
          </w:tcPr>
          <w:p w14:paraId="0343644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Z357</w:t>
            </w:r>
          </w:p>
        </w:tc>
        <w:tc>
          <w:tcPr>
            <w:tcW w:w="7088" w:type="dxa"/>
            <w:hideMark/>
          </w:tcPr>
          <w:p w14:paraId="4B6B224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high-risk pregnancy due to social problems</w:t>
            </w:r>
          </w:p>
        </w:tc>
      </w:tr>
      <w:tr w:rsidR="00B46DAE" w:rsidRPr="00B46DAE" w14:paraId="7C9BD78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B4AE86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Z358</w:t>
            </w:r>
          </w:p>
        </w:tc>
        <w:tc>
          <w:tcPr>
            <w:tcW w:w="7088" w:type="dxa"/>
            <w:hideMark/>
          </w:tcPr>
          <w:p w14:paraId="03C3763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other high-risk pregnancies</w:t>
            </w:r>
          </w:p>
        </w:tc>
      </w:tr>
      <w:tr w:rsidR="00B46DAE" w:rsidRPr="00B46DAE" w14:paraId="173B7B2E" w14:textId="77777777" w:rsidTr="006F5124">
        <w:trPr>
          <w:trHeight w:val="397"/>
        </w:trPr>
        <w:tc>
          <w:tcPr>
            <w:tcW w:w="1838" w:type="dxa"/>
            <w:noWrap/>
            <w:hideMark/>
          </w:tcPr>
          <w:p w14:paraId="01A7456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Z359</w:t>
            </w:r>
          </w:p>
        </w:tc>
        <w:tc>
          <w:tcPr>
            <w:tcW w:w="7088" w:type="dxa"/>
            <w:hideMark/>
          </w:tcPr>
          <w:p w14:paraId="091F779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Supervision of high-risk pregnancy, unspecified</w:t>
            </w:r>
          </w:p>
        </w:tc>
      </w:tr>
      <w:tr w:rsidR="00B46DAE" w:rsidRPr="00B46DAE" w14:paraId="1968A7E6"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FF14FD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w:t>
            </w:r>
          </w:p>
        </w:tc>
        <w:tc>
          <w:tcPr>
            <w:tcW w:w="7088" w:type="dxa"/>
            <w:hideMark/>
          </w:tcPr>
          <w:p w14:paraId="4790CF2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w:t>
            </w:r>
          </w:p>
        </w:tc>
      </w:tr>
      <w:tr w:rsidR="00B46DAE" w:rsidRPr="00B46DAE" w14:paraId="5B1F2409" w14:textId="77777777" w:rsidTr="006F5124">
        <w:trPr>
          <w:trHeight w:val="397"/>
        </w:trPr>
        <w:tc>
          <w:tcPr>
            <w:tcW w:w="1838" w:type="dxa"/>
            <w:noWrap/>
            <w:hideMark/>
          </w:tcPr>
          <w:p w14:paraId="5EFDDF0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lastRenderedPageBreak/>
              <w:t>Z360</w:t>
            </w:r>
          </w:p>
        </w:tc>
        <w:tc>
          <w:tcPr>
            <w:tcW w:w="7088" w:type="dxa"/>
            <w:hideMark/>
          </w:tcPr>
          <w:p w14:paraId="4C61B3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 for chromosomal anomalies</w:t>
            </w:r>
          </w:p>
        </w:tc>
      </w:tr>
      <w:tr w:rsidR="00B46DAE" w:rsidRPr="00B46DAE" w14:paraId="28E8572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4B642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Z361</w:t>
            </w:r>
          </w:p>
        </w:tc>
        <w:tc>
          <w:tcPr>
            <w:tcW w:w="7088" w:type="dxa"/>
            <w:hideMark/>
          </w:tcPr>
          <w:p w14:paraId="6F12378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 for raised alpha-fetoprotein level</w:t>
            </w:r>
          </w:p>
        </w:tc>
      </w:tr>
      <w:tr w:rsidR="00B46DAE" w:rsidRPr="00B46DAE" w14:paraId="0125AB21" w14:textId="77777777" w:rsidTr="006F5124">
        <w:trPr>
          <w:trHeight w:val="397"/>
        </w:trPr>
        <w:tc>
          <w:tcPr>
            <w:tcW w:w="1838" w:type="dxa"/>
            <w:noWrap/>
            <w:hideMark/>
          </w:tcPr>
          <w:p w14:paraId="746581B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Z362</w:t>
            </w:r>
          </w:p>
        </w:tc>
        <w:tc>
          <w:tcPr>
            <w:tcW w:w="7088" w:type="dxa"/>
            <w:hideMark/>
          </w:tcPr>
          <w:p w14:paraId="752E029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antenatal screening based on amniocentesis</w:t>
            </w:r>
          </w:p>
        </w:tc>
      </w:tr>
      <w:tr w:rsidR="00B46DAE" w:rsidRPr="00B46DAE" w14:paraId="42C49431"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D22CF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Z363</w:t>
            </w:r>
          </w:p>
        </w:tc>
        <w:tc>
          <w:tcPr>
            <w:tcW w:w="7088" w:type="dxa"/>
            <w:hideMark/>
          </w:tcPr>
          <w:p w14:paraId="5B8CC73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 for malformations using ultrasound and other physical methods</w:t>
            </w:r>
          </w:p>
        </w:tc>
      </w:tr>
      <w:tr w:rsidR="00B46DAE" w:rsidRPr="00B46DAE" w14:paraId="0CD24106" w14:textId="77777777" w:rsidTr="006F5124">
        <w:trPr>
          <w:trHeight w:val="397"/>
        </w:trPr>
        <w:tc>
          <w:tcPr>
            <w:tcW w:w="1838" w:type="dxa"/>
            <w:noWrap/>
            <w:hideMark/>
          </w:tcPr>
          <w:p w14:paraId="0A75E4E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Z364</w:t>
            </w:r>
          </w:p>
        </w:tc>
        <w:tc>
          <w:tcPr>
            <w:tcW w:w="7088" w:type="dxa"/>
            <w:hideMark/>
          </w:tcPr>
          <w:p w14:paraId="67DC631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 for fetal growth retardation using ultrasound and other physical methods</w:t>
            </w:r>
          </w:p>
        </w:tc>
      </w:tr>
      <w:tr w:rsidR="00B46DAE" w:rsidRPr="00B46DAE" w14:paraId="355885B3"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9154A95"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Z365</w:t>
            </w:r>
          </w:p>
        </w:tc>
        <w:tc>
          <w:tcPr>
            <w:tcW w:w="7088" w:type="dxa"/>
            <w:hideMark/>
          </w:tcPr>
          <w:p w14:paraId="40DB3A4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 for isoimmunisation</w:t>
            </w:r>
          </w:p>
        </w:tc>
      </w:tr>
      <w:tr w:rsidR="00B46DAE" w:rsidRPr="00B46DAE" w14:paraId="129473A7" w14:textId="77777777" w:rsidTr="006F5124">
        <w:trPr>
          <w:trHeight w:val="397"/>
        </w:trPr>
        <w:tc>
          <w:tcPr>
            <w:tcW w:w="1838" w:type="dxa"/>
            <w:noWrap/>
            <w:hideMark/>
          </w:tcPr>
          <w:p w14:paraId="200DE2D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Z368</w:t>
            </w:r>
          </w:p>
        </w:tc>
        <w:tc>
          <w:tcPr>
            <w:tcW w:w="7088" w:type="dxa"/>
            <w:hideMark/>
          </w:tcPr>
          <w:p w14:paraId="4FC34E02"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antenatal screening</w:t>
            </w:r>
          </w:p>
        </w:tc>
      </w:tr>
      <w:tr w:rsidR="00B46DAE" w:rsidRPr="00B46DAE" w14:paraId="236EAA4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42587B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Z369</w:t>
            </w:r>
          </w:p>
        </w:tc>
        <w:tc>
          <w:tcPr>
            <w:tcW w:w="7088" w:type="dxa"/>
            <w:hideMark/>
          </w:tcPr>
          <w:p w14:paraId="0ED52EB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Antenatal screening, unspecified</w:t>
            </w:r>
          </w:p>
        </w:tc>
      </w:tr>
      <w:tr w:rsidR="00B46DAE" w:rsidRPr="00B46DAE" w14:paraId="2E38B007" w14:textId="77777777" w:rsidTr="006F5124">
        <w:trPr>
          <w:trHeight w:val="397"/>
        </w:trPr>
        <w:tc>
          <w:tcPr>
            <w:tcW w:w="1838" w:type="dxa"/>
            <w:noWrap/>
            <w:hideMark/>
          </w:tcPr>
          <w:p w14:paraId="67883B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w:t>
            </w:r>
          </w:p>
        </w:tc>
        <w:tc>
          <w:tcPr>
            <w:tcW w:w="7088" w:type="dxa"/>
            <w:hideMark/>
          </w:tcPr>
          <w:p w14:paraId="7052A960"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Outcome of delivery</w:t>
            </w:r>
          </w:p>
        </w:tc>
      </w:tr>
      <w:tr w:rsidR="00B46DAE" w:rsidRPr="00B46DAE" w14:paraId="2BF106B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FC5C29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Z370</w:t>
            </w:r>
          </w:p>
        </w:tc>
        <w:tc>
          <w:tcPr>
            <w:tcW w:w="7088" w:type="dxa"/>
            <w:hideMark/>
          </w:tcPr>
          <w:p w14:paraId="70C7616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Single live birth</w:t>
            </w:r>
          </w:p>
        </w:tc>
      </w:tr>
      <w:tr w:rsidR="00B46DAE" w:rsidRPr="00B46DAE" w14:paraId="5E60D052" w14:textId="77777777" w:rsidTr="006F5124">
        <w:trPr>
          <w:trHeight w:val="397"/>
        </w:trPr>
        <w:tc>
          <w:tcPr>
            <w:tcW w:w="1838" w:type="dxa"/>
            <w:noWrap/>
            <w:hideMark/>
          </w:tcPr>
          <w:p w14:paraId="589A460F"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Z371</w:t>
            </w:r>
          </w:p>
        </w:tc>
        <w:tc>
          <w:tcPr>
            <w:tcW w:w="7088" w:type="dxa"/>
            <w:hideMark/>
          </w:tcPr>
          <w:p w14:paraId="317E892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Single stillbirth</w:t>
            </w:r>
          </w:p>
        </w:tc>
      </w:tr>
      <w:tr w:rsidR="00B46DAE" w:rsidRPr="00B46DAE" w14:paraId="15049057"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4324BF3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Z372</w:t>
            </w:r>
          </w:p>
        </w:tc>
        <w:tc>
          <w:tcPr>
            <w:tcW w:w="7088" w:type="dxa"/>
            <w:hideMark/>
          </w:tcPr>
          <w:p w14:paraId="73C9851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Twins, both liveborn</w:t>
            </w:r>
          </w:p>
        </w:tc>
      </w:tr>
      <w:tr w:rsidR="00B46DAE" w:rsidRPr="00B46DAE" w14:paraId="4898FFB4" w14:textId="77777777" w:rsidTr="006F5124">
        <w:trPr>
          <w:trHeight w:val="397"/>
        </w:trPr>
        <w:tc>
          <w:tcPr>
            <w:tcW w:w="1838" w:type="dxa"/>
            <w:noWrap/>
            <w:hideMark/>
          </w:tcPr>
          <w:p w14:paraId="6B22152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Z373</w:t>
            </w:r>
          </w:p>
        </w:tc>
        <w:tc>
          <w:tcPr>
            <w:tcW w:w="7088" w:type="dxa"/>
            <w:hideMark/>
          </w:tcPr>
          <w:p w14:paraId="1593225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Twins, one liveborn and one stillborn</w:t>
            </w:r>
          </w:p>
        </w:tc>
      </w:tr>
      <w:tr w:rsidR="00B46DAE" w:rsidRPr="00B46DAE" w14:paraId="588057BF"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30967AA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Z374</w:t>
            </w:r>
          </w:p>
        </w:tc>
        <w:tc>
          <w:tcPr>
            <w:tcW w:w="7088" w:type="dxa"/>
            <w:hideMark/>
          </w:tcPr>
          <w:p w14:paraId="17EC1F7A"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Twins, both stillborn</w:t>
            </w:r>
          </w:p>
        </w:tc>
      </w:tr>
      <w:tr w:rsidR="00B46DAE" w:rsidRPr="00B46DAE" w14:paraId="5E26291B" w14:textId="77777777" w:rsidTr="006F5124">
        <w:trPr>
          <w:trHeight w:val="397"/>
        </w:trPr>
        <w:tc>
          <w:tcPr>
            <w:tcW w:w="1838" w:type="dxa"/>
            <w:noWrap/>
            <w:hideMark/>
          </w:tcPr>
          <w:p w14:paraId="4EB31E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Z375</w:t>
            </w:r>
          </w:p>
        </w:tc>
        <w:tc>
          <w:tcPr>
            <w:tcW w:w="7088" w:type="dxa"/>
            <w:hideMark/>
          </w:tcPr>
          <w:p w14:paraId="48AE34A3"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multiple births, all liveborn</w:t>
            </w:r>
          </w:p>
        </w:tc>
      </w:tr>
      <w:tr w:rsidR="00B46DAE" w:rsidRPr="00B46DAE" w14:paraId="4D58DDAD"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903CD1E"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Z376</w:t>
            </w:r>
          </w:p>
        </w:tc>
        <w:tc>
          <w:tcPr>
            <w:tcW w:w="7088" w:type="dxa"/>
            <w:hideMark/>
          </w:tcPr>
          <w:p w14:paraId="21E0EFB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multiple births, some liveborn</w:t>
            </w:r>
          </w:p>
        </w:tc>
      </w:tr>
      <w:tr w:rsidR="00B46DAE" w:rsidRPr="00B46DAE" w14:paraId="69FF68CC" w14:textId="77777777" w:rsidTr="006F5124">
        <w:trPr>
          <w:trHeight w:val="397"/>
        </w:trPr>
        <w:tc>
          <w:tcPr>
            <w:tcW w:w="1838" w:type="dxa"/>
            <w:noWrap/>
            <w:hideMark/>
          </w:tcPr>
          <w:p w14:paraId="653D176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Z377</w:t>
            </w:r>
          </w:p>
        </w:tc>
        <w:tc>
          <w:tcPr>
            <w:tcW w:w="7088" w:type="dxa"/>
            <w:hideMark/>
          </w:tcPr>
          <w:p w14:paraId="73B7B749"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Other multiple births, all stillborn</w:t>
            </w:r>
          </w:p>
        </w:tc>
      </w:tr>
      <w:tr w:rsidR="00B46DAE" w:rsidRPr="00B46DAE" w14:paraId="692DA64E"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06644EED"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Z379</w:t>
            </w:r>
          </w:p>
        </w:tc>
        <w:tc>
          <w:tcPr>
            <w:tcW w:w="7088" w:type="dxa"/>
            <w:hideMark/>
          </w:tcPr>
          <w:p w14:paraId="5134946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Outcome of delivery, unspecified</w:t>
            </w:r>
          </w:p>
        </w:tc>
      </w:tr>
      <w:tr w:rsidR="00B46DAE" w:rsidRPr="00B46DAE" w14:paraId="303E974A" w14:textId="77777777" w:rsidTr="006F5124">
        <w:trPr>
          <w:trHeight w:val="397"/>
        </w:trPr>
        <w:tc>
          <w:tcPr>
            <w:tcW w:w="1838" w:type="dxa"/>
            <w:noWrap/>
            <w:hideMark/>
          </w:tcPr>
          <w:p w14:paraId="1751E05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w:t>
            </w:r>
          </w:p>
        </w:tc>
        <w:tc>
          <w:tcPr>
            <w:tcW w:w="7088" w:type="dxa"/>
            <w:hideMark/>
          </w:tcPr>
          <w:p w14:paraId="3B1859E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care and examination</w:t>
            </w:r>
          </w:p>
        </w:tc>
      </w:tr>
      <w:tr w:rsidR="00B46DAE" w:rsidRPr="00B46DAE" w14:paraId="3E029F78"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6C3EC29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Z390</w:t>
            </w:r>
          </w:p>
        </w:tc>
        <w:tc>
          <w:tcPr>
            <w:tcW w:w="7088" w:type="dxa"/>
            <w:hideMark/>
          </w:tcPr>
          <w:p w14:paraId="3EBB99A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care and examination immediately after delivery</w:t>
            </w:r>
          </w:p>
        </w:tc>
      </w:tr>
      <w:tr w:rsidR="00B46DAE" w:rsidRPr="00B46DAE" w14:paraId="211C88B1" w14:textId="77777777" w:rsidTr="006F5124">
        <w:trPr>
          <w:trHeight w:val="397"/>
        </w:trPr>
        <w:tc>
          <w:tcPr>
            <w:tcW w:w="1838" w:type="dxa"/>
            <w:noWrap/>
            <w:hideMark/>
          </w:tcPr>
          <w:p w14:paraId="05AC857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Z3900</w:t>
            </w:r>
          </w:p>
        </w:tc>
        <w:tc>
          <w:tcPr>
            <w:tcW w:w="7088" w:type="dxa"/>
            <w:hideMark/>
          </w:tcPr>
          <w:p w14:paraId="46896CB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care and examination after delivery, unspecified</w:t>
            </w:r>
          </w:p>
        </w:tc>
      </w:tr>
      <w:tr w:rsidR="00B46DAE" w:rsidRPr="00B46DAE" w14:paraId="1B787870"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5EB4AA7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Z3901</w:t>
            </w:r>
          </w:p>
        </w:tc>
        <w:tc>
          <w:tcPr>
            <w:tcW w:w="7088" w:type="dxa"/>
            <w:hideMark/>
          </w:tcPr>
          <w:p w14:paraId="53FC91F6"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care after hospital delivery</w:t>
            </w:r>
          </w:p>
        </w:tc>
      </w:tr>
      <w:tr w:rsidR="00B46DAE" w:rsidRPr="00B46DAE" w14:paraId="7BFC2F74" w14:textId="77777777" w:rsidTr="006F5124">
        <w:trPr>
          <w:trHeight w:val="397"/>
        </w:trPr>
        <w:tc>
          <w:tcPr>
            <w:tcW w:w="1838" w:type="dxa"/>
            <w:noWrap/>
            <w:hideMark/>
          </w:tcPr>
          <w:p w14:paraId="77B13401"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Z3902</w:t>
            </w:r>
          </w:p>
        </w:tc>
        <w:tc>
          <w:tcPr>
            <w:tcW w:w="7088" w:type="dxa"/>
            <w:hideMark/>
          </w:tcPr>
          <w:p w14:paraId="642509F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care after planned, out of hospital delivery</w:t>
            </w:r>
          </w:p>
        </w:tc>
      </w:tr>
      <w:tr w:rsidR="00B46DAE" w:rsidRPr="00B46DAE" w14:paraId="4ABD9B12"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14B5767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Z3903</w:t>
            </w:r>
          </w:p>
        </w:tc>
        <w:tc>
          <w:tcPr>
            <w:tcW w:w="7088" w:type="dxa"/>
            <w:hideMark/>
          </w:tcPr>
          <w:p w14:paraId="108EA0DB"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Postpartum care after unplanned, out of hospital delivery</w:t>
            </w:r>
          </w:p>
        </w:tc>
      </w:tr>
      <w:tr w:rsidR="00B46DAE" w:rsidRPr="00B46DAE" w14:paraId="3095D1CF" w14:textId="77777777" w:rsidTr="006F5124">
        <w:trPr>
          <w:trHeight w:val="397"/>
        </w:trPr>
        <w:tc>
          <w:tcPr>
            <w:tcW w:w="1838" w:type="dxa"/>
            <w:noWrap/>
            <w:hideMark/>
          </w:tcPr>
          <w:p w14:paraId="66F2CD24"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Z391</w:t>
            </w:r>
          </w:p>
        </w:tc>
        <w:tc>
          <w:tcPr>
            <w:tcW w:w="7088" w:type="dxa"/>
            <w:hideMark/>
          </w:tcPr>
          <w:p w14:paraId="0BB4C27C"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Care and examination of lactating mother</w:t>
            </w:r>
          </w:p>
        </w:tc>
      </w:tr>
      <w:tr w:rsidR="00B46DAE" w:rsidRPr="00B46DAE" w14:paraId="0654A1A9" w14:textId="77777777" w:rsidTr="006F5124">
        <w:trPr>
          <w:cnfStyle w:val="000000010000" w:firstRow="0" w:lastRow="0" w:firstColumn="0" w:lastColumn="0" w:oddVBand="0" w:evenVBand="0" w:oddHBand="0" w:evenHBand="1" w:firstRowFirstColumn="0" w:firstRowLastColumn="0" w:lastRowFirstColumn="0" w:lastRowLastColumn="0"/>
          <w:trHeight w:val="397"/>
        </w:trPr>
        <w:tc>
          <w:tcPr>
            <w:tcW w:w="1838" w:type="dxa"/>
            <w:noWrap/>
            <w:hideMark/>
          </w:tcPr>
          <w:p w14:paraId="7E9EC5F7"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Z392</w:t>
            </w:r>
          </w:p>
        </w:tc>
        <w:tc>
          <w:tcPr>
            <w:tcW w:w="7088" w:type="dxa"/>
            <w:hideMark/>
          </w:tcPr>
          <w:p w14:paraId="2C1D97C8" w14:textId="77777777" w:rsidR="00B46DAE" w:rsidRPr="00B46DAE" w:rsidRDefault="00B46DAE" w:rsidP="00B46DAE">
            <w:pPr>
              <w:spacing w:before="0" w:after="0"/>
              <w:rPr>
                <w:rFonts w:ascii="Arial" w:hAnsi="Arial" w:cs="Arial"/>
                <w:color w:val="000000"/>
              </w:rPr>
            </w:pPr>
            <w:r w:rsidRPr="00B46DAE">
              <w:rPr>
                <w:rFonts w:ascii="Arial" w:hAnsi="Arial" w:cs="Arial"/>
                <w:color w:val="000000"/>
              </w:rPr>
              <w:t>Routine postpartum follow-up</w:t>
            </w:r>
          </w:p>
        </w:tc>
      </w:tr>
    </w:tbl>
    <w:p w14:paraId="7013CE84" w14:textId="77777777" w:rsidR="002E7E53" w:rsidRDefault="002E7E53" w:rsidP="008254F9"/>
    <w:p w14:paraId="5E9F3352" w14:textId="77777777" w:rsidR="0055060F" w:rsidRDefault="0055060F" w:rsidP="008254F9"/>
    <w:p w14:paraId="1C80B785" w14:textId="77777777" w:rsidR="0055060F" w:rsidRDefault="0055060F">
      <w:r>
        <w:br w:type="page"/>
      </w:r>
    </w:p>
    <w:p w14:paraId="63FDDC9A" w14:textId="77777777" w:rsidR="004C63E0" w:rsidRPr="00FC755B" w:rsidRDefault="004C63E0" w:rsidP="007C0EA9">
      <w:pPr>
        <w:pStyle w:val="Heading2"/>
      </w:pPr>
      <w:bookmarkStart w:id="135" w:name="_Toc203549639"/>
      <w:bookmarkStart w:id="136" w:name="_Toc206495302"/>
      <w:r w:rsidRPr="005209B1">
        <w:lastRenderedPageBreak/>
        <w:t>Glossary</w:t>
      </w:r>
      <w:bookmarkEnd w:id="135"/>
      <w:bookmarkEnd w:id="136"/>
    </w:p>
    <w:tbl>
      <w:tblPr>
        <w:tblStyle w:val="SQHTable"/>
        <w:tblW w:w="470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94"/>
        <w:gridCol w:w="6355"/>
      </w:tblGrid>
      <w:tr w:rsidR="004C63E0" w:rsidRPr="00AA5A1B" w14:paraId="5E38459D" w14:textId="77777777" w:rsidTr="006F5124">
        <w:trPr>
          <w:cnfStyle w:val="100000000000" w:firstRow="1" w:lastRow="0" w:firstColumn="0" w:lastColumn="0" w:oddVBand="0" w:evenVBand="0" w:oddHBand="0" w:evenHBand="0" w:firstRowFirstColumn="0" w:firstRowLastColumn="0" w:lastRowFirstColumn="0" w:lastRowLastColumn="0"/>
        </w:trPr>
        <w:tc>
          <w:tcPr>
            <w:tcW w:w="1326" w:type="pct"/>
          </w:tcPr>
          <w:p w14:paraId="1D04E001" w14:textId="77777777" w:rsidR="004C63E0" w:rsidRPr="00AA5A1B" w:rsidRDefault="004C63E0" w:rsidP="006F5124">
            <w:pPr>
              <w:rPr>
                <w:sz w:val="22"/>
              </w:rPr>
            </w:pPr>
            <w:r w:rsidRPr="00AA5A1B">
              <w:rPr>
                <w:sz w:val="22"/>
              </w:rPr>
              <w:t>Term</w:t>
            </w:r>
          </w:p>
        </w:tc>
        <w:tc>
          <w:tcPr>
            <w:tcW w:w="3674" w:type="pct"/>
          </w:tcPr>
          <w:p w14:paraId="5F125AF5" w14:textId="77777777" w:rsidR="004C63E0" w:rsidRPr="00AA5A1B" w:rsidRDefault="004C63E0" w:rsidP="006F5124">
            <w:pPr>
              <w:rPr>
                <w:sz w:val="22"/>
              </w:rPr>
            </w:pPr>
            <w:r w:rsidRPr="00AA5A1B">
              <w:rPr>
                <w:sz w:val="22"/>
              </w:rPr>
              <w:t>Description</w:t>
            </w:r>
          </w:p>
        </w:tc>
      </w:tr>
      <w:tr w:rsidR="004C63E0" w:rsidRPr="00AA5A1B" w14:paraId="538EE152" w14:textId="77777777" w:rsidTr="006F5124">
        <w:tc>
          <w:tcPr>
            <w:tcW w:w="1326" w:type="pct"/>
          </w:tcPr>
          <w:p w14:paraId="2FD3855B" w14:textId="77777777" w:rsidR="004C63E0" w:rsidRPr="00AA5A1B" w:rsidRDefault="004C63E0" w:rsidP="006F5124">
            <w:pPr>
              <w:rPr>
                <w:b/>
                <w:bCs/>
                <w:lang w:val="en-US"/>
              </w:rPr>
            </w:pPr>
            <w:r w:rsidRPr="00AA5A1B">
              <w:rPr>
                <w:b/>
                <w:bCs/>
                <w:lang w:val="en-US"/>
              </w:rPr>
              <w:t>Admitted care</w:t>
            </w:r>
          </w:p>
        </w:tc>
        <w:tc>
          <w:tcPr>
            <w:tcW w:w="3674" w:type="pct"/>
          </w:tcPr>
          <w:p w14:paraId="60AFCE6C" w14:textId="77777777" w:rsidR="004C63E0" w:rsidRPr="00AA5A1B" w:rsidRDefault="004C63E0" w:rsidP="006F5124">
            <w:pPr>
              <w:rPr>
                <w:lang w:val="en-US"/>
              </w:rPr>
            </w:pPr>
            <w:r w:rsidRPr="00AA5A1B">
              <w:rPr>
                <w:lang w:val="en-US"/>
              </w:rPr>
              <w:t>When patients are formally admitted to public or private hospital to receive treatment or care.</w:t>
            </w:r>
          </w:p>
        </w:tc>
      </w:tr>
      <w:tr w:rsidR="004C63E0" w:rsidRPr="00AA5A1B" w14:paraId="39D8D50E"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2B66E9B2" w14:textId="77777777" w:rsidR="004C63E0" w:rsidRPr="00AA5A1B" w:rsidRDefault="004C63E0" w:rsidP="006F5124">
            <w:pPr>
              <w:rPr>
                <w:b/>
                <w:bCs/>
              </w:rPr>
            </w:pPr>
            <w:r w:rsidRPr="00AA5A1B">
              <w:rPr>
                <w:b/>
                <w:bCs/>
              </w:rPr>
              <w:t>Admitted Patient Care- National Minimum Data Set (APC-NMDS)</w:t>
            </w:r>
          </w:p>
        </w:tc>
        <w:tc>
          <w:tcPr>
            <w:tcW w:w="3674" w:type="pct"/>
          </w:tcPr>
          <w:p w14:paraId="26202283" w14:textId="77777777" w:rsidR="004C63E0" w:rsidRPr="00AA5A1B" w:rsidRDefault="004C63E0" w:rsidP="006F5124">
            <w:pPr>
              <w:rPr>
                <w:lang w:val="en-US"/>
              </w:rPr>
            </w:pPr>
            <w:r w:rsidRPr="00AA5A1B">
              <w:rPr>
                <w:lang w:val="en-US"/>
              </w:rPr>
              <w:t>The admitted patient care national minimum data set (APC-NMDS) is the mandatory core data collected and reported nationally about episodes of admitted patient care.</w:t>
            </w:r>
          </w:p>
        </w:tc>
      </w:tr>
      <w:tr w:rsidR="004C63E0" w:rsidRPr="00AA5A1B" w14:paraId="2BD59AA9" w14:textId="77777777" w:rsidTr="006F5124">
        <w:tc>
          <w:tcPr>
            <w:tcW w:w="1326" w:type="pct"/>
          </w:tcPr>
          <w:p w14:paraId="4E724F47" w14:textId="77777777" w:rsidR="004C63E0" w:rsidRPr="00AA5A1B" w:rsidRDefault="004C63E0" w:rsidP="006F5124">
            <w:pPr>
              <w:rPr>
                <w:b/>
                <w:bCs/>
              </w:rPr>
            </w:pPr>
            <w:r w:rsidRPr="00AA5A1B">
              <w:rPr>
                <w:b/>
                <w:bCs/>
              </w:rPr>
              <w:t>Australian Refined Diagnosis Related Groups (AR-DRG)</w:t>
            </w:r>
          </w:p>
          <w:p w14:paraId="125844CA" w14:textId="77777777" w:rsidR="004C63E0" w:rsidRPr="00AA5A1B" w:rsidRDefault="004C63E0" w:rsidP="006F5124">
            <w:pPr>
              <w:rPr>
                <w:b/>
                <w:bCs/>
                <w:lang w:val="en-US"/>
              </w:rPr>
            </w:pPr>
          </w:p>
        </w:tc>
        <w:tc>
          <w:tcPr>
            <w:tcW w:w="3674" w:type="pct"/>
          </w:tcPr>
          <w:p w14:paraId="5F53C5BC" w14:textId="77777777" w:rsidR="004C63E0" w:rsidRPr="00AA5A1B" w:rsidRDefault="004C63E0" w:rsidP="006F5124">
            <w:pPr>
              <w:rPr>
                <w:lang w:val="en-US"/>
              </w:rPr>
            </w:pPr>
            <w:r w:rsidRPr="00AA5A1B">
              <w:rPr>
                <w:lang w:val="en-US"/>
              </w:rPr>
              <w:t>Australian Refined Diagnosis Related Groups (AR-DRG) is</w:t>
            </w:r>
            <w:r>
              <w:rPr>
                <w:lang w:val="en-US"/>
              </w:rPr>
              <w:t xml:space="preserve"> a</w:t>
            </w:r>
            <w:r w:rsidRPr="00AA5A1B">
              <w:rPr>
                <w:lang w:val="en-US"/>
              </w:rPr>
              <w:t xml:space="preserve"> classification system used to group diagnosis and intervention data with other types of routinely collected data to help classify admitted patient episodes of care. They are used to calculate public hospital funding based on activity. </w:t>
            </w:r>
          </w:p>
        </w:tc>
      </w:tr>
      <w:tr w:rsidR="004C63E0" w:rsidRPr="00AA5A1B" w14:paraId="604840D0"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3C9B054F" w14:textId="77777777" w:rsidR="004C63E0" w:rsidRPr="00AA5A1B" w:rsidRDefault="004C63E0" w:rsidP="006F5124">
            <w:pPr>
              <w:rPr>
                <w:b/>
                <w:bCs/>
              </w:rPr>
            </w:pPr>
            <w:r w:rsidRPr="00AA5A1B">
              <w:rPr>
                <w:b/>
                <w:bCs/>
              </w:rPr>
              <w:t>Australian Statistical Geographic Classification (ASGC)</w:t>
            </w:r>
          </w:p>
        </w:tc>
        <w:tc>
          <w:tcPr>
            <w:tcW w:w="3674" w:type="pct"/>
          </w:tcPr>
          <w:p w14:paraId="22277F38" w14:textId="77777777" w:rsidR="004C63E0" w:rsidRPr="00AA5A1B" w:rsidRDefault="004C63E0" w:rsidP="006F5124">
            <w:pPr>
              <w:rPr>
                <w:lang w:val="en-US"/>
              </w:rPr>
            </w:pPr>
            <w:r w:rsidRPr="00AA5A1B">
              <w:rPr>
                <w:lang w:val="en-US"/>
              </w:rPr>
              <w:t>Australian Statistical Geographic Classification (ASGC) is a geographical data set that defines five levels of remoteness.</w:t>
            </w:r>
          </w:p>
        </w:tc>
      </w:tr>
      <w:tr w:rsidR="004C63E0" w:rsidRPr="00AA5A1B" w14:paraId="007981ED" w14:textId="77777777" w:rsidTr="006F5124">
        <w:tc>
          <w:tcPr>
            <w:tcW w:w="1326" w:type="pct"/>
          </w:tcPr>
          <w:p w14:paraId="4EEB519D" w14:textId="77777777" w:rsidR="004C63E0" w:rsidRPr="00AA5A1B" w:rsidRDefault="004C63E0" w:rsidP="006F5124">
            <w:pPr>
              <w:rPr>
                <w:b/>
                <w:bCs/>
              </w:rPr>
            </w:pPr>
            <w:r w:rsidRPr="00AA5A1B">
              <w:rPr>
                <w:b/>
                <w:bCs/>
              </w:rPr>
              <w:t>Data Cube</w:t>
            </w:r>
          </w:p>
        </w:tc>
        <w:tc>
          <w:tcPr>
            <w:tcW w:w="3674" w:type="pct"/>
          </w:tcPr>
          <w:p w14:paraId="34A6DD03" w14:textId="77777777" w:rsidR="004C63E0" w:rsidRPr="00AA5A1B" w:rsidRDefault="004C63E0" w:rsidP="006F5124">
            <w:pPr>
              <w:rPr>
                <w:lang w:val="en-US"/>
              </w:rPr>
            </w:pPr>
            <w:r w:rsidRPr="00AA5A1B">
              <w:rPr>
                <w:lang w:val="en-US"/>
              </w:rPr>
              <w:t>A data cube is a large collection of data that can be organized and modelled so that analysis can be completed in multiple ways.</w:t>
            </w:r>
          </w:p>
        </w:tc>
      </w:tr>
      <w:tr w:rsidR="004C63E0" w:rsidRPr="00AA5A1B" w14:paraId="20417E94"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507A1FA9" w14:textId="77777777" w:rsidR="004C63E0" w:rsidRPr="00AA5A1B" w:rsidRDefault="004C63E0" w:rsidP="006F5124">
            <w:pPr>
              <w:rPr>
                <w:b/>
                <w:bCs/>
              </w:rPr>
            </w:pPr>
            <w:r w:rsidRPr="00AA5A1B">
              <w:rPr>
                <w:b/>
                <w:bCs/>
              </w:rPr>
              <w:t>Diagnosis Related Group (DRG)</w:t>
            </w:r>
          </w:p>
        </w:tc>
        <w:tc>
          <w:tcPr>
            <w:tcW w:w="3674" w:type="pct"/>
          </w:tcPr>
          <w:p w14:paraId="781D89EF" w14:textId="77777777" w:rsidR="004C63E0" w:rsidRPr="00AA5A1B" w:rsidRDefault="004C63E0" w:rsidP="006F5124">
            <w:pPr>
              <w:rPr>
                <w:lang w:val="en-US"/>
              </w:rPr>
            </w:pPr>
            <w:r w:rsidRPr="00AA5A1B">
              <w:rPr>
                <w:lang w:val="en-US"/>
              </w:rPr>
              <w:t>See AR-DRG.</w:t>
            </w:r>
          </w:p>
        </w:tc>
      </w:tr>
      <w:tr w:rsidR="004C63E0" w:rsidRPr="00AA5A1B" w14:paraId="318DE953" w14:textId="77777777" w:rsidTr="006F5124">
        <w:tc>
          <w:tcPr>
            <w:tcW w:w="1326" w:type="pct"/>
          </w:tcPr>
          <w:p w14:paraId="0BA1A4D9" w14:textId="77777777" w:rsidR="004C63E0" w:rsidRPr="00AA5A1B" w:rsidRDefault="004C63E0" w:rsidP="006F5124">
            <w:pPr>
              <w:rPr>
                <w:b/>
                <w:bCs/>
              </w:rPr>
            </w:pPr>
            <w:r w:rsidRPr="00AA5A1B">
              <w:rPr>
                <w:b/>
                <w:bCs/>
              </w:rPr>
              <w:t>Estimated Resident Population (ERP)</w:t>
            </w:r>
          </w:p>
          <w:p w14:paraId="533DCB55" w14:textId="77777777" w:rsidR="004C63E0" w:rsidRPr="00AA5A1B" w:rsidRDefault="004C63E0" w:rsidP="006F5124">
            <w:pPr>
              <w:rPr>
                <w:b/>
                <w:bCs/>
                <w:lang w:val="en-US"/>
              </w:rPr>
            </w:pPr>
          </w:p>
        </w:tc>
        <w:tc>
          <w:tcPr>
            <w:tcW w:w="3674" w:type="pct"/>
          </w:tcPr>
          <w:p w14:paraId="04AE660E" w14:textId="77777777" w:rsidR="004C63E0" w:rsidRPr="00AA5A1B" w:rsidRDefault="004C63E0" w:rsidP="006F5124">
            <w:pPr>
              <w:rPr>
                <w:lang w:val="en-US"/>
              </w:rPr>
            </w:pPr>
            <w:r w:rsidRPr="00AA5A1B">
              <w:rPr>
                <w:lang w:val="en-US"/>
              </w:rPr>
              <w:t>Estimated resident population (ERP) data is an Australian Bureau of Statistics (ABS) data set that contains information about national, state and territory populations.</w:t>
            </w:r>
          </w:p>
        </w:tc>
      </w:tr>
      <w:tr w:rsidR="004C63E0" w:rsidRPr="00AA5A1B" w14:paraId="0F1CB85C"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2C3CDE82" w14:textId="77777777" w:rsidR="004C63E0" w:rsidRPr="00AA5A1B" w:rsidRDefault="004C63E0" w:rsidP="006F5124">
            <w:pPr>
              <w:rPr>
                <w:b/>
                <w:bCs/>
              </w:rPr>
            </w:pPr>
            <w:r w:rsidRPr="00AA5A1B">
              <w:rPr>
                <w:b/>
                <w:bCs/>
              </w:rPr>
              <w:t xml:space="preserve">GEN Aged Care </w:t>
            </w:r>
          </w:p>
        </w:tc>
        <w:tc>
          <w:tcPr>
            <w:tcW w:w="3674" w:type="pct"/>
          </w:tcPr>
          <w:p w14:paraId="3630F466" w14:textId="77777777" w:rsidR="004C63E0" w:rsidRPr="00AA5A1B" w:rsidRDefault="004C63E0" w:rsidP="006F5124">
            <w:pPr>
              <w:rPr>
                <w:lang w:val="en-US"/>
              </w:rPr>
            </w:pPr>
            <w:r w:rsidRPr="00AA5A1B">
              <w:rPr>
                <w:lang w:val="en-US"/>
              </w:rPr>
              <w:t>Gen Aged Care Data is an Australian Institute of Health and Welfare data collection that provides data and information about aged care services in Australia.</w:t>
            </w:r>
          </w:p>
        </w:tc>
      </w:tr>
      <w:tr w:rsidR="004C63E0" w:rsidRPr="00AA5A1B" w14:paraId="480A3EBC" w14:textId="77777777" w:rsidTr="006F5124">
        <w:tc>
          <w:tcPr>
            <w:tcW w:w="1326" w:type="pct"/>
          </w:tcPr>
          <w:p w14:paraId="5BD969F3" w14:textId="77777777" w:rsidR="004C63E0" w:rsidRPr="00AA5A1B" w:rsidRDefault="004C63E0" w:rsidP="006F5124">
            <w:pPr>
              <w:rPr>
                <w:b/>
                <w:bCs/>
              </w:rPr>
            </w:pPr>
            <w:r w:rsidRPr="00AA5A1B">
              <w:rPr>
                <w:b/>
                <w:bCs/>
              </w:rPr>
              <w:t>Hospital Acquired Complication</w:t>
            </w:r>
            <w:r>
              <w:rPr>
                <w:b/>
                <w:bCs/>
              </w:rPr>
              <w:t xml:space="preserve"> (HAC)</w:t>
            </w:r>
          </w:p>
        </w:tc>
        <w:tc>
          <w:tcPr>
            <w:tcW w:w="3674" w:type="pct"/>
          </w:tcPr>
          <w:p w14:paraId="3EC288E3" w14:textId="55053534" w:rsidR="004C63E0" w:rsidRPr="00AA5A1B" w:rsidRDefault="004C63E0" w:rsidP="006F5124">
            <w:pPr>
              <w:rPr>
                <w:lang w:val="en-US"/>
              </w:rPr>
            </w:pPr>
            <w:r w:rsidRPr="00AA5A1B">
              <w:rPr>
                <w:lang w:val="en-US"/>
              </w:rPr>
              <w:t xml:space="preserve">A hospital acquired complication (HACs) </w:t>
            </w:r>
            <w:bookmarkStart w:id="137" w:name="_Hlk193904361"/>
            <w:r w:rsidRPr="00AA5A1B">
              <w:rPr>
                <w:lang w:val="en-US"/>
              </w:rPr>
              <w:t xml:space="preserve">is </w:t>
            </w:r>
            <w:r w:rsidR="00961093" w:rsidRPr="00AA5A1B">
              <w:rPr>
                <w:lang w:val="en-US"/>
              </w:rPr>
              <w:t>a medical</w:t>
            </w:r>
            <w:r w:rsidRPr="00AA5A1B">
              <w:rPr>
                <w:lang w:val="en-US"/>
              </w:rPr>
              <w:t xml:space="preserve"> complication that can happen to patients while they </w:t>
            </w:r>
            <w:r w:rsidR="00961093" w:rsidRPr="00AA5A1B">
              <w:rPr>
                <w:lang w:val="en-US"/>
              </w:rPr>
              <w:t>are in</w:t>
            </w:r>
            <w:r w:rsidRPr="00AA5A1B">
              <w:rPr>
                <w:lang w:val="en-US"/>
              </w:rPr>
              <w:t xml:space="preserve"> hospital that were not present when they were admitted. </w:t>
            </w:r>
            <w:bookmarkEnd w:id="137"/>
          </w:p>
        </w:tc>
      </w:tr>
      <w:tr w:rsidR="004C63E0" w:rsidRPr="00AA5A1B" w14:paraId="127BE6A6"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4C159D12" w14:textId="77777777" w:rsidR="004C63E0" w:rsidRPr="00AA5A1B" w:rsidRDefault="004C63E0" w:rsidP="006F5124">
            <w:pPr>
              <w:rPr>
                <w:b/>
                <w:bCs/>
              </w:rPr>
            </w:pPr>
            <w:r w:rsidRPr="00AA5A1B">
              <w:rPr>
                <w:b/>
                <w:bCs/>
              </w:rPr>
              <w:t>Hospital Acquired Infection (HAI)</w:t>
            </w:r>
          </w:p>
        </w:tc>
        <w:tc>
          <w:tcPr>
            <w:tcW w:w="3674" w:type="pct"/>
          </w:tcPr>
          <w:p w14:paraId="74378F28" w14:textId="77777777" w:rsidR="004C63E0" w:rsidRPr="00AA5A1B" w:rsidRDefault="004C63E0" w:rsidP="006F5124">
            <w:pPr>
              <w:rPr>
                <w:lang w:val="en-US"/>
              </w:rPr>
            </w:pPr>
            <w:r w:rsidRPr="00AA5A1B">
              <w:rPr>
                <w:lang w:val="en-US"/>
              </w:rPr>
              <w:t>A hospital acquired infection (HAI) is an infection that develops while a person is in hospital. It is a type of HAC.</w:t>
            </w:r>
          </w:p>
        </w:tc>
      </w:tr>
      <w:tr w:rsidR="004C63E0" w:rsidRPr="00AA5A1B" w14:paraId="1B8FE028" w14:textId="77777777" w:rsidTr="006F5124">
        <w:tc>
          <w:tcPr>
            <w:tcW w:w="1326" w:type="pct"/>
          </w:tcPr>
          <w:p w14:paraId="364C1E2F" w14:textId="77777777" w:rsidR="004C63E0" w:rsidRPr="00AA5A1B" w:rsidRDefault="004C63E0" w:rsidP="006F5124">
            <w:r w:rsidRPr="00AA5A1B">
              <w:rPr>
                <w:b/>
                <w:bCs/>
                <w:lang w:val="en-US"/>
              </w:rPr>
              <w:t>ICD-10AM</w:t>
            </w:r>
          </w:p>
        </w:tc>
        <w:tc>
          <w:tcPr>
            <w:tcW w:w="3674" w:type="pct"/>
          </w:tcPr>
          <w:p w14:paraId="212ECD8A" w14:textId="77777777" w:rsidR="004C63E0" w:rsidRPr="00AA5A1B" w:rsidRDefault="004C63E0" w:rsidP="006F5124">
            <w:pPr>
              <w:rPr>
                <w:b/>
                <w:bCs/>
                <w:lang w:val="en-US"/>
              </w:rPr>
            </w:pPr>
            <w:r w:rsidRPr="00AA5A1B">
              <w:rPr>
                <w:lang w:val="en-US"/>
              </w:rPr>
              <w:t>International Statistical Classification of Diseases and related Health Problems (ICD-10AM</w:t>
            </w:r>
            <w:r w:rsidRPr="00AA5A1B">
              <w:rPr>
                <w:b/>
                <w:bCs/>
                <w:lang w:val="en-US"/>
              </w:rPr>
              <w:t xml:space="preserve">) </w:t>
            </w:r>
            <w:r w:rsidRPr="00AA5A1B">
              <w:t>is an alphabetic index used to classify diseases, injuries and health related problems.</w:t>
            </w:r>
          </w:p>
        </w:tc>
      </w:tr>
      <w:tr w:rsidR="004C63E0" w:rsidRPr="00AA5A1B" w14:paraId="35698FBA"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79971AC5" w14:textId="77777777" w:rsidR="004C63E0" w:rsidRPr="00AA5A1B" w:rsidRDefault="004C63E0" w:rsidP="006F5124">
            <w:pPr>
              <w:rPr>
                <w:b/>
                <w:bCs/>
              </w:rPr>
            </w:pPr>
            <w:r w:rsidRPr="00AA5A1B">
              <w:rPr>
                <w:b/>
                <w:bCs/>
              </w:rPr>
              <w:t>Intensive Care Unit (ICU)</w:t>
            </w:r>
          </w:p>
        </w:tc>
        <w:tc>
          <w:tcPr>
            <w:tcW w:w="3674" w:type="pct"/>
          </w:tcPr>
          <w:p w14:paraId="34EAF945" w14:textId="77777777" w:rsidR="004C63E0" w:rsidRPr="00AA5A1B" w:rsidRDefault="004C63E0" w:rsidP="006F5124">
            <w:pPr>
              <w:keepNext/>
              <w:spacing w:before="0" w:after="0"/>
              <w:rPr>
                <w:rFonts w:ascii="Arial" w:hAnsi="Arial" w:cs="Arial"/>
              </w:rPr>
            </w:pPr>
            <w:r w:rsidRPr="00AA5A1B">
              <w:rPr>
                <w:rFonts w:ascii="Arial" w:hAnsi="Arial" w:cs="Arial"/>
              </w:rPr>
              <w:t>An intensive care unit (ICU) provides critical care and life support to people who are acutely ill or serious injured.</w:t>
            </w:r>
          </w:p>
        </w:tc>
      </w:tr>
      <w:tr w:rsidR="004C63E0" w:rsidRPr="00AA5A1B" w14:paraId="045C13E3" w14:textId="77777777" w:rsidTr="006F5124">
        <w:trPr>
          <w:trHeight w:val="850"/>
        </w:trPr>
        <w:tc>
          <w:tcPr>
            <w:tcW w:w="1326" w:type="pct"/>
          </w:tcPr>
          <w:p w14:paraId="2DBBAD3C" w14:textId="77777777" w:rsidR="004C63E0" w:rsidRPr="00AA5A1B" w:rsidRDefault="004C63E0" w:rsidP="006F5124">
            <w:pPr>
              <w:rPr>
                <w:b/>
                <w:bCs/>
              </w:rPr>
            </w:pPr>
            <w:r w:rsidRPr="00AA5A1B">
              <w:rPr>
                <w:b/>
                <w:bCs/>
              </w:rPr>
              <w:t>Index of Relative Socio-economic Disadvantage (ISRD)</w:t>
            </w:r>
          </w:p>
          <w:p w14:paraId="13F1A866" w14:textId="77777777" w:rsidR="004C63E0" w:rsidRPr="00AA5A1B" w:rsidRDefault="004C63E0" w:rsidP="006F5124"/>
        </w:tc>
        <w:tc>
          <w:tcPr>
            <w:tcW w:w="3674" w:type="pct"/>
          </w:tcPr>
          <w:p w14:paraId="38D5FD1D" w14:textId="77777777" w:rsidR="004C63E0" w:rsidRPr="00AA5A1B" w:rsidRDefault="004C63E0" w:rsidP="006F5124">
            <w:pPr>
              <w:keepNext/>
              <w:spacing w:before="0" w:after="0"/>
              <w:rPr>
                <w:rFonts w:ascii="Arial" w:hAnsi="Arial" w:cs="Arial"/>
              </w:rPr>
            </w:pPr>
            <w:r w:rsidRPr="00AA5A1B">
              <w:rPr>
                <w:rFonts w:ascii="Arial" w:hAnsi="Arial" w:cs="Arial"/>
              </w:rPr>
              <w:t>The Index of relative socio-economic disadvantage (ISRD) is an Australian Bureau of Statistics data collection about the economic and social conditions of people and households in Australia. A low score indicated relatively greater disadvantage.</w:t>
            </w:r>
          </w:p>
        </w:tc>
      </w:tr>
      <w:tr w:rsidR="004C63E0" w:rsidRPr="00AA5A1B" w14:paraId="27AD7033" w14:textId="77777777" w:rsidTr="006F5124">
        <w:trPr>
          <w:cnfStyle w:val="000000010000" w:firstRow="0" w:lastRow="0" w:firstColumn="0" w:lastColumn="0" w:oddVBand="0" w:evenVBand="0" w:oddHBand="0" w:evenHBand="1" w:firstRowFirstColumn="0" w:firstRowLastColumn="0" w:lastRowFirstColumn="0" w:lastRowLastColumn="0"/>
        </w:trPr>
        <w:tc>
          <w:tcPr>
            <w:tcW w:w="1326" w:type="pct"/>
          </w:tcPr>
          <w:p w14:paraId="5B73907A" w14:textId="77777777" w:rsidR="004C63E0" w:rsidRPr="00AA5A1B" w:rsidRDefault="004C63E0" w:rsidP="006F5124">
            <w:pPr>
              <w:rPr>
                <w:b/>
                <w:bCs/>
              </w:rPr>
            </w:pPr>
            <w:r w:rsidRPr="00AA5A1B">
              <w:rPr>
                <w:b/>
                <w:bCs/>
              </w:rPr>
              <w:t>Median</w:t>
            </w:r>
          </w:p>
        </w:tc>
        <w:tc>
          <w:tcPr>
            <w:tcW w:w="3674" w:type="pct"/>
          </w:tcPr>
          <w:p w14:paraId="7B7A8E2E" w14:textId="77777777" w:rsidR="004C63E0" w:rsidRPr="00AA5A1B" w:rsidRDefault="004C63E0" w:rsidP="006F5124">
            <w:pPr>
              <w:keepNext/>
              <w:spacing w:before="0" w:after="0"/>
              <w:rPr>
                <w:rFonts w:ascii="Arial" w:hAnsi="Arial" w:cs="Arial"/>
              </w:rPr>
            </w:pPr>
            <w:r w:rsidRPr="00AA5A1B">
              <w:rPr>
                <w:rFonts w:ascii="Arial" w:hAnsi="Arial" w:cs="Arial"/>
              </w:rPr>
              <w:t>The median is the middle number in a sorted list of numbers.</w:t>
            </w:r>
          </w:p>
        </w:tc>
      </w:tr>
      <w:tr w:rsidR="004C63E0" w:rsidRPr="00AA5A1B" w14:paraId="13D4A52E" w14:textId="77777777" w:rsidTr="006F5124">
        <w:trPr>
          <w:trHeight w:val="850"/>
        </w:trPr>
        <w:tc>
          <w:tcPr>
            <w:tcW w:w="1326" w:type="pct"/>
          </w:tcPr>
          <w:p w14:paraId="43B6272C" w14:textId="77777777" w:rsidR="004C63E0" w:rsidRPr="00AA5A1B" w:rsidRDefault="004C63E0" w:rsidP="006F5124">
            <w:pPr>
              <w:rPr>
                <w:rFonts w:cstheme="minorHAnsi"/>
                <w:b/>
                <w:bCs/>
              </w:rPr>
            </w:pPr>
            <w:r w:rsidRPr="00AA5A1B">
              <w:rPr>
                <w:b/>
                <w:bCs/>
              </w:rPr>
              <w:lastRenderedPageBreak/>
              <w:t>National Minimum Data Set</w:t>
            </w:r>
          </w:p>
        </w:tc>
        <w:tc>
          <w:tcPr>
            <w:tcW w:w="3674" w:type="pct"/>
          </w:tcPr>
          <w:p w14:paraId="3E09AA3C" w14:textId="77777777" w:rsidR="004C63E0" w:rsidRPr="00AA5A1B" w:rsidRDefault="004C63E0" w:rsidP="006F5124">
            <w:pPr>
              <w:keepNext/>
              <w:spacing w:before="0" w:after="0"/>
              <w:rPr>
                <w:rFonts w:ascii="Arial" w:hAnsi="Arial" w:cs="Arial"/>
              </w:rPr>
            </w:pPr>
            <w:r w:rsidRPr="00AA5A1B">
              <w:rPr>
                <w:lang w:val="en-US"/>
              </w:rPr>
              <w:t>A National Minimum Data Set (NMDS) is a core set of data elements agreed by the National Health Information Management Group for mandatory collection and reporting at a national level.</w:t>
            </w:r>
          </w:p>
        </w:tc>
      </w:tr>
      <w:tr w:rsidR="004C63E0" w:rsidRPr="00AA5A1B" w14:paraId="2557E09A" w14:textId="77777777" w:rsidTr="006F5124">
        <w:trPr>
          <w:cnfStyle w:val="000000010000" w:firstRow="0" w:lastRow="0" w:firstColumn="0" w:lastColumn="0" w:oddVBand="0" w:evenVBand="0" w:oddHBand="0" w:evenHBand="1" w:firstRowFirstColumn="0" w:firstRowLastColumn="0" w:lastRowFirstColumn="0" w:lastRowLastColumn="0"/>
          <w:trHeight w:val="1361"/>
        </w:trPr>
        <w:tc>
          <w:tcPr>
            <w:tcW w:w="1326" w:type="pct"/>
          </w:tcPr>
          <w:p w14:paraId="5FD17FF8" w14:textId="77777777" w:rsidR="004C63E0" w:rsidRPr="00AA5A1B" w:rsidRDefault="004C63E0" w:rsidP="006F5124">
            <w:pPr>
              <w:rPr>
                <w:b/>
                <w:bCs/>
              </w:rPr>
            </w:pPr>
            <w:r w:rsidRPr="00AA5A1B">
              <w:rPr>
                <w:rFonts w:cstheme="minorHAnsi"/>
                <w:b/>
                <w:bCs/>
              </w:rPr>
              <w:t>National Safety and Quality Health Service (NSQHS) Standards</w:t>
            </w:r>
          </w:p>
        </w:tc>
        <w:tc>
          <w:tcPr>
            <w:tcW w:w="3674" w:type="pct"/>
          </w:tcPr>
          <w:p w14:paraId="03273805" w14:textId="77777777" w:rsidR="004C63E0" w:rsidRPr="00AA5A1B" w:rsidRDefault="004C63E0" w:rsidP="006F5124">
            <w:pPr>
              <w:keepNext/>
              <w:spacing w:before="0" w:after="0"/>
              <w:rPr>
                <w:rFonts w:ascii="Arial" w:hAnsi="Arial" w:cs="Arial"/>
              </w:rPr>
            </w:pPr>
            <w:r w:rsidRPr="00AA5A1B">
              <w:rPr>
                <w:rFonts w:ascii="Arial" w:hAnsi="Arial" w:cs="Arial"/>
              </w:rPr>
              <w:t>The National Safety and Quality Health Service Standards (NSQHS Standards) are statements developed by the Australian Commission on Safety and Quality in Health Care (ACSQHC) that describe the standard of care that should be delivered across Australian health services.</w:t>
            </w:r>
          </w:p>
          <w:p w14:paraId="129CD303" w14:textId="77777777" w:rsidR="004C63E0" w:rsidRPr="00AA5A1B" w:rsidRDefault="004C63E0" w:rsidP="006F5124">
            <w:pPr>
              <w:keepNext/>
              <w:spacing w:before="0" w:after="0"/>
              <w:rPr>
                <w:rFonts w:ascii="Arial" w:hAnsi="Arial" w:cs="Arial"/>
              </w:rPr>
            </w:pPr>
            <w:r w:rsidRPr="00AA5A1B">
              <w:rPr>
                <w:rFonts w:ascii="Arial" w:hAnsi="Arial" w:cs="Arial"/>
              </w:rPr>
              <w:t xml:space="preserve">There are currently eight standards. </w:t>
            </w:r>
          </w:p>
        </w:tc>
      </w:tr>
      <w:tr w:rsidR="004C63E0" w:rsidRPr="00AA5A1B" w14:paraId="6829175E" w14:textId="77777777" w:rsidTr="006F5124">
        <w:tc>
          <w:tcPr>
            <w:tcW w:w="1326" w:type="pct"/>
          </w:tcPr>
          <w:p w14:paraId="37503B81" w14:textId="77777777" w:rsidR="004C63E0" w:rsidRPr="00AA5A1B" w:rsidRDefault="004C63E0" w:rsidP="006F5124">
            <w:pPr>
              <w:rPr>
                <w:b/>
                <w:bCs/>
              </w:rPr>
            </w:pPr>
            <w:r w:rsidRPr="00AA5A1B">
              <w:rPr>
                <w:b/>
                <w:bCs/>
              </w:rPr>
              <w:t>National Weighted Activity Unit</w:t>
            </w:r>
          </w:p>
        </w:tc>
        <w:tc>
          <w:tcPr>
            <w:tcW w:w="3674" w:type="pct"/>
          </w:tcPr>
          <w:p w14:paraId="1C078940" w14:textId="77777777" w:rsidR="004C63E0" w:rsidRPr="00AA5A1B" w:rsidRDefault="004C63E0" w:rsidP="006F5124">
            <w:pPr>
              <w:keepNext/>
              <w:spacing w:before="0" w:after="0"/>
              <w:rPr>
                <w:rFonts w:ascii="Arial" w:hAnsi="Arial" w:cs="Arial"/>
              </w:rPr>
            </w:pPr>
            <w:r w:rsidRPr="00AA5A1B">
              <w:rPr>
                <w:rFonts w:ascii="Arial" w:hAnsi="Arial" w:cs="Arial"/>
              </w:rPr>
              <w:t>The national weighted activity unit (NWAU) is a unit cost set for episodes of specific health service activity.</w:t>
            </w:r>
          </w:p>
        </w:tc>
      </w:tr>
      <w:tr w:rsidR="004C63E0" w:rsidRPr="00AA5A1B" w14:paraId="1783CB31" w14:textId="77777777" w:rsidTr="006F5124">
        <w:trPr>
          <w:cnfStyle w:val="000000010000" w:firstRow="0" w:lastRow="0" w:firstColumn="0" w:lastColumn="0" w:oddVBand="0" w:evenVBand="0" w:oddHBand="0" w:evenHBand="1" w:firstRowFirstColumn="0" w:firstRowLastColumn="0" w:lastRowFirstColumn="0" w:lastRowLastColumn="0"/>
          <w:trHeight w:val="1077"/>
        </w:trPr>
        <w:tc>
          <w:tcPr>
            <w:tcW w:w="1326" w:type="pct"/>
          </w:tcPr>
          <w:p w14:paraId="0B72570E" w14:textId="77777777" w:rsidR="004C63E0" w:rsidRPr="00AA5A1B" w:rsidRDefault="004C63E0" w:rsidP="006F5124">
            <w:pPr>
              <w:rPr>
                <w:b/>
                <w:bCs/>
              </w:rPr>
            </w:pPr>
            <w:r w:rsidRPr="00AA5A1B">
              <w:rPr>
                <w:b/>
                <w:bCs/>
              </w:rPr>
              <w:t>National Efficient Price</w:t>
            </w:r>
          </w:p>
          <w:p w14:paraId="3C8268C3" w14:textId="77777777" w:rsidR="004C63E0" w:rsidRPr="00AA5A1B" w:rsidRDefault="004C63E0" w:rsidP="006F5124"/>
        </w:tc>
        <w:tc>
          <w:tcPr>
            <w:tcW w:w="3674" w:type="pct"/>
          </w:tcPr>
          <w:p w14:paraId="71F9CEEA" w14:textId="77777777" w:rsidR="004C63E0" w:rsidRPr="00AA5A1B" w:rsidRDefault="004C63E0" w:rsidP="006F5124">
            <w:pPr>
              <w:keepNext/>
              <w:spacing w:before="0" w:after="0"/>
              <w:rPr>
                <w:rFonts w:ascii="Arial" w:hAnsi="Arial" w:cs="Arial"/>
              </w:rPr>
            </w:pPr>
            <w:r w:rsidRPr="00AA5A1B">
              <w:rPr>
                <w:rFonts w:ascii="Arial" w:hAnsi="Arial" w:cs="Arial"/>
              </w:rPr>
              <w:t>The National Efficient Price (NEP) is a price signal or benchmark about the efficient cost of public hospital service delivery. It is published annually by the Independent Health and Aged Care Pricing Authority (IHAPCA).</w:t>
            </w:r>
          </w:p>
        </w:tc>
      </w:tr>
      <w:tr w:rsidR="004C63E0" w:rsidRPr="00AA5A1B" w14:paraId="0EAE2DB7" w14:textId="77777777" w:rsidTr="006F5124">
        <w:trPr>
          <w:trHeight w:val="680"/>
        </w:trPr>
        <w:tc>
          <w:tcPr>
            <w:tcW w:w="1326" w:type="pct"/>
          </w:tcPr>
          <w:p w14:paraId="3616C4BC" w14:textId="77777777" w:rsidR="004C63E0" w:rsidRPr="00AA5A1B" w:rsidRDefault="004C63E0" w:rsidP="006F5124">
            <w:pPr>
              <w:rPr>
                <w:b/>
                <w:bCs/>
              </w:rPr>
            </w:pPr>
            <w:r w:rsidRPr="00AA5A1B">
              <w:rPr>
                <w:b/>
                <w:bCs/>
              </w:rPr>
              <w:t>Organ decompensation</w:t>
            </w:r>
          </w:p>
        </w:tc>
        <w:tc>
          <w:tcPr>
            <w:tcW w:w="3674" w:type="pct"/>
          </w:tcPr>
          <w:p w14:paraId="22862109" w14:textId="77777777" w:rsidR="004C63E0" w:rsidRPr="00AA5A1B" w:rsidRDefault="004C63E0" w:rsidP="006F5124">
            <w:pPr>
              <w:keepNext/>
              <w:spacing w:before="0" w:after="0"/>
              <w:rPr>
                <w:rFonts w:ascii="Arial" w:hAnsi="Arial" w:cs="Arial"/>
              </w:rPr>
            </w:pPr>
            <w:r w:rsidRPr="00AA5A1B">
              <w:rPr>
                <w:rFonts w:ascii="Arial" w:hAnsi="Arial" w:cs="Arial"/>
              </w:rPr>
              <w:t>Organ decompensation is the term used when organs begin to fail or breakdown due to stress, fatigue or illness.</w:t>
            </w:r>
          </w:p>
        </w:tc>
      </w:tr>
      <w:tr w:rsidR="004C63E0" w:rsidRPr="00AA5A1B" w14:paraId="42B405A9" w14:textId="77777777" w:rsidTr="006F5124">
        <w:trPr>
          <w:cnfStyle w:val="000000010000" w:firstRow="0" w:lastRow="0" w:firstColumn="0" w:lastColumn="0" w:oddVBand="0" w:evenVBand="0" w:oddHBand="0" w:evenHBand="1" w:firstRowFirstColumn="0" w:firstRowLastColumn="0" w:lastRowFirstColumn="0" w:lastRowLastColumn="0"/>
          <w:trHeight w:val="624"/>
        </w:trPr>
        <w:tc>
          <w:tcPr>
            <w:tcW w:w="1326" w:type="pct"/>
          </w:tcPr>
          <w:p w14:paraId="4B1C77FB" w14:textId="77777777" w:rsidR="004C63E0" w:rsidRPr="00AA5A1B" w:rsidRDefault="004C63E0" w:rsidP="006F5124">
            <w:pPr>
              <w:rPr>
                <w:b/>
                <w:bCs/>
              </w:rPr>
            </w:pPr>
            <w:r w:rsidRPr="00AA5A1B">
              <w:rPr>
                <w:b/>
                <w:bCs/>
              </w:rPr>
              <w:t>Principal diagnosis</w:t>
            </w:r>
          </w:p>
        </w:tc>
        <w:tc>
          <w:tcPr>
            <w:tcW w:w="3674" w:type="pct"/>
          </w:tcPr>
          <w:p w14:paraId="1E33C25C" w14:textId="77777777" w:rsidR="004C63E0" w:rsidRPr="00AA5A1B" w:rsidRDefault="004C63E0" w:rsidP="006F5124">
            <w:pPr>
              <w:keepNext/>
              <w:spacing w:before="0" w:after="0"/>
              <w:rPr>
                <w:rFonts w:ascii="Arial" w:hAnsi="Arial" w:cs="Arial"/>
              </w:rPr>
            </w:pPr>
            <w:r w:rsidRPr="00AA5A1B">
              <w:rPr>
                <w:rFonts w:ascii="Arial" w:hAnsi="Arial" w:cs="Arial"/>
              </w:rPr>
              <w:t>The principal diagnosis is the main illness/concern documented following assessment of a patient in an emergency department.</w:t>
            </w:r>
          </w:p>
        </w:tc>
      </w:tr>
      <w:tr w:rsidR="004C63E0" w:rsidRPr="00AA5A1B" w14:paraId="0DE0760A" w14:textId="77777777" w:rsidTr="006F5124">
        <w:trPr>
          <w:trHeight w:val="680"/>
        </w:trPr>
        <w:tc>
          <w:tcPr>
            <w:tcW w:w="1326" w:type="pct"/>
          </w:tcPr>
          <w:p w14:paraId="0F49EDC1" w14:textId="77777777" w:rsidR="004C63E0" w:rsidRPr="00AA5A1B" w:rsidRDefault="004C63E0" w:rsidP="006F5124">
            <w:pPr>
              <w:rPr>
                <w:b/>
                <w:bCs/>
              </w:rPr>
            </w:pPr>
            <w:r w:rsidRPr="00AA5A1B">
              <w:rPr>
                <w:b/>
                <w:bCs/>
              </w:rPr>
              <w:t>Secondary diagnosis</w:t>
            </w:r>
          </w:p>
        </w:tc>
        <w:tc>
          <w:tcPr>
            <w:tcW w:w="3674" w:type="pct"/>
          </w:tcPr>
          <w:p w14:paraId="2232B1EC" w14:textId="77777777" w:rsidR="004C63E0" w:rsidRPr="00AA5A1B" w:rsidRDefault="004C63E0" w:rsidP="006F5124">
            <w:pPr>
              <w:keepNext/>
              <w:spacing w:before="0" w:after="0"/>
              <w:rPr>
                <w:rFonts w:ascii="Arial" w:hAnsi="Arial" w:cs="Arial"/>
              </w:rPr>
            </w:pPr>
            <w:r w:rsidRPr="00AA5A1B">
              <w:rPr>
                <w:rFonts w:ascii="Arial" w:hAnsi="Arial" w:cs="Arial"/>
              </w:rPr>
              <w:t>A secondary diagnosis is any condition that a patient has in addition to the principal diagnosis.</w:t>
            </w:r>
          </w:p>
        </w:tc>
      </w:tr>
      <w:tr w:rsidR="004C63E0" w:rsidRPr="00AA5A1B" w14:paraId="2C76E336" w14:textId="77777777" w:rsidTr="006F5124">
        <w:trPr>
          <w:cnfStyle w:val="000000010000" w:firstRow="0" w:lastRow="0" w:firstColumn="0" w:lastColumn="0" w:oddVBand="0" w:evenVBand="0" w:oddHBand="0" w:evenHBand="1" w:firstRowFirstColumn="0" w:firstRowLastColumn="0" w:lastRowFirstColumn="0" w:lastRowLastColumn="0"/>
          <w:trHeight w:val="1134"/>
        </w:trPr>
        <w:tc>
          <w:tcPr>
            <w:tcW w:w="1326" w:type="pct"/>
          </w:tcPr>
          <w:p w14:paraId="771D2629" w14:textId="77777777" w:rsidR="004C63E0" w:rsidRPr="00AA5A1B" w:rsidRDefault="004C63E0" w:rsidP="006F5124">
            <w:pPr>
              <w:rPr>
                <w:b/>
                <w:bCs/>
              </w:rPr>
            </w:pPr>
            <w:r w:rsidRPr="00AA5A1B">
              <w:rPr>
                <w:b/>
                <w:bCs/>
                <w:lang w:val="en-US"/>
              </w:rPr>
              <w:t>Separation</w:t>
            </w:r>
          </w:p>
        </w:tc>
        <w:tc>
          <w:tcPr>
            <w:tcW w:w="3674" w:type="pct"/>
          </w:tcPr>
          <w:p w14:paraId="344DEC81" w14:textId="77777777" w:rsidR="004C63E0" w:rsidRPr="00AA5A1B" w:rsidRDefault="004C63E0" w:rsidP="006F5124">
            <w:pPr>
              <w:keepNext/>
              <w:spacing w:before="0" w:after="0"/>
              <w:rPr>
                <w:rFonts w:ascii="Arial" w:hAnsi="Arial" w:cs="Arial"/>
              </w:rPr>
            </w:pPr>
            <w:r w:rsidRPr="00AA5A1B">
              <w:rPr>
                <w:rFonts w:ascii="Arial" w:hAnsi="Arial" w:cs="Arial"/>
              </w:rPr>
              <w:t>A separation is the term used to describe an episode of admitted patient care, which can be a total hospital stay (from admission to discharge, transfer or death), or a portion of a hospital stay beginning or ending in a change in type of care (for example, from acute care to rehabilitation).</w:t>
            </w:r>
          </w:p>
        </w:tc>
      </w:tr>
    </w:tbl>
    <w:p w14:paraId="67F759FE" w14:textId="77777777" w:rsidR="004C63E0" w:rsidRPr="00AA5A1B" w:rsidRDefault="004C63E0" w:rsidP="004C63E0"/>
    <w:p w14:paraId="6D28DDFC" w14:textId="77777777" w:rsidR="001F1F64" w:rsidRDefault="001F1F64"/>
    <w:p w14:paraId="1872B4A8" w14:textId="77777777" w:rsidR="00B83C76" w:rsidRDefault="00B83C76"/>
    <w:p w14:paraId="43BA0509" w14:textId="77777777" w:rsidR="00B83C76" w:rsidRDefault="00B83C76"/>
    <w:p w14:paraId="4AFD1BA6" w14:textId="77777777" w:rsidR="00B83C76" w:rsidRDefault="00B83C76"/>
    <w:p w14:paraId="77537C59" w14:textId="77777777" w:rsidR="00B83C76" w:rsidRDefault="00B83C76"/>
    <w:p w14:paraId="31670C59" w14:textId="77777777" w:rsidR="00B83C76" w:rsidRDefault="00B83C76"/>
    <w:p w14:paraId="274D733D" w14:textId="77777777" w:rsidR="00B83C76" w:rsidRDefault="00B83C76"/>
    <w:p w14:paraId="083E732C" w14:textId="77777777" w:rsidR="00B83C76" w:rsidRDefault="00B83C76"/>
    <w:p w14:paraId="30C19890" w14:textId="77777777" w:rsidR="00B83C76" w:rsidRDefault="00B83C76"/>
    <w:p w14:paraId="30745417" w14:textId="77777777" w:rsidR="00B83C76" w:rsidRDefault="00B83C76"/>
    <w:p w14:paraId="73E7083D" w14:textId="77777777" w:rsidR="00B83C76" w:rsidRDefault="00B83C76"/>
    <w:p w14:paraId="44A2DF58" w14:textId="77777777" w:rsidR="00B83C76" w:rsidRDefault="00B83C76"/>
    <w:p w14:paraId="529B33EF" w14:textId="77777777" w:rsidR="00B83C76" w:rsidRDefault="00B83C76"/>
    <w:p w14:paraId="30F42B0E" w14:textId="77777777" w:rsidR="00B83C76" w:rsidRDefault="00B83C76"/>
    <w:p w14:paraId="6CDFE6B8" w14:textId="77777777" w:rsidR="00B83C76" w:rsidRDefault="00B83C76"/>
    <w:p w14:paraId="605D24EF" w14:textId="77777777" w:rsidR="00B83C76" w:rsidRDefault="00B83C76"/>
    <w:p w14:paraId="7FB0DB50" w14:textId="77777777" w:rsidR="00B83C76" w:rsidRDefault="00B83C76"/>
    <w:p w14:paraId="725D8358" w14:textId="77777777" w:rsidR="00B83C76" w:rsidRPr="00A422D3" w:rsidRDefault="00B83C76" w:rsidP="007C0EA9">
      <w:pPr>
        <w:pStyle w:val="Heading2"/>
      </w:pPr>
      <w:bookmarkStart w:id="138" w:name="_Toc187133230"/>
      <w:bookmarkStart w:id="139" w:name="_Toc187313310"/>
      <w:bookmarkStart w:id="140" w:name="_Toc203549640"/>
      <w:bookmarkStart w:id="141" w:name="_Toc206495303"/>
      <w:r w:rsidRPr="00A422D3">
        <w:lastRenderedPageBreak/>
        <w:t>References</w:t>
      </w:r>
      <w:bookmarkEnd w:id="138"/>
      <w:bookmarkEnd w:id="139"/>
      <w:bookmarkEnd w:id="140"/>
      <w:bookmarkEnd w:id="141"/>
    </w:p>
    <w:p w14:paraId="0884BB7C" w14:textId="77777777" w:rsidR="00B83C76" w:rsidRPr="00A422D3" w:rsidRDefault="00B83C76" w:rsidP="00B83C76">
      <w:pPr>
        <w:spacing w:after="0"/>
        <w:rPr>
          <w:rFonts w:ascii="Arial" w:hAnsi="Arial"/>
          <w:sz w:val="20"/>
          <w:szCs w:val="20"/>
        </w:rPr>
      </w:pPr>
      <w:r w:rsidRPr="009B06AD">
        <w:rPr>
          <w:rFonts w:ascii="Arial" w:hAnsi="Arial"/>
          <w:sz w:val="20"/>
          <w:szCs w:val="20"/>
          <w:lang w:val="en-GB"/>
        </w:rPr>
        <w:footnoteRef/>
      </w:r>
      <w:r w:rsidRPr="00A422D3">
        <w:rPr>
          <w:rFonts w:ascii="Arial" w:hAnsi="Arial"/>
          <w:sz w:val="20"/>
          <w:szCs w:val="20"/>
          <w:lang w:val="en-GB"/>
        </w:rPr>
        <w:t xml:space="preserve"> </w:t>
      </w:r>
      <w:r w:rsidRPr="00A422D3">
        <w:rPr>
          <w:rFonts w:ascii="Arial" w:hAnsi="Arial"/>
          <w:sz w:val="20"/>
          <w:szCs w:val="20"/>
        </w:rPr>
        <w:t>The George Institute for Global Health (2021</w:t>
      </w:r>
      <w:r w:rsidRPr="00A422D3">
        <w:rPr>
          <w:rFonts w:ascii="Arial" w:hAnsi="Arial"/>
          <w:i/>
          <w:iCs/>
          <w:sz w:val="20"/>
          <w:szCs w:val="20"/>
        </w:rPr>
        <w:t>) Cost of sepsis in Australia</w:t>
      </w:r>
      <w:r w:rsidRPr="00A422D3">
        <w:rPr>
          <w:rFonts w:ascii="Arial" w:hAnsi="Arial"/>
          <w:sz w:val="20"/>
          <w:szCs w:val="20"/>
        </w:rPr>
        <w:t xml:space="preserve">, </w:t>
      </w:r>
      <w:hyperlink r:id="rId40" w:history="1">
        <w:r w:rsidRPr="00430567">
          <w:rPr>
            <w:rStyle w:val="Hyperlink"/>
          </w:rPr>
          <w:t>http://www.georgeinstitute.org/sites/default/files/cost-of-sepsis-in-australian-report.pdf</w:t>
        </w:r>
      </w:hyperlink>
    </w:p>
    <w:p w14:paraId="671948E7" w14:textId="77777777" w:rsidR="00B83C76" w:rsidRPr="00A422D3" w:rsidRDefault="00B83C76" w:rsidP="00B83C76">
      <w:pPr>
        <w:spacing w:after="0"/>
        <w:rPr>
          <w:rFonts w:ascii="Arial" w:hAnsi="Arial"/>
          <w:sz w:val="20"/>
          <w:szCs w:val="20"/>
        </w:rPr>
      </w:pPr>
      <w:r w:rsidRPr="009B06AD">
        <w:rPr>
          <w:rFonts w:ascii="Arial" w:hAnsi="Arial"/>
          <w:sz w:val="20"/>
          <w:szCs w:val="20"/>
          <w:lang w:val="en-GB"/>
        </w:rPr>
        <w:t xml:space="preserve">2 </w:t>
      </w:r>
      <w:r w:rsidRPr="00A422D3">
        <w:rPr>
          <w:rFonts w:ascii="Arial" w:hAnsi="Arial"/>
          <w:sz w:val="20"/>
          <w:szCs w:val="20"/>
        </w:rPr>
        <w:t xml:space="preserve">The George Institute for Global Health (2017), Stopping Sepsis: A National Actions Plan, </w:t>
      </w:r>
      <w:hyperlink r:id="rId41" w:history="1">
        <w:r w:rsidRPr="00430567">
          <w:rPr>
            <w:rStyle w:val="Hyperlink"/>
          </w:rPr>
          <w:t>https://www.georgeinstitute.org.au/sites/default/files/documents/stopping-sepsis-national-action-plan.pdf</w:t>
        </w:r>
      </w:hyperlink>
    </w:p>
    <w:p w14:paraId="500EC359" w14:textId="77777777" w:rsidR="00B83C76" w:rsidRPr="00A422D3" w:rsidRDefault="00B83C76" w:rsidP="00B83C76">
      <w:pPr>
        <w:spacing w:after="0"/>
        <w:rPr>
          <w:rFonts w:ascii="Arial" w:hAnsi="Arial"/>
          <w:sz w:val="20"/>
          <w:szCs w:val="20"/>
          <w:lang w:val="en-GB"/>
        </w:rPr>
      </w:pPr>
      <w:r w:rsidRPr="009B06AD">
        <w:rPr>
          <w:rFonts w:ascii="Arial" w:hAnsi="Arial"/>
          <w:sz w:val="20"/>
          <w:szCs w:val="20"/>
          <w:lang w:val="en-GB"/>
        </w:rPr>
        <w:t>3</w:t>
      </w:r>
      <w:r w:rsidRPr="00A422D3">
        <w:rPr>
          <w:rFonts w:ascii="Arial" w:hAnsi="Arial"/>
          <w:sz w:val="20"/>
          <w:szCs w:val="20"/>
          <w:lang w:val="en-GB"/>
        </w:rPr>
        <w:t xml:space="preserve"> </w:t>
      </w:r>
      <w:hyperlink r:id="rId42" w:history="1">
        <w:r w:rsidRPr="00430567">
          <w:rPr>
            <w:rStyle w:val="Hyperlink"/>
          </w:rPr>
          <w:t>https://www.ihacpa.gov.au/health-care/classification/admitted-acute-care/ar-drgs</w:t>
        </w:r>
      </w:hyperlink>
      <w:r w:rsidRPr="00A422D3">
        <w:rPr>
          <w:rFonts w:ascii="Arial" w:hAnsi="Arial"/>
          <w:sz w:val="20"/>
          <w:szCs w:val="20"/>
          <w:lang w:val="en-GB"/>
        </w:rPr>
        <w:t xml:space="preserve"> , accessed Oct 2024</w:t>
      </w:r>
      <w:r>
        <w:rPr>
          <w:rFonts w:ascii="Arial" w:hAnsi="Arial"/>
          <w:sz w:val="20"/>
          <w:szCs w:val="20"/>
          <w:lang w:val="en-GB"/>
        </w:rPr>
        <w:t>.</w:t>
      </w:r>
    </w:p>
    <w:p w14:paraId="616909B8" w14:textId="77777777" w:rsidR="00B83C76" w:rsidRPr="00A422D3" w:rsidRDefault="00B83C76" w:rsidP="00B83C76">
      <w:pPr>
        <w:spacing w:after="0"/>
        <w:rPr>
          <w:rFonts w:ascii="Arial" w:hAnsi="Arial"/>
          <w:sz w:val="20"/>
          <w:szCs w:val="20"/>
          <w:lang w:val="en-GB"/>
        </w:rPr>
      </w:pPr>
      <w:r w:rsidRPr="009B06AD">
        <w:rPr>
          <w:rFonts w:ascii="Arial" w:hAnsi="Arial"/>
          <w:sz w:val="20"/>
          <w:szCs w:val="20"/>
          <w:lang w:val="en-GB"/>
        </w:rPr>
        <w:t>4</w:t>
      </w:r>
      <w:r w:rsidRPr="00430567">
        <w:rPr>
          <w:rStyle w:val="Hyperlink"/>
        </w:rPr>
        <w:t xml:space="preserve"> </w:t>
      </w:r>
      <w:hyperlink r:id="rId43" w:history="1">
        <w:r w:rsidRPr="00430567">
          <w:rPr>
            <w:rStyle w:val="Hyperlink"/>
          </w:rPr>
          <w:t>https://www.safetyandquality.gov.au/our-work/indicators-measurement-and-reporting/hospital-acquired-complications-hacs</w:t>
        </w:r>
      </w:hyperlink>
      <w:r w:rsidRPr="00A422D3">
        <w:rPr>
          <w:rFonts w:ascii="Arial" w:hAnsi="Arial"/>
          <w:sz w:val="20"/>
          <w:szCs w:val="20"/>
          <w:lang w:val="en-GB"/>
        </w:rPr>
        <w:t xml:space="preserve"> , accessed Oct 2024</w:t>
      </w:r>
      <w:r>
        <w:rPr>
          <w:rFonts w:ascii="Arial" w:hAnsi="Arial"/>
          <w:sz w:val="20"/>
          <w:szCs w:val="20"/>
          <w:lang w:val="en-GB"/>
        </w:rPr>
        <w:t>.</w:t>
      </w:r>
    </w:p>
    <w:p w14:paraId="15A6B043" w14:textId="77777777" w:rsidR="00B83C76" w:rsidRPr="00A422D3" w:rsidRDefault="00B83C76" w:rsidP="00B83C76">
      <w:pPr>
        <w:spacing w:after="0"/>
        <w:rPr>
          <w:rFonts w:ascii="Arial" w:hAnsi="Arial"/>
          <w:sz w:val="20"/>
          <w:szCs w:val="20"/>
          <w:lang w:val="en-GB"/>
        </w:rPr>
      </w:pPr>
      <w:r w:rsidRPr="009B06AD">
        <w:rPr>
          <w:rFonts w:ascii="Arial" w:hAnsi="Arial"/>
          <w:sz w:val="20"/>
          <w:szCs w:val="20"/>
          <w:lang w:val="en-GB"/>
        </w:rPr>
        <w:t>5</w:t>
      </w:r>
      <w:r w:rsidRPr="00A422D3">
        <w:rPr>
          <w:rFonts w:ascii="Arial" w:hAnsi="Arial"/>
          <w:sz w:val="20"/>
          <w:szCs w:val="20"/>
          <w:lang w:val="en-GB"/>
        </w:rPr>
        <w:t xml:space="preserve"> </w:t>
      </w:r>
      <w:hyperlink r:id="rId44" w:history="1">
        <w:r w:rsidRPr="00430567">
          <w:rPr>
            <w:rStyle w:val="Hyperlink"/>
          </w:rPr>
          <w:t>https://www.safetyandquality.gov.au/our-work/indicators-measurement-and-reporting/hospital-acquired-complications-hacs</w:t>
        </w:r>
      </w:hyperlink>
      <w:r w:rsidRPr="00A422D3">
        <w:rPr>
          <w:rFonts w:ascii="Arial" w:hAnsi="Arial"/>
          <w:sz w:val="20"/>
          <w:szCs w:val="20"/>
          <w:lang w:val="en-GB"/>
        </w:rPr>
        <w:t xml:space="preserve"> , accessed Oct 2024</w:t>
      </w:r>
      <w:r>
        <w:rPr>
          <w:rFonts w:ascii="Arial" w:hAnsi="Arial"/>
          <w:sz w:val="20"/>
          <w:szCs w:val="20"/>
          <w:lang w:val="en-GB"/>
        </w:rPr>
        <w:t>.</w:t>
      </w:r>
    </w:p>
    <w:p w14:paraId="36C4BAB4" w14:textId="77777777" w:rsidR="00B83C76" w:rsidRPr="00A422D3" w:rsidRDefault="00B83C76" w:rsidP="00B83C76">
      <w:pPr>
        <w:spacing w:after="0"/>
        <w:rPr>
          <w:rFonts w:ascii="Arial" w:hAnsi="Arial"/>
          <w:sz w:val="20"/>
          <w:szCs w:val="20"/>
          <w:lang w:val="en-GB"/>
        </w:rPr>
      </w:pPr>
      <w:r w:rsidRPr="009B06AD">
        <w:rPr>
          <w:rFonts w:ascii="Arial" w:hAnsi="Arial"/>
          <w:sz w:val="20"/>
          <w:szCs w:val="20"/>
          <w:lang w:val="en-GB"/>
        </w:rPr>
        <w:t xml:space="preserve">6 </w:t>
      </w:r>
      <w:hyperlink r:id="rId45" w:history="1">
        <w:r w:rsidRPr="00430567">
          <w:rPr>
            <w:rStyle w:val="Hyperlink"/>
          </w:rPr>
          <w:t>https://www.gen-agedcaredata.gov.au/resources/access-data/2024/april/gen-data-people-using-aged-care</w:t>
        </w:r>
      </w:hyperlink>
      <w:r w:rsidRPr="00430567">
        <w:rPr>
          <w:rStyle w:val="Hyperlink"/>
        </w:rPr>
        <w:t>,</w:t>
      </w:r>
      <w:r w:rsidRPr="00A422D3">
        <w:rPr>
          <w:rFonts w:ascii="Arial" w:hAnsi="Arial"/>
          <w:sz w:val="20"/>
          <w:szCs w:val="20"/>
          <w:lang w:val="en-GB"/>
        </w:rPr>
        <w:t xml:space="preserve"> accessed 30 Oct 2024</w:t>
      </w:r>
      <w:r>
        <w:rPr>
          <w:rFonts w:ascii="Arial" w:hAnsi="Arial"/>
          <w:sz w:val="20"/>
          <w:szCs w:val="20"/>
          <w:lang w:val="en-GB"/>
        </w:rPr>
        <w:t>.</w:t>
      </w:r>
    </w:p>
    <w:p w14:paraId="343B665B" w14:textId="77777777" w:rsidR="00B83C76" w:rsidRPr="00A422D3" w:rsidRDefault="00B83C76" w:rsidP="00B83C76">
      <w:pPr>
        <w:spacing w:after="0"/>
        <w:rPr>
          <w:rFonts w:ascii="Arial" w:hAnsi="Arial"/>
          <w:sz w:val="20"/>
          <w:szCs w:val="20"/>
          <w:lang w:val="en-GB"/>
        </w:rPr>
      </w:pPr>
      <w:r w:rsidRPr="009B06AD">
        <w:rPr>
          <w:rFonts w:ascii="Arial" w:hAnsi="Arial"/>
          <w:sz w:val="20"/>
          <w:szCs w:val="20"/>
          <w:lang w:val="en-GB"/>
        </w:rPr>
        <w:t xml:space="preserve">7 </w:t>
      </w:r>
      <w:hyperlink r:id="rId46" w:history="1">
        <w:r w:rsidRPr="00430567">
          <w:rPr>
            <w:rStyle w:val="Hyperlink"/>
          </w:rPr>
          <w:t>https://explore.data.abs.gov.au/vis?tm=quarterly%20population&amp;pg=0&amp;df[ds]=ABS_ABS_TOPICS&amp;df[id]=ERP_Q&amp;df[ag]=ABS&amp;df[vs]=1.0.0&amp;hc[Frequency]=Quarterly&amp;pd=2022-Q2%2C2022-Q2&amp;dq=1.3.TOT.AUS.Q</w:t>
        </w:r>
      </w:hyperlink>
      <w:r w:rsidRPr="00A422D3">
        <w:rPr>
          <w:rFonts w:ascii="Arial" w:hAnsi="Arial"/>
          <w:sz w:val="20"/>
          <w:szCs w:val="20"/>
          <w:lang w:val="en-GB"/>
        </w:rPr>
        <w:t xml:space="preserve"> , accessed 30 Oct 2024</w:t>
      </w:r>
      <w:r>
        <w:rPr>
          <w:rFonts w:ascii="Arial" w:hAnsi="Arial"/>
          <w:sz w:val="20"/>
          <w:szCs w:val="20"/>
          <w:lang w:val="en-GB"/>
        </w:rPr>
        <w:t>.</w:t>
      </w:r>
    </w:p>
    <w:p w14:paraId="65D2782A" w14:textId="77777777" w:rsidR="00B83C76" w:rsidRPr="00A422D3" w:rsidRDefault="00B83C76" w:rsidP="00B83C76">
      <w:pPr>
        <w:spacing w:after="0"/>
        <w:rPr>
          <w:rFonts w:ascii="Arial" w:hAnsi="Arial"/>
          <w:sz w:val="20"/>
          <w:szCs w:val="20"/>
          <w:lang w:val="en-GB"/>
        </w:rPr>
      </w:pPr>
      <w:r w:rsidRPr="009B06AD">
        <w:rPr>
          <w:rFonts w:ascii="Arial" w:hAnsi="Arial"/>
          <w:sz w:val="20"/>
          <w:szCs w:val="20"/>
          <w:lang w:val="en-GB"/>
        </w:rPr>
        <w:t xml:space="preserve">8 </w:t>
      </w:r>
      <w:hyperlink r:id="rId47" w:history="1">
        <w:r w:rsidRPr="00430567">
          <w:rPr>
            <w:rStyle w:val="Hyperlink"/>
          </w:rPr>
          <w:t>https://www.abs.gov.au/statistics/people/aboriginal-and-torres-strait-islander-peoples/estimates-and-projections-aboriginal-and-torres-strait-islander-australians/latest-release</w:t>
        </w:r>
      </w:hyperlink>
      <w:r w:rsidRPr="00A422D3">
        <w:rPr>
          <w:rFonts w:ascii="Arial" w:hAnsi="Arial"/>
          <w:sz w:val="20"/>
          <w:szCs w:val="20"/>
          <w:lang w:val="en-GB"/>
        </w:rPr>
        <w:t xml:space="preserve"> , accessed 30 Oct 2024</w:t>
      </w:r>
      <w:r>
        <w:rPr>
          <w:rFonts w:ascii="Arial" w:hAnsi="Arial"/>
          <w:sz w:val="20"/>
          <w:szCs w:val="20"/>
          <w:lang w:val="en-GB"/>
        </w:rPr>
        <w:t>.</w:t>
      </w:r>
    </w:p>
    <w:p w14:paraId="5658CB8F" w14:textId="77777777" w:rsidR="00B83C76" w:rsidRDefault="00B83C76" w:rsidP="00B83C76">
      <w:pPr>
        <w:rPr>
          <w:b/>
          <w:bCs/>
        </w:rPr>
      </w:pPr>
    </w:p>
    <w:p w14:paraId="5F16378A" w14:textId="77777777" w:rsidR="00B83C76" w:rsidRDefault="00B83C76"/>
    <w:p w14:paraId="46A02C88" w14:textId="77777777" w:rsidR="001F1F64" w:rsidRDefault="001F1F64"/>
    <w:p w14:paraId="6DA4D7FF" w14:textId="77777777" w:rsidR="001F1F64" w:rsidRDefault="001F1F64"/>
    <w:p w14:paraId="4553008D" w14:textId="77777777" w:rsidR="001F1F64" w:rsidRDefault="001F1F64"/>
    <w:p w14:paraId="35059B4F" w14:textId="77777777" w:rsidR="001F1F64" w:rsidRDefault="001F1F64"/>
    <w:p w14:paraId="02F03245" w14:textId="77777777" w:rsidR="001F1F64" w:rsidRDefault="001F1F64"/>
    <w:p w14:paraId="51DC0EE2" w14:textId="77777777" w:rsidR="001F1F64" w:rsidRDefault="001F1F64"/>
    <w:p w14:paraId="17FD6D66" w14:textId="77777777" w:rsidR="001F1F64" w:rsidRDefault="001F1F64"/>
    <w:p w14:paraId="5FCB1833" w14:textId="77777777" w:rsidR="001F1F64" w:rsidRDefault="001F1F64"/>
    <w:p w14:paraId="0BD6012B" w14:textId="77777777" w:rsidR="001F1F64" w:rsidRDefault="001F1F64"/>
    <w:p w14:paraId="51F902BC" w14:textId="77777777" w:rsidR="001F1F64" w:rsidRDefault="001F1F64"/>
    <w:p w14:paraId="42BCBAA9" w14:textId="77777777" w:rsidR="001F1F64" w:rsidRDefault="001F1F64"/>
    <w:p w14:paraId="23CBF65A" w14:textId="77777777" w:rsidR="001F1F64" w:rsidRDefault="001F1F64"/>
    <w:p w14:paraId="11AF71B1" w14:textId="77777777" w:rsidR="001F1F64" w:rsidRDefault="001F1F64"/>
    <w:p w14:paraId="0546385D" w14:textId="77777777" w:rsidR="001F1F64" w:rsidRDefault="001F1F64"/>
    <w:p w14:paraId="29D21DA3" w14:textId="77777777" w:rsidR="001F1F64" w:rsidRDefault="001F1F64"/>
    <w:p w14:paraId="156C1E74" w14:textId="77777777" w:rsidR="001F1F64" w:rsidRDefault="001F1F64"/>
    <w:p w14:paraId="744F5C26" w14:textId="77777777" w:rsidR="001D4D0D" w:rsidRDefault="001D4D0D">
      <w:pPr>
        <w:rPr>
          <w:rFonts w:eastAsia="Times New Roman"/>
          <w:lang w:eastAsia="en-AU"/>
        </w:rPr>
      </w:pPr>
    </w:p>
    <w:p w14:paraId="238F147E" w14:textId="77777777" w:rsidR="005915AE" w:rsidRPr="004E2765" w:rsidRDefault="00C05576" w:rsidP="00C05576">
      <w:pPr>
        <w:pageBreakBefore/>
      </w:pPr>
      <w:r>
        <w:rPr>
          <w:noProof/>
        </w:rPr>
        <w:lastRenderedPageBreak/>
        <w:drawing>
          <wp:anchor distT="0" distB="0" distL="114300" distR="114300" simplePos="0" relativeHeight="251677696" behindDoc="1" locked="1" layoutInCell="1" allowOverlap="1" wp14:anchorId="6F5458C7" wp14:editId="11DEBC1D">
            <wp:simplePos x="866274" y="866274"/>
            <wp:positionH relativeFrom="page">
              <wp:align>left</wp:align>
            </wp:positionH>
            <wp:positionV relativeFrom="page">
              <wp:align>top</wp:align>
            </wp:positionV>
            <wp:extent cx="7560000" cy="10695600"/>
            <wp:effectExtent l="0" t="0" r="3175" b="0"/>
            <wp:wrapNone/>
            <wp:docPr id="1402987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40298789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28E354B7" wp14:editId="3435C274">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3BCA3FEB" w14:textId="77777777"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9D7134F" wp14:editId="4B0CC552">
                                  <wp:extent cx="1697040" cy="586800"/>
                                  <wp:effectExtent l="0" t="0" r="0" b="3810"/>
                                  <wp:docPr id="12"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1697040" cy="586800"/>
                                          </a:xfrm>
                                          <a:prstGeom prst="rect">
                                            <a:avLst/>
                                          </a:prstGeom>
                                        </pic:spPr>
                                      </pic:pic>
                                    </a:graphicData>
                                  </a:graphic>
                                </wp:inline>
                              </w:drawing>
                            </w:r>
                          </w:p>
                          <w:p w14:paraId="59030059" w14:textId="77777777" w:rsidR="00144E74" w:rsidRPr="009527AE" w:rsidRDefault="00144E74" w:rsidP="00144E74">
                            <w:pPr>
                              <w:spacing w:before="0" w:after="0" w:line="264" w:lineRule="auto"/>
                              <w:rPr>
                                <w:color w:val="FFFFFF" w:themeColor="background1"/>
                              </w:rPr>
                            </w:pPr>
                          </w:p>
                          <w:p w14:paraId="63313856" w14:textId="77777777"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724B2B8F"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48D2F181"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5F87B2B6" w14:textId="77777777" w:rsidR="00144E74" w:rsidRPr="009527AE" w:rsidRDefault="00144E74" w:rsidP="00144E74">
                            <w:pPr>
                              <w:pStyle w:val="NoSpacing"/>
                              <w:spacing w:line="264" w:lineRule="auto"/>
                              <w:rPr>
                                <w:color w:val="FFFFFF" w:themeColor="background1"/>
                                <w:sz w:val="16"/>
                                <w:szCs w:val="16"/>
                              </w:rPr>
                            </w:pPr>
                          </w:p>
                          <w:p w14:paraId="73DFC994"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6B452E52" w14:textId="77777777" w:rsidR="00144E74" w:rsidRPr="009527AE" w:rsidRDefault="00144E74" w:rsidP="00144E74">
                            <w:pPr>
                              <w:pStyle w:val="NoSpacing"/>
                              <w:spacing w:line="264" w:lineRule="auto"/>
                              <w:rPr>
                                <w:color w:val="FFFFFF" w:themeColor="background1"/>
                                <w:sz w:val="16"/>
                                <w:szCs w:val="16"/>
                              </w:rPr>
                            </w:pPr>
                          </w:p>
                          <w:p w14:paraId="580EEDDC" w14:textId="6881343E"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166072" w:rsidRPr="00166072">
                              <w:rPr>
                                <w:color w:val="FFFFFF" w:themeColor="background1"/>
                                <w:sz w:val="16"/>
                                <w:szCs w:val="16"/>
                              </w:rPr>
                              <w:t>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8E354B7" id="_x0000_s1032"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" filled="f" stroked="f" strokeweight=".5pt">
                <v:textbox inset="0,0,0,0">
                  <w:txbxContent>
                    <w:p w14:paraId="3BCA3FEB" w14:textId="77777777"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9D7134F" wp14:editId="4B0CC552">
                            <wp:extent cx="1697040" cy="586800"/>
                            <wp:effectExtent l="0" t="0" r="0" b="3810"/>
                            <wp:docPr id="12"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1697040" cy="586800"/>
                                    </a:xfrm>
                                    <a:prstGeom prst="rect">
                                      <a:avLst/>
                                    </a:prstGeom>
                                  </pic:spPr>
                                </pic:pic>
                              </a:graphicData>
                            </a:graphic>
                          </wp:inline>
                        </w:drawing>
                      </w:r>
                    </w:p>
                    <w:p w14:paraId="59030059" w14:textId="77777777" w:rsidR="00144E74" w:rsidRPr="009527AE" w:rsidRDefault="00144E74" w:rsidP="00144E74">
                      <w:pPr>
                        <w:spacing w:before="0" w:after="0" w:line="264" w:lineRule="auto"/>
                        <w:rPr>
                          <w:color w:val="FFFFFF" w:themeColor="background1"/>
                        </w:rPr>
                      </w:pPr>
                    </w:p>
                    <w:p w14:paraId="63313856" w14:textId="77777777"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724B2B8F"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48D2F181"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5F87B2B6" w14:textId="77777777" w:rsidR="00144E74" w:rsidRPr="009527AE" w:rsidRDefault="00144E74" w:rsidP="00144E74">
                      <w:pPr>
                        <w:pStyle w:val="NoSpacing"/>
                        <w:spacing w:line="264" w:lineRule="auto"/>
                        <w:rPr>
                          <w:color w:val="FFFFFF" w:themeColor="background1"/>
                          <w:sz w:val="16"/>
                          <w:szCs w:val="16"/>
                        </w:rPr>
                      </w:pPr>
                    </w:p>
                    <w:p w14:paraId="73DFC994"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6B452E52" w14:textId="77777777" w:rsidR="00144E74" w:rsidRPr="009527AE" w:rsidRDefault="00144E74" w:rsidP="00144E74">
                      <w:pPr>
                        <w:pStyle w:val="NoSpacing"/>
                        <w:spacing w:line="264" w:lineRule="auto"/>
                        <w:rPr>
                          <w:color w:val="FFFFFF" w:themeColor="background1"/>
                          <w:sz w:val="16"/>
                          <w:szCs w:val="16"/>
                        </w:rPr>
                      </w:pPr>
                    </w:p>
                    <w:p w14:paraId="580EEDDC" w14:textId="6881343E"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166072" w:rsidRPr="00166072">
                        <w:rPr>
                          <w:color w:val="FFFFFF" w:themeColor="background1"/>
                          <w:sz w:val="16"/>
                          <w:szCs w:val="16"/>
                        </w:rPr>
                        <w:t>2025</w:t>
                      </w:r>
                    </w:p>
                  </w:txbxContent>
                </v:textbox>
              </v:shape>
            </w:pict>
          </mc:Fallback>
        </mc:AlternateContent>
      </w:r>
    </w:p>
    <w:sectPr w:rsidR="005915AE" w:rsidRPr="004E2765" w:rsidSect="0055060F">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BCF3A" w14:textId="77777777" w:rsidR="00781B86" w:rsidRDefault="00781B86" w:rsidP="001D0AFC">
      <w:r>
        <w:separator/>
      </w:r>
    </w:p>
    <w:p w14:paraId="2F59B12C" w14:textId="77777777" w:rsidR="00781B86" w:rsidRDefault="00781B86"/>
    <w:p w14:paraId="1EEEBB4E" w14:textId="77777777" w:rsidR="00781B86" w:rsidRDefault="00781B86"/>
    <w:p w14:paraId="47945C67" w14:textId="77777777" w:rsidR="00781B86" w:rsidRDefault="00781B86"/>
  </w:endnote>
  <w:endnote w:type="continuationSeparator" w:id="0">
    <w:p w14:paraId="06D21432" w14:textId="77777777" w:rsidR="00781B86" w:rsidRDefault="00781B86" w:rsidP="001D0AFC">
      <w:r>
        <w:continuationSeparator/>
      </w:r>
    </w:p>
    <w:p w14:paraId="445D739E" w14:textId="77777777" w:rsidR="00781B86" w:rsidRDefault="00781B86"/>
    <w:p w14:paraId="502949BE" w14:textId="77777777" w:rsidR="00781B86" w:rsidRDefault="00781B86"/>
    <w:p w14:paraId="5AFED397" w14:textId="77777777" w:rsidR="00781B86" w:rsidRDefault="00781B86"/>
  </w:endnote>
  <w:endnote w:id="1">
    <w:p w14:paraId="55FAA793" w14:textId="77777777" w:rsidR="009240E0" w:rsidRPr="00572BF1" w:rsidRDefault="009240E0" w:rsidP="009240E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5B4A" w14:textId="1AE19618" w:rsidR="003C469B" w:rsidRPr="008E4920" w:rsidRDefault="004E18F2" w:rsidP="008E4920">
    <w:pPr>
      <w:pStyle w:val="Footer"/>
      <w:ind w:left="284"/>
    </w:pPr>
    <w:r w:rsidRPr="00C15DB5">
      <w:rPr>
        <w:noProof/>
        <w:color w:val="FF0000"/>
      </w:rPr>
      <w:drawing>
        <wp:anchor distT="0" distB="0" distL="114300" distR="114300" simplePos="0" relativeHeight="251663360" behindDoc="0" locked="0" layoutInCell="1" allowOverlap="1" wp14:anchorId="6FEB3C83" wp14:editId="2E7D67CD">
          <wp:simplePos x="0" y="0"/>
          <wp:positionH relativeFrom="column">
            <wp:posOffset>0</wp:posOffset>
          </wp:positionH>
          <wp:positionV relativeFrom="paragraph">
            <wp:posOffset>-27432</wp:posOffset>
          </wp:positionV>
          <wp:extent cx="138948" cy="180000"/>
          <wp:effectExtent l="0" t="0" r="0" b="0"/>
          <wp:wrapNone/>
          <wp:docPr id="146043328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6BF" w:rsidRPr="00ED56BF">
      <w:t xml:space="preserve"> </w:t>
    </w:r>
    <w:r w:rsidR="008E4920">
      <w:t>National Sepsis Program Extension Epidemiology Report</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0B94A" w14:textId="77777777" w:rsidR="00781B86" w:rsidRDefault="00781B86" w:rsidP="001D0AFC">
      <w:r>
        <w:separator/>
      </w:r>
    </w:p>
    <w:p w14:paraId="14010847" w14:textId="77777777" w:rsidR="00781B86" w:rsidRDefault="00781B86"/>
  </w:footnote>
  <w:footnote w:type="continuationSeparator" w:id="0">
    <w:p w14:paraId="5B833119" w14:textId="77777777" w:rsidR="00781B86" w:rsidRDefault="00781B86" w:rsidP="001D0AFC">
      <w:r>
        <w:continuationSeparator/>
      </w:r>
    </w:p>
    <w:p w14:paraId="52FF6086" w14:textId="77777777" w:rsidR="00781B86" w:rsidRDefault="00781B86"/>
  </w:footnote>
  <w:footnote w:type="continuationNotice" w:id="1">
    <w:p w14:paraId="31E1070B" w14:textId="77777777" w:rsidR="00781B86" w:rsidRDefault="00781B86">
      <w:pPr>
        <w:spacing w:before="0" w:after="0"/>
      </w:pPr>
    </w:p>
    <w:p w14:paraId="20D80A9D" w14:textId="77777777" w:rsidR="00781B86" w:rsidRDefault="00781B86"/>
  </w:footnote>
  <w:footnote w:id="2">
    <w:p w14:paraId="36A665F5" w14:textId="77777777" w:rsidR="00C83438" w:rsidRDefault="00C83438" w:rsidP="00C83438">
      <w:pPr>
        <w:pStyle w:val="FootnoteText"/>
      </w:pPr>
      <w:r>
        <w:rPr>
          <w:rStyle w:val="FootnoteReference"/>
        </w:rPr>
        <w:footnoteRef/>
      </w:r>
      <w:r>
        <w:t xml:space="preserve"> Rudd KE, Johnson SC, Agesa KM, Shckelford KA, Tsoi D, Kievlan DR, et al. Global, regional, and national sepsis incidence and mortality, 1990-2017: analysis for the Global Burden of Disease Study. Lancet 202;395(10219):200-11</w:t>
      </w:r>
    </w:p>
  </w:footnote>
  <w:footnote w:id="3">
    <w:p w14:paraId="28A22C44" w14:textId="77777777" w:rsidR="00C83438" w:rsidRPr="00984793" w:rsidRDefault="00C83438" w:rsidP="00C83438">
      <w:pPr>
        <w:pStyle w:val="FootnoteText"/>
      </w:pPr>
      <w:r>
        <w:rPr>
          <w:rStyle w:val="FootnoteReference"/>
        </w:rPr>
        <w:footnoteRef/>
      </w:r>
      <w:r>
        <w:t xml:space="preserve"> </w:t>
      </w:r>
      <w:r w:rsidRPr="00B94F53">
        <w:rPr>
          <w:sz w:val="16"/>
          <w:szCs w:val="16"/>
        </w:rPr>
        <w:t>The George Institute for Global Health</w:t>
      </w:r>
      <w:r>
        <w:rPr>
          <w:sz w:val="16"/>
          <w:szCs w:val="16"/>
        </w:rPr>
        <w:t xml:space="preserve"> (2021</w:t>
      </w:r>
      <w:r w:rsidRPr="0016269F">
        <w:rPr>
          <w:i/>
          <w:iCs/>
          <w:sz w:val="16"/>
          <w:szCs w:val="16"/>
        </w:rPr>
        <w:t>) Cost of sepsis in Australia</w:t>
      </w:r>
      <w:r>
        <w:rPr>
          <w:sz w:val="16"/>
          <w:szCs w:val="16"/>
        </w:rPr>
        <w:t xml:space="preserve">, </w:t>
      </w:r>
      <w:hyperlink r:id="rId1" w:history="1">
        <w:r w:rsidRPr="00B94F53">
          <w:rPr>
            <w:rStyle w:val="Hyperlink"/>
            <w:sz w:val="16"/>
            <w:szCs w:val="16"/>
          </w:rPr>
          <w:t>http://www.georgeinstitute.org/sites/default/files/cost-of-sepsis-in-australian-report.pdf</w:t>
        </w:r>
      </w:hyperlink>
    </w:p>
  </w:footnote>
  <w:footnote w:id="4">
    <w:p w14:paraId="7088F262" w14:textId="77777777" w:rsidR="00C83438" w:rsidRPr="0016269F" w:rsidRDefault="00C83438" w:rsidP="00C83438">
      <w:pPr>
        <w:pStyle w:val="FootnoteText"/>
      </w:pPr>
      <w:r>
        <w:rPr>
          <w:rStyle w:val="FootnoteReference"/>
        </w:rPr>
        <w:footnoteRef/>
      </w:r>
      <w:r>
        <w:t xml:space="preserve"> </w:t>
      </w:r>
      <w:r w:rsidRPr="0016269F">
        <w:rPr>
          <w:sz w:val="16"/>
          <w:szCs w:val="16"/>
        </w:rPr>
        <w:t>The George Institute for Global Health (2017), Stopping Sepsis: A National Actions Plan</w:t>
      </w:r>
      <w:r>
        <w:rPr>
          <w:sz w:val="16"/>
          <w:szCs w:val="16"/>
        </w:rPr>
        <w:t xml:space="preserve">, </w:t>
      </w:r>
      <w:hyperlink r:id="rId2" w:history="1">
        <w:r w:rsidRPr="00A343BD">
          <w:rPr>
            <w:rStyle w:val="Hyperlink"/>
            <w:sz w:val="16"/>
            <w:szCs w:val="16"/>
          </w:rPr>
          <w:t>https://www.georgeinstitute.org.au/sites/default/files/documents/stopping-sepsis-national-action-plan.pdf</w:t>
        </w:r>
      </w:hyperlink>
      <w:r>
        <w:rPr>
          <w:sz w:val="16"/>
          <w:szCs w:val="16"/>
        </w:rPr>
        <w:t xml:space="preserve"> </w:t>
      </w:r>
    </w:p>
  </w:footnote>
  <w:footnote w:id="5">
    <w:p w14:paraId="50C796F5" w14:textId="7524EAA4" w:rsidR="00C83438" w:rsidRDefault="00C83438" w:rsidP="00C83438">
      <w:pPr>
        <w:pStyle w:val="FootnoteText"/>
      </w:pPr>
      <w:r>
        <w:rPr>
          <w:rStyle w:val="FootnoteReference"/>
        </w:rPr>
        <w:footnoteRef/>
      </w:r>
      <w:r>
        <w:t xml:space="preserve"> </w:t>
      </w:r>
      <w:r w:rsidRPr="005B2EF6">
        <w:rPr>
          <w:rFonts w:cstheme="minorHAnsi"/>
          <w:color w:val="000000"/>
          <w:szCs w:val="18"/>
          <w:shd w:val="clear" w:color="auto" w:fill="FFFEFC"/>
        </w:rPr>
        <w:t>Institute for Health Metrics and Evaluation (IHME), University of Oxford. </w:t>
      </w:r>
      <w:r w:rsidRPr="005B2EF6">
        <w:rPr>
          <w:rFonts w:cstheme="minorHAnsi"/>
          <w:b/>
          <w:bCs/>
          <w:color w:val="000000"/>
          <w:szCs w:val="18"/>
          <w:shd w:val="clear" w:color="auto" w:fill="FFFEFC"/>
        </w:rPr>
        <w:t>MICROBE</w:t>
      </w:r>
      <w:r w:rsidRPr="005B2EF6">
        <w:rPr>
          <w:rFonts w:cstheme="minorHAnsi"/>
          <w:color w:val="000000"/>
          <w:szCs w:val="18"/>
          <w:shd w:val="clear" w:color="auto" w:fill="FFFEFC"/>
        </w:rPr>
        <w:t>. Seattle, WA: IHME, University of Washington, 2024. Available from </w:t>
      </w:r>
      <w:hyperlink r:id="rId3" w:tgtFrame="_blank" w:tooltip="Follow link (opens in a new window)" w:history="1">
        <w:r w:rsidRPr="008E4920">
          <w:rPr>
            <w:rStyle w:val="Hyperlink"/>
          </w:rPr>
          <w:t>https://vizhub.healthdata.org/microbe</w:t>
        </w:r>
      </w:hyperlink>
      <w:r w:rsidRPr="005B2EF6">
        <w:rPr>
          <w:rFonts w:cstheme="minorHAnsi"/>
          <w:color w:val="000000"/>
          <w:szCs w:val="18"/>
          <w:shd w:val="clear" w:color="auto" w:fill="FFFEFC"/>
        </w:rPr>
        <w:t>. (Accessed14 May 2025).</w:t>
      </w:r>
    </w:p>
  </w:footnote>
  <w:footnote w:id="6">
    <w:p w14:paraId="5B5B38A5" w14:textId="77777777" w:rsidR="00EA233B" w:rsidRDefault="00EA233B" w:rsidP="00EA233B">
      <w:pPr>
        <w:pStyle w:val="FootnoteText"/>
      </w:pPr>
      <w:r>
        <w:rPr>
          <w:rStyle w:val="FootnoteReference"/>
        </w:rPr>
        <w:footnoteRef/>
      </w:r>
      <w:r>
        <w:t xml:space="preserve"> </w:t>
      </w:r>
      <w:hyperlink r:id="rId4" w:history="1">
        <w:r w:rsidRPr="0004050A">
          <w:rPr>
            <w:rStyle w:val="Hyperlink"/>
            <w:sz w:val="16"/>
            <w:szCs w:val="16"/>
          </w:rPr>
          <w:t>https://www.abs.gov.au/statistics/people/aboriginal-and-torres-strait-islander-peoples/estimates-and-projections-aboriginal-and-torres-strait-islander-australians/latest-release</w:t>
        </w:r>
      </w:hyperlink>
      <w:r w:rsidRPr="0004050A">
        <w:rPr>
          <w:sz w:val="16"/>
          <w:szCs w:val="16"/>
        </w:rPr>
        <w:t xml:space="preserve"> , accessed 30 Oct 2024</w:t>
      </w:r>
    </w:p>
    <w:p w14:paraId="55990ACD" w14:textId="77777777" w:rsidR="00EA233B" w:rsidRDefault="00EA233B" w:rsidP="00EA233B">
      <w:pPr>
        <w:pStyle w:val="FootnoteText"/>
      </w:pPr>
    </w:p>
  </w:footnote>
  <w:footnote w:id="7">
    <w:p w14:paraId="4BD40D27" w14:textId="77777777" w:rsidR="006B2725" w:rsidRPr="00874D45" w:rsidRDefault="006B2725" w:rsidP="006B2725">
      <w:pPr>
        <w:pStyle w:val="FootnoteText"/>
        <w:rPr>
          <w:szCs w:val="18"/>
        </w:rPr>
      </w:pPr>
      <w:r w:rsidRPr="00874D45">
        <w:rPr>
          <w:rStyle w:val="FootnoteReference"/>
          <w:szCs w:val="18"/>
        </w:rPr>
        <w:footnoteRef/>
      </w:r>
      <w:r w:rsidRPr="00874D45">
        <w:rPr>
          <w:szCs w:val="18"/>
        </w:rPr>
        <w:t xml:space="preserve"> </w:t>
      </w:r>
      <w:hyperlink r:id="rId5" w:history="1">
        <w:r w:rsidRPr="00874D45">
          <w:rPr>
            <w:rStyle w:val="Hyperlink"/>
            <w:szCs w:val="18"/>
          </w:rPr>
          <w:t>https://www.ihacpa.gov.au/health-care/classification/admitted-acute-care/ar-drgs</w:t>
        </w:r>
      </w:hyperlink>
      <w:r w:rsidRPr="00874D45">
        <w:rPr>
          <w:szCs w:val="18"/>
        </w:rPr>
        <w:t xml:space="preserve"> , accessed Oct 2024</w:t>
      </w:r>
    </w:p>
  </w:footnote>
  <w:footnote w:id="8">
    <w:p w14:paraId="21097952" w14:textId="77777777" w:rsidR="006B2725" w:rsidRDefault="006B2725" w:rsidP="006B2725">
      <w:pPr>
        <w:pStyle w:val="FootnoteText"/>
      </w:pPr>
      <w:r w:rsidRPr="00874D45">
        <w:rPr>
          <w:rStyle w:val="FootnoteReference"/>
          <w:szCs w:val="18"/>
        </w:rPr>
        <w:footnoteRef/>
      </w:r>
      <w:r w:rsidRPr="00874D45">
        <w:rPr>
          <w:szCs w:val="18"/>
        </w:rPr>
        <w:t xml:space="preserve"> </w:t>
      </w:r>
      <w:hyperlink r:id="rId6" w:history="1">
        <w:r w:rsidRPr="00874D45">
          <w:rPr>
            <w:rStyle w:val="Hyperlink"/>
            <w:szCs w:val="18"/>
          </w:rPr>
          <w:t>https://www.safetyandquality.gov.au/our-work/indicators-measurement-and-reporting/hospital-acquired-complications-hacs</w:t>
        </w:r>
      </w:hyperlink>
      <w:r w:rsidRPr="00874D45">
        <w:rPr>
          <w:szCs w:val="18"/>
        </w:rPr>
        <w:t xml:space="preserve"> , accessed Oct 2024</w:t>
      </w:r>
    </w:p>
  </w:footnote>
  <w:footnote w:id="9">
    <w:p w14:paraId="32695CFC" w14:textId="77777777" w:rsidR="008C3D81" w:rsidRPr="00E110A7" w:rsidRDefault="008C3D81" w:rsidP="008C3D81">
      <w:pPr>
        <w:pStyle w:val="FootnoteText"/>
        <w:rPr>
          <w:szCs w:val="18"/>
        </w:rPr>
      </w:pPr>
      <w:r>
        <w:rPr>
          <w:rStyle w:val="FootnoteReference"/>
        </w:rPr>
        <w:footnoteRef/>
      </w:r>
      <w:r>
        <w:t xml:space="preserve"> </w:t>
      </w:r>
      <w:hyperlink r:id="rId7" w:history="1">
        <w:r w:rsidRPr="00E110A7">
          <w:rPr>
            <w:rStyle w:val="Hyperlink"/>
            <w:szCs w:val="18"/>
          </w:rPr>
          <w:t>https://www.safetyandquality.gov.au/our-work/indicators-measurement-and-reporting/hospital-acquired-complications-hacs</w:t>
        </w:r>
      </w:hyperlink>
      <w:r w:rsidRPr="00E110A7">
        <w:rPr>
          <w:szCs w:val="18"/>
        </w:rPr>
        <w:t xml:space="preserve"> , accessed Oct 2024</w:t>
      </w:r>
    </w:p>
  </w:footnote>
  <w:footnote w:id="10">
    <w:p w14:paraId="0A668A9C" w14:textId="77777777" w:rsidR="008942CC" w:rsidRDefault="008942CC" w:rsidP="008942CC">
      <w:pPr>
        <w:pStyle w:val="FootnoteText"/>
      </w:pPr>
      <w:r>
        <w:rPr>
          <w:rStyle w:val="FootnoteReference"/>
        </w:rPr>
        <w:footnoteRef/>
      </w:r>
      <w:r>
        <w:t xml:space="preserve"> This is based on separations not population. Analysis based on population is addressed on pages 6 and 21. </w:t>
      </w:r>
    </w:p>
  </w:footnote>
  <w:footnote w:id="11">
    <w:p w14:paraId="116957FC" w14:textId="77777777" w:rsidR="00272DD5" w:rsidRPr="0004050A" w:rsidRDefault="00272DD5" w:rsidP="00272DD5">
      <w:pPr>
        <w:pStyle w:val="FootnoteText"/>
        <w:rPr>
          <w:sz w:val="16"/>
          <w:szCs w:val="16"/>
        </w:rPr>
      </w:pPr>
      <w:r w:rsidRPr="0004050A">
        <w:rPr>
          <w:rStyle w:val="FootnoteReference"/>
          <w:sz w:val="16"/>
          <w:szCs w:val="16"/>
        </w:rPr>
        <w:footnoteRef/>
      </w:r>
      <w:r w:rsidRPr="0004050A">
        <w:rPr>
          <w:sz w:val="16"/>
          <w:szCs w:val="16"/>
        </w:rPr>
        <w:t xml:space="preserve"> </w:t>
      </w:r>
      <w:hyperlink r:id="rId8" w:history="1">
        <w:r w:rsidRPr="0004050A">
          <w:rPr>
            <w:rStyle w:val="Hyperlink"/>
            <w:sz w:val="16"/>
            <w:szCs w:val="16"/>
          </w:rPr>
          <w:t>https://www.gen-agedcaredata.gov.au/resources/access-data/2024/april/gen-data-people-using-aged-care</w:t>
        </w:r>
      </w:hyperlink>
      <w:r w:rsidRPr="0004050A">
        <w:rPr>
          <w:sz w:val="16"/>
          <w:szCs w:val="16"/>
        </w:rPr>
        <w:t>, accessed 30 Oct 2024</w:t>
      </w:r>
    </w:p>
  </w:footnote>
  <w:footnote w:id="12">
    <w:p w14:paraId="116123B5" w14:textId="77777777" w:rsidR="00272DD5" w:rsidRPr="0004050A" w:rsidRDefault="00272DD5" w:rsidP="00272DD5">
      <w:pPr>
        <w:pStyle w:val="FootnoteText"/>
        <w:rPr>
          <w:sz w:val="16"/>
          <w:szCs w:val="16"/>
        </w:rPr>
      </w:pPr>
      <w:r w:rsidRPr="0004050A">
        <w:rPr>
          <w:rStyle w:val="FootnoteReference"/>
          <w:sz w:val="16"/>
          <w:szCs w:val="16"/>
        </w:rPr>
        <w:footnoteRef/>
      </w:r>
      <w:r w:rsidRPr="0004050A">
        <w:rPr>
          <w:sz w:val="16"/>
          <w:szCs w:val="16"/>
        </w:rPr>
        <w:t xml:space="preserve"> </w:t>
      </w:r>
      <w:hyperlink r:id="rId9" w:history="1">
        <w:r w:rsidRPr="0004050A">
          <w:rPr>
            <w:rStyle w:val="Hyperlink"/>
            <w:sz w:val="16"/>
            <w:szCs w:val="16"/>
          </w:rPr>
          <w:t>https://explore.data.abs.gov.au/vis?tm=quarterly%20population&amp;pg=0&amp;df[ds]=ABS_ABS_TOPICS&amp;df[id]=ERP_Q&amp;df[ag]=ABS&amp;df[vs]=1.0.0&amp;hc[Frequency]=Quarterly&amp;pd=2022-Q2%2C2022-Q2&amp;dq=1.3.TOT.AUS.Q</w:t>
        </w:r>
      </w:hyperlink>
      <w:r w:rsidRPr="0004050A">
        <w:rPr>
          <w:sz w:val="16"/>
          <w:szCs w:val="16"/>
        </w:rPr>
        <w:t xml:space="preserve"> , accessed 30 Oct 2024</w:t>
      </w:r>
    </w:p>
  </w:footnote>
  <w:footnote w:id="13">
    <w:p w14:paraId="56A3A354" w14:textId="77777777" w:rsidR="00272DD5" w:rsidRDefault="00272DD5" w:rsidP="00272DD5">
      <w:pPr>
        <w:pStyle w:val="FootnoteText"/>
      </w:pPr>
      <w:r>
        <w:rPr>
          <w:rStyle w:val="FootnoteReference"/>
        </w:rPr>
        <w:footnoteRef/>
      </w:r>
      <w:r>
        <w:t xml:space="preserve"> </w:t>
      </w:r>
      <w:hyperlink r:id="rId10" w:history="1">
        <w:r w:rsidRPr="0004050A">
          <w:rPr>
            <w:rStyle w:val="Hyperlink"/>
            <w:sz w:val="16"/>
            <w:szCs w:val="16"/>
          </w:rPr>
          <w:t>https://www.abs.gov.au/statistics/people/aboriginal-and-torres-strait-islander-peoples/estimates-and-projections-aboriginal-and-torres-strait-islander-australians/latest-release</w:t>
        </w:r>
      </w:hyperlink>
      <w:r w:rsidRPr="0004050A">
        <w:rPr>
          <w:sz w:val="16"/>
          <w:szCs w:val="16"/>
        </w:rPr>
        <w:t xml:space="preserve"> , accessed 30 Oct 2024</w:t>
      </w:r>
    </w:p>
    <w:p w14:paraId="5EBDBFC8" w14:textId="77777777" w:rsidR="00272DD5" w:rsidRDefault="00272DD5" w:rsidP="00272D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C2E6" w14:textId="77777777"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3F04F9"/>
    <w:multiLevelType w:val="hybridMultilevel"/>
    <w:tmpl w:val="E4482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A0DBB"/>
    <w:multiLevelType w:val="hybridMultilevel"/>
    <w:tmpl w:val="E4205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F68BC"/>
    <w:multiLevelType w:val="hybridMultilevel"/>
    <w:tmpl w:val="82B849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8306E076">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155EC"/>
    <w:multiLevelType w:val="hybridMultilevel"/>
    <w:tmpl w:val="21169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6534B4"/>
    <w:multiLevelType w:val="hybridMultilevel"/>
    <w:tmpl w:val="4300E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FA4D35"/>
    <w:multiLevelType w:val="hybridMultilevel"/>
    <w:tmpl w:val="7CD0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0" w15:restartNumberingAfterBreak="0">
    <w:nsid w:val="2C8E10D0"/>
    <w:multiLevelType w:val="hybridMultilevel"/>
    <w:tmpl w:val="500EA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B745D"/>
    <w:multiLevelType w:val="hybridMultilevel"/>
    <w:tmpl w:val="A8F67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12DAE"/>
    <w:multiLevelType w:val="hybridMultilevel"/>
    <w:tmpl w:val="3EF0D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027B6"/>
    <w:multiLevelType w:val="hybridMultilevel"/>
    <w:tmpl w:val="A190AA2E"/>
    <w:lvl w:ilvl="0" w:tplc="0C090001">
      <w:start w:val="1"/>
      <w:numFmt w:val="bullet"/>
      <w:lvlText w:val=""/>
      <w:lvlJc w:val="left"/>
      <w:pPr>
        <w:ind w:left="3762" w:hanging="360"/>
      </w:pPr>
      <w:rPr>
        <w:rFonts w:ascii="Symbol" w:hAnsi="Symbol" w:hint="default"/>
      </w:rPr>
    </w:lvl>
    <w:lvl w:ilvl="1" w:tplc="0C090003" w:tentative="1">
      <w:start w:val="1"/>
      <w:numFmt w:val="bullet"/>
      <w:lvlText w:val="o"/>
      <w:lvlJc w:val="left"/>
      <w:pPr>
        <w:ind w:left="4482" w:hanging="360"/>
      </w:pPr>
      <w:rPr>
        <w:rFonts w:ascii="Courier New" w:hAnsi="Courier New" w:cs="Courier New" w:hint="default"/>
      </w:rPr>
    </w:lvl>
    <w:lvl w:ilvl="2" w:tplc="0C090005" w:tentative="1">
      <w:start w:val="1"/>
      <w:numFmt w:val="bullet"/>
      <w:lvlText w:val=""/>
      <w:lvlJc w:val="left"/>
      <w:pPr>
        <w:ind w:left="5202" w:hanging="360"/>
      </w:pPr>
      <w:rPr>
        <w:rFonts w:ascii="Wingdings" w:hAnsi="Wingdings" w:hint="default"/>
      </w:rPr>
    </w:lvl>
    <w:lvl w:ilvl="3" w:tplc="0C090001" w:tentative="1">
      <w:start w:val="1"/>
      <w:numFmt w:val="bullet"/>
      <w:lvlText w:val=""/>
      <w:lvlJc w:val="left"/>
      <w:pPr>
        <w:ind w:left="5922" w:hanging="360"/>
      </w:pPr>
      <w:rPr>
        <w:rFonts w:ascii="Symbol" w:hAnsi="Symbol" w:hint="default"/>
      </w:rPr>
    </w:lvl>
    <w:lvl w:ilvl="4" w:tplc="0C090003" w:tentative="1">
      <w:start w:val="1"/>
      <w:numFmt w:val="bullet"/>
      <w:lvlText w:val="o"/>
      <w:lvlJc w:val="left"/>
      <w:pPr>
        <w:ind w:left="6642" w:hanging="360"/>
      </w:pPr>
      <w:rPr>
        <w:rFonts w:ascii="Courier New" w:hAnsi="Courier New" w:cs="Courier New" w:hint="default"/>
      </w:rPr>
    </w:lvl>
    <w:lvl w:ilvl="5" w:tplc="0C090005" w:tentative="1">
      <w:start w:val="1"/>
      <w:numFmt w:val="bullet"/>
      <w:lvlText w:val=""/>
      <w:lvlJc w:val="left"/>
      <w:pPr>
        <w:ind w:left="7362" w:hanging="360"/>
      </w:pPr>
      <w:rPr>
        <w:rFonts w:ascii="Wingdings" w:hAnsi="Wingdings" w:hint="default"/>
      </w:rPr>
    </w:lvl>
    <w:lvl w:ilvl="6" w:tplc="0C090001" w:tentative="1">
      <w:start w:val="1"/>
      <w:numFmt w:val="bullet"/>
      <w:lvlText w:val=""/>
      <w:lvlJc w:val="left"/>
      <w:pPr>
        <w:ind w:left="8082" w:hanging="360"/>
      </w:pPr>
      <w:rPr>
        <w:rFonts w:ascii="Symbol" w:hAnsi="Symbol" w:hint="default"/>
      </w:rPr>
    </w:lvl>
    <w:lvl w:ilvl="7" w:tplc="0C090003" w:tentative="1">
      <w:start w:val="1"/>
      <w:numFmt w:val="bullet"/>
      <w:lvlText w:val="o"/>
      <w:lvlJc w:val="left"/>
      <w:pPr>
        <w:ind w:left="8802" w:hanging="360"/>
      </w:pPr>
      <w:rPr>
        <w:rFonts w:ascii="Courier New" w:hAnsi="Courier New" w:cs="Courier New" w:hint="default"/>
      </w:rPr>
    </w:lvl>
    <w:lvl w:ilvl="8" w:tplc="0C090005" w:tentative="1">
      <w:start w:val="1"/>
      <w:numFmt w:val="bullet"/>
      <w:lvlText w:val=""/>
      <w:lvlJc w:val="left"/>
      <w:pPr>
        <w:ind w:left="9522" w:hanging="360"/>
      </w:pPr>
      <w:rPr>
        <w:rFonts w:ascii="Wingdings" w:hAnsi="Wingdings" w:hint="default"/>
      </w:rPr>
    </w:lvl>
  </w:abstractNum>
  <w:abstractNum w:abstractNumId="14" w15:restartNumberingAfterBreak="0">
    <w:nsid w:val="35693C08"/>
    <w:multiLevelType w:val="hybridMultilevel"/>
    <w:tmpl w:val="8A5EBBE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36535ABB"/>
    <w:multiLevelType w:val="hybridMultilevel"/>
    <w:tmpl w:val="FDB22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5C7146"/>
    <w:multiLevelType w:val="hybridMultilevel"/>
    <w:tmpl w:val="C70A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4138E4"/>
    <w:multiLevelType w:val="hybridMultilevel"/>
    <w:tmpl w:val="8772B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DA0607"/>
    <w:multiLevelType w:val="hybridMultilevel"/>
    <w:tmpl w:val="D04E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D01175"/>
    <w:multiLevelType w:val="hybridMultilevel"/>
    <w:tmpl w:val="0B867BEC"/>
    <w:lvl w:ilvl="0" w:tplc="A3BE45A0">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545991"/>
    <w:multiLevelType w:val="hybridMultilevel"/>
    <w:tmpl w:val="B2BED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CA93634"/>
    <w:multiLevelType w:val="hybridMultilevel"/>
    <w:tmpl w:val="72CE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FB2965"/>
    <w:multiLevelType w:val="hybridMultilevel"/>
    <w:tmpl w:val="1E144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3D3AE7"/>
    <w:multiLevelType w:val="hybridMultilevel"/>
    <w:tmpl w:val="D0E815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037EC9"/>
    <w:multiLevelType w:val="hybridMultilevel"/>
    <w:tmpl w:val="6B24A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416F12"/>
    <w:multiLevelType w:val="hybridMultilevel"/>
    <w:tmpl w:val="A8B25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430956"/>
    <w:multiLevelType w:val="hybridMultilevel"/>
    <w:tmpl w:val="EAAC7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1F7723"/>
    <w:multiLevelType w:val="multilevel"/>
    <w:tmpl w:val="FC780A0A"/>
    <w:styleLink w:val="Bullets2"/>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81546A7"/>
    <w:multiLevelType w:val="multilevel"/>
    <w:tmpl w:val="6F709864"/>
    <w:styleLink w:val="BulletsLevel11"/>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30" w15:restartNumberingAfterBreak="0">
    <w:nsid w:val="700115E4"/>
    <w:multiLevelType w:val="hybridMultilevel"/>
    <w:tmpl w:val="ECF4F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B507E2"/>
    <w:multiLevelType w:val="hybridMultilevel"/>
    <w:tmpl w:val="3E466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4C2AA1"/>
    <w:multiLevelType w:val="hybridMultilevel"/>
    <w:tmpl w:val="356A7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7E4D88"/>
    <w:multiLevelType w:val="multilevel"/>
    <w:tmpl w:val="790ACF80"/>
    <w:styleLink w:val="Bullet1"/>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num w:numId="1" w16cid:durableId="186523040">
    <w:abstractNumId w:val="9"/>
  </w:num>
  <w:num w:numId="2" w16cid:durableId="578296128">
    <w:abstractNumId w:val="33"/>
  </w:num>
  <w:num w:numId="3" w16cid:durableId="1741051169">
    <w:abstractNumId w:val="33"/>
  </w:num>
  <w:num w:numId="4" w16cid:durableId="1155560808">
    <w:abstractNumId w:val="28"/>
    <w:lvlOverride w:ilvl="0">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Override>
  </w:num>
  <w:num w:numId="5" w16cid:durableId="1231190212">
    <w:abstractNumId w:val="29"/>
  </w:num>
  <w:num w:numId="6" w16cid:durableId="2088572470">
    <w:abstractNumId w:val="19"/>
  </w:num>
  <w:num w:numId="7" w16cid:durableId="1237126723">
    <w:abstractNumId w:val="22"/>
  </w:num>
  <w:num w:numId="8" w16cid:durableId="362093785">
    <w:abstractNumId w:val="26"/>
  </w:num>
  <w:num w:numId="9" w16cid:durableId="1499537967">
    <w:abstractNumId w:val="13"/>
  </w:num>
  <w:num w:numId="10" w16cid:durableId="872227817">
    <w:abstractNumId w:val="27"/>
  </w:num>
  <w:num w:numId="11" w16cid:durableId="58868466">
    <w:abstractNumId w:val="5"/>
  </w:num>
  <w:num w:numId="12" w16cid:durableId="144441378">
    <w:abstractNumId w:val="23"/>
  </w:num>
  <w:num w:numId="13" w16cid:durableId="546845269">
    <w:abstractNumId w:val="12"/>
  </w:num>
  <w:num w:numId="14" w16cid:durableId="193999439">
    <w:abstractNumId w:val="17"/>
  </w:num>
  <w:num w:numId="15" w16cid:durableId="1617715752">
    <w:abstractNumId w:val="32"/>
  </w:num>
  <w:num w:numId="16" w16cid:durableId="1094202772">
    <w:abstractNumId w:val="10"/>
  </w:num>
  <w:num w:numId="17" w16cid:durableId="1902906389">
    <w:abstractNumId w:val="11"/>
  </w:num>
  <w:num w:numId="18" w16cid:durableId="91319157">
    <w:abstractNumId w:val="15"/>
  </w:num>
  <w:num w:numId="19" w16cid:durableId="1832014906">
    <w:abstractNumId w:val="3"/>
  </w:num>
  <w:num w:numId="20" w16cid:durableId="617296394">
    <w:abstractNumId w:val="24"/>
  </w:num>
  <w:num w:numId="21" w16cid:durableId="348606052">
    <w:abstractNumId w:val="8"/>
  </w:num>
  <w:num w:numId="22" w16cid:durableId="1364214030">
    <w:abstractNumId w:val="30"/>
  </w:num>
  <w:num w:numId="23" w16cid:durableId="599142826">
    <w:abstractNumId w:val="2"/>
  </w:num>
  <w:num w:numId="24" w16cid:durableId="179701484">
    <w:abstractNumId w:val="20"/>
  </w:num>
  <w:num w:numId="25" w16cid:durableId="1302035931">
    <w:abstractNumId w:val="7"/>
  </w:num>
  <w:num w:numId="26" w16cid:durableId="337739103">
    <w:abstractNumId w:val="31"/>
  </w:num>
  <w:num w:numId="27" w16cid:durableId="60637082">
    <w:abstractNumId w:val="14"/>
  </w:num>
  <w:num w:numId="28" w16cid:durableId="1180465965">
    <w:abstractNumId w:val="18"/>
  </w:num>
  <w:num w:numId="29" w16cid:durableId="1620985792">
    <w:abstractNumId w:val="25"/>
  </w:num>
  <w:num w:numId="30" w16cid:durableId="47845720">
    <w:abstractNumId w:val="1"/>
  </w:num>
  <w:num w:numId="31" w16cid:durableId="954865689">
    <w:abstractNumId w:val="16"/>
  </w:num>
  <w:num w:numId="32" w16cid:durableId="1541937463">
    <w:abstractNumId w:val="4"/>
  </w:num>
  <w:num w:numId="33" w16cid:durableId="407264671">
    <w:abstractNumId w:val="0"/>
  </w:num>
  <w:num w:numId="34" w16cid:durableId="151913477">
    <w:abstractNumId w:val="6"/>
  </w:num>
  <w:num w:numId="35" w16cid:durableId="1235355125">
    <w:abstractNumId w:val="21"/>
  </w:num>
  <w:num w:numId="36" w16cid:durableId="1037244301">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27"/>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8E3A7A"/>
    <w:rsid w:val="00011EBE"/>
    <w:rsid w:val="000121BA"/>
    <w:rsid w:val="000136A5"/>
    <w:rsid w:val="00013E33"/>
    <w:rsid w:val="00013FDC"/>
    <w:rsid w:val="00015555"/>
    <w:rsid w:val="0001627D"/>
    <w:rsid w:val="000164A5"/>
    <w:rsid w:val="00020CF3"/>
    <w:rsid w:val="0002234B"/>
    <w:rsid w:val="000237BA"/>
    <w:rsid w:val="00023CCC"/>
    <w:rsid w:val="00024813"/>
    <w:rsid w:val="00024EFC"/>
    <w:rsid w:val="0002528E"/>
    <w:rsid w:val="0003148E"/>
    <w:rsid w:val="00032388"/>
    <w:rsid w:val="00033439"/>
    <w:rsid w:val="00034043"/>
    <w:rsid w:val="0003501D"/>
    <w:rsid w:val="000369EA"/>
    <w:rsid w:val="00036C75"/>
    <w:rsid w:val="00036FE5"/>
    <w:rsid w:val="00037DE5"/>
    <w:rsid w:val="00041055"/>
    <w:rsid w:val="00041141"/>
    <w:rsid w:val="00046136"/>
    <w:rsid w:val="00047E90"/>
    <w:rsid w:val="00056BC0"/>
    <w:rsid w:val="00061B61"/>
    <w:rsid w:val="00062BA3"/>
    <w:rsid w:val="000635BC"/>
    <w:rsid w:val="0006369F"/>
    <w:rsid w:val="00064283"/>
    <w:rsid w:val="000658B5"/>
    <w:rsid w:val="00065F7E"/>
    <w:rsid w:val="00074501"/>
    <w:rsid w:val="000760F4"/>
    <w:rsid w:val="00080037"/>
    <w:rsid w:val="00081BFA"/>
    <w:rsid w:val="00083A58"/>
    <w:rsid w:val="00083FD2"/>
    <w:rsid w:val="0008524A"/>
    <w:rsid w:val="0008584C"/>
    <w:rsid w:val="000872A3"/>
    <w:rsid w:val="00091A80"/>
    <w:rsid w:val="00093BC8"/>
    <w:rsid w:val="00095BC1"/>
    <w:rsid w:val="00096866"/>
    <w:rsid w:val="000A054F"/>
    <w:rsid w:val="000A0C2D"/>
    <w:rsid w:val="000A1273"/>
    <w:rsid w:val="000A1738"/>
    <w:rsid w:val="000A1916"/>
    <w:rsid w:val="000A1EF9"/>
    <w:rsid w:val="000A2E7B"/>
    <w:rsid w:val="000A336E"/>
    <w:rsid w:val="000A3F90"/>
    <w:rsid w:val="000A4DA7"/>
    <w:rsid w:val="000A5B5A"/>
    <w:rsid w:val="000A66C9"/>
    <w:rsid w:val="000A6E98"/>
    <w:rsid w:val="000A7A20"/>
    <w:rsid w:val="000B19D3"/>
    <w:rsid w:val="000B3106"/>
    <w:rsid w:val="000B3336"/>
    <w:rsid w:val="000B40C2"/>
    <w:rsid w:val="000B5598"/>
    <w:rsid w:val="000B5729"/>
    <w:rsid w:val="000C0CA6"/>
    <w:rsid w:val="000C1B92"/>
    <w:rsid w:val="000C4050"/>
    <w:rsid w:val="000C4291"/>
    <w:rsid w:val="000C5879"/>
    <w:rsid w:val="000D19FF"/>
    <w:rsid w:val="000D22A8"/>
    <w:rsid w:val="000D252C"/>
    <w:rsid w:val="000D3F98"/>
    <w:rsid w:val="000D739F"/>
    <w:rsid w:val="000D7560"/>
    <w:rsid w:val="000D793D"/>
    <w:rsid w:val="000D7D92"/>
    <w:rsid w:val="000D7F92"/>
    <w:rsid w:val="000E195F"/>
    <w:rsid w:val="000E5167"/>
    <w:rsid w:val="000E53AB"/>
    <w:rsid w:val="000E552A"/>
    <w:rsid w:val="000E76FA"/>
    <w:rsid w:val="000F0CAD"/>
    <w:rsid w:val="000F2461"/>
    <w:rsid w:val="000F2EDC"/>
    <w:rsid w:val="000F58A7"/>
    <w:rsid w:val="000F5A29"/>
    <w:rsid w:val="000F5CB5"/>
    <w:rsid w:val="000F6463"/>
    <w:rsid w:val="000F6579"/>
    <w:rsid w:val="000F7990"/>
    <w:rsid w:val="00100584"/>
    <w:rsid w:val="001010A9"/>
    <w:rsid w:val="00102DBC"/>
    <w:rsid w:val="00103B28"/>
    <w:rsid w:val="0010640F"/>
    <w:rsid w:val="00106589"/>
    <w:rsid w:val="00106F60"/>
    <w:rsid w:val="00112DF1"/>
    <w:rsid w:val="00113EA9"/>
    <w:rsid w:val="001141D0"/>
    <w:rsid w:val="001175CB"/>
    <w:rsid w:val="00117894"/>
    <w:rsid w:val="001178D7"/>
    <w:rsid w:val="0012062F"/>
    <w:rsid w:val="00120E3D"/>
    <w:rsid w:val="001239E7"/>
    <w:rsid w:val="0012449A"/>
    <w:rsid w:val="001279BB"/>
    <w:rsid w:val="00133783"/>
    <w:rsid w:val="001338BA"/>
    <w:rsid w:val="00134213"/>
    <w:rsid w:val="001368BE"/>
    <w:rsid w:val="00136B50"/>
    <w:rsid w:val="001425A7"/>
    <w:rsid w:val="00142C86"/>
    <w:rsid w:val="001432FE"/>
    <w:rsid w:val="00143D93"/>
    <w:rsid w:val="00144282"/>
    <w:rsid w:val="00144E74"/>
    <w:rsid w:val="001457C0"/>
    <w:rsid w:val="001523A3"/>
    <w:rsid w:val="00152581"/>
    <w:rsid w:val="00152AC1"/>
    <w:rsid w:val="00153AEF"/>
    <w:rsid w:val="001547CB"/>
    <w:rsid w:val="00154C1A"/>
    <w:rsid w:val="00156042"/>
    <w:rsid w:val="001567DD"/>
    <w:rsid w:val="00157AB6"/>
    <w:rsid w:val="00157CE7"/>
    <w:rsid w:val="00162965"/>
    <w:rsid w:val="00165E78"/>
    <w:rsid w:val="00165F83"/>
    <w:rsid w:val="00166072"/>
    <w:rsid w:val="001712E1"/>
    <w:rsid w:val="001714D3"/>
    <w:rsid w:val="0017356E"/>
    <w:rsid w:val="00174708"/>
    <w:rsid w:val="00182D27"/>
    <w:rsid w:val="00184B29"/>
    <w:rsid w:val="001851E5"/>
    <w:rsid w:val="00185E78"/>
    <w:rsid w:val="0018654C"/>
    <w:rsid w:val="00187C93"/>
    <w:rsid w:val="00191178"/>
    <w:rsid w:val="00191513"/>
    <w:rsid w:val="00191CC2"/>
    <w:rsid w:val="00192329"/>
    <w:rsid w:val="00193699"/>
    <w:rsid w:val="00193942"/>
    <w:rsid w:val="00197290"/>
    <w:rsid w:val="0019759D"/>
    <w:rsid w:val="00197ADC"/>
    <w:rsid w:val="00197E66"/>
    <w:rsid w:val="001A03FE"/>
    <w:rsid w:val="001A06E4"/>
    <w:rsid w:val="001A0E88"/>
    <w:rsid w:val="001A2B7F"/>
    <w:rsid w:val="001A3554"/>
    <w:rsid w:val="001A3D99"/>
    <w:rsid w:val="001A41EB"/>
    <w:rsid w:val="001A4611"/>
    <w:rsid w:val="001A50A3"/>
    <w:rsid w:val="001A5727"/>
    <w:rsid w:val="001A599E"/>
    <w:rsid w:val="001A7D74"/>
    <w:rsid w:val="001B23B8"/>
    <w:rsid w:val="001B3928"/>
    <w:rsid w:val="001B709F"/>
    <w:rsid w:val="001B7FA1"/>
    <w:rsid w:val="001C28D3"/>
    <w:rsid w:val="001C3BEB"/>
    <w:rsid w:val="001C3FD0"/>
    <w:rsid w:val="001C48D8"/>
    <w:rsid w:val="001C4B8A"/>
    <w:rsid w:val="001C5149"/>
    <w:rsid w:val="001C52C2"/>
    <w:rsid w:val="001C603A"/>
    <w:rsid w:val="001C6BB6"/>
    <w:rsid w:val="001D0AFC"/>
    <w:rsid w:val="001D1EF4"/>
    <w:rsid w:val="001D2019"/>
    <w:rsid w:val="001D3383"/>
    <w:rsid w:val="001D4D0D"/>
    <w:rsid w:val="001D6E4A"/>
    <w:rsid w:val="001D7528"/>
    <w:rsid w:val="001D76E4"/>
    <w:rsid w:val="001E3A54"/>
    <w:rsid w:val="001E41E5"/>
    <w:rsid w:val="001E49C9"/>
    <w:rsid w:val="001E5108"/>
    <w:rsid w:val="001E5F8E"/>
    <w:rsid w:val="001F1430"/>
    <w:rsid w:val="001F1F64"/>
    <w:rsid w:val="001F25C8"/>
    <w:rsid w:val="001F3C12"/>
    <w:rsid w:val="001F40EE"/>
    <w:rsid w:val="00200A33"/>
    <w:rsid w:val="00202C71"/>
    <w:rsid w:val="00202F7F"/>
    <w:rsid w:val="00207CBE"/>
    <w:rsid w:val="00210409"/>
    <w:rsid w:val="00210E8D"/>
    <w:rsid w:val="0021123A"/>
    <w:rsid w:val="0021134B"/>
    <w:rsid w:val="00216854"/>
    <w:rsid w:val="00217D19"/>
    <w:rsid w:val="0022009C"/>
    <w:rsid w:val="00223F37"/>
    <w:rsid w:val="00226249"/>
    <w:rsid w:val="00227152"/>
    <w:rsid w:val="002307E1"/>
    <w:rsid w:val="002320CE"/>
    <w:rsid w:val="00233385"/>
    <w:rsid w:val="002333C5"/>
    <w:rsid w:val="002349BF"/>
    <w:rsid w:val="00236950"/>
    <w:rsid w:val="00242034"/>
    <w:rsid w:val="002422FD"/>
    <w:rsid w:val="00244887"/>
    <w:rsid w:val="00244E46"/>
    <w:rsid w:val="002468CF"/>
    <w:rsid w:val="00253E2B"/>
    <w:rsid w:val="002574B2"/>
    <w:rsid w:val="00257A55"/>
    <w:rsid w:val="00260209"/>
    <w:rsid w:val="00260D13"/>
    <w:rsid w:val="00262769"/>
    <w:rsid w:val="002632B7"/>
    <w:rsid w:val="00264464"/>
    <w:rsid w:val="0026489B"/>
    <w:rsid w:val="00264F4D"/>
    <w:rsid w:val="002678DA"/>
    <w:rsid w:val="00272AAC"/>
    <w:rsid w:val="00272DD5"/>
    <w:rsid w:val="00274521"/>
    <w:rsid w:val="00275504"/>
    <w:rsid w:val="0027686A"/>
    <w:rsid w:val="002776FA"/>
    <w:rsid w:val="00277E47"/>
    <w:rsid w:val="0028070D"/>
    <w:rsid w:val="00282761"/>
    <w:rsid w:val="002871D8"/>
    <w:rsid w:val="00291082"/>
    <w:rsid w:val="002934C0"/>
    <w:rsid w:val="00295234"/>
    <w:rsid w:val="00296ADC"/>
    <w:rsid w:val="00297CB5"/>
    <w:rsid w:val="002A02B1"/>
    <w:rsid w:val="002A1211"/>
    <w:rsid w:val="002A12DA"/>
    <w:rsid w:val="002A1929"/>
    <w:rsid w:val="002A1BC8"/>
    <w:rsid w:val="002A50AE"/>
    <w:rsid w:val="002A521B"/>
    <w:rsid w:val="002A5D1A"/>
    <w:rsid w:val="002A66E5"/>
    <w:rsid w:val="002B1417"/>
    <w:rsid w:val="002B161A"/>
    <w:rsid w:val="002B16A7"/>
    <w:rsid w:val="002B3C79"/>
    <w:rsid w:val="002B5C37"/>
    <w:rsid w:val="002C0BE4"/>
    <w:rsid w:val="002C147F"/>
    <w:rsid w:val="002C1A6F"/>
    <w:rsid w:val="002C1E4B"/>
    <w:rsid w:val="002C2769"/>
    <w:rsid w:val="002C2E1B"/>
    <w:rsid w:val="002C3839"/>
    <w:rsid w:val="002C3AFC"/>
    <w:rsid w:val="002C4209"/>
    <w:rsid w:val="002C6669"/>
    <w:rsid w:val="002D291F"/>
    <w:rsid w:val="002D374F"/>
    <w:rsid w:val="002D521E"/>
    <w:rsid w:val="002D62CE"/>
    <w:rsid w:val="002D67D3"/>
    <w:rsid w:val="002D7462"/>
    <w:rsid w:val="002E001E"/>
    <w:rsid w:val="002E038B"/>
    <w:rsid w:val="002E1998"/>
    <w:rsid w:val="002E2CB1"/>
    <w:rsid w:val="002E2F01"/>
    <w:rsid w:val="002E41A9"/>
    <w:rsid w:val="002E6D7C"/>
    <w:rsid w:val="002E7E37"/>
    <w:rsid w:val="002E7E53"/>
    <w:rsid w:val="002F0E89"/>
    <w:rsid w:val="002F208B"/>
    <w:rsid w:val="002F2993"/>
    <w:rsid w:val="002F52F7"/>
    <w:rsid w:val="002F5514"/>
    <w:rsid w:val="002F6F32"/>
    <w:rsid w:val="003004FA"/>
    <w:rsid w:val="00303CD4"/>
    <w:rsid w:val="0030578E"/>
    <w:rsid w:val="0030669E"/>
    <w:rsid w:val="0030795C"/>
    <w:rsid w:val="00313F81"/>
    <w:rsid w:val="00314BB5"/>
    <w:rsid w:val="0031785B"/>
    <w:rsid w:val="00320667"/>
    <w:rsid w:val="003223B2"/>
    <w:rsid w:val="003233EA"/>
    <w:rsid w:val="00325A41"/>
    <w:rsid w:val="00327466"/>
    <w:rsid w:val="003300BD"/>
    <w:rsid w:val="00333BFF"/>
    <w:rsid w:val="00336E8A"/>
    <w:rsid w:val="00337255"/>
    <w:rsid w:val="00337769"/>
    <w:rsid w:val="0033785B"/>
    <w:rsid w:val="0034210B"/>
    <w:rsid w:val="00342671"/>
    <w:rsid w:val="00342B0C"/>
    <w:rsid w:val="00343C87"/>
    <w:rsid w:val="003450AC"/>
    <w:rsid w:val="00351CED"/>
    <w:rsid w:val="0035330E"/>
    <w:rsid w:val="00353DC5"/>
    <w:rsid w:val="003606B1"/>
    <w:rsid w:val="0036434E"/>
    <w:rsid w:val="00367754"/>
    <w:rsid w:val="003713D2"/>
    <w:rsid w:val="00372883"/>
    <w:rsid w:val="00375370"/>
    <w:rsid w:val="00380698"/>
    <w:rsid w:val="00380AA5"/>
    <w:rsid w:val="0038259F"/>
    <w:rsid w:val="00384233"/>
    <w:rsid w:val="003845DF"/>
    <w:rsid w:val="00385AC6"/>
    <w:rsid w:val="00386BA6"/>
    <w:rsid w:val="00387AAC"/>
    <w:rsid w:val="00391E39"/>
    <w:rsid w:val="0039434E"/>
    <w:rsid w:val="00397A3B"/>
    <w:rsid w:val="003A0533"/>
    <w:rsid w:val="003A5810"/>
    <w:rsid w:val="003A5F1D"/>
    <w:rsid w:val="003A67D8"/>
    <w:rsid w:val="003A68CB"/>
    <w:rsid w:val="003B3D1A"/>
    <w:rsid w:val="003B4928"/>
    <w:rsid w:val="003B551F"/>
    <w:rsid w:val="003B5C68"/>
    <w:rsid w:val="003C1731"/>
    <w:rsid w:val="003C17BB"/>
    <w:rsid w:val="003C27E2"/>
    <w:rsid w:val="003C3CC4"/>
    <w:rsid w:val="003C469B"/>
    <w:rsid w:val="003D0D9C"/>
    <w:rsid w:val="003D1716"/>
    <w:rsid w:val="003D17FB"/>
    <w:rsid w:val="003D2652"/>
    <w:rsid w:val="003D2B5A"/>
    <w:rsid w:val="003D5D9E"/>
    <w:rsid w:val="003D5EAF"/>
    <w:rsid w:val="003D70C7"/>
    <w:rsid w:val="003E0987"/>
    <w:rsid w:val="003E0E97"/>
    <w:rsid w:val="003E0F3F"/>
    <w:rsid w:val="003E14DC"/>
    <w:rsid w:val="003E19F9"/>
    <w:rsid w:val="003E1AC6"/>
    <w:rsid w:val="003E37B6"/>
    <w:rsid w:val="003E3CF0"/>
    <w:rsid w:val="003E4D00"/>
    <w:rsid w:val="003E7795"/>
    <w:rsid w:val="003F0176"/>
    <w:rsid w:val="003F0791"/>
    <w:rsid w:val="003F0DE2"/>
    <w:rsid w:val="003F1B03"/>
    <w:rsid w:val="003F422C"/>
    <w:rsid w:val="003F4615"/>
    <w:rsid w:val="003F4678"/>
    <w:rsid w:val="003F5B8F"/>
    <w:rsid w:val="003F6013"/>
    <w:rsid w:val="003F7A4E"/>
    <w:rsid w:val="004003DB"/>
    <w:rsid w:val="00401788"/>
    <w:rsid w:val="00401B43"/>
    <w:rsid w:val="00402F1C"/>
    <w:rsid w:val="00405E13"/>
    <w:rsid w:val="00406078"/>
    <w:rsid w:val="00407E7F"/>
    <w:rsid w:val="00410032"/>
    <w:rsid w:val="00411636"/>
    <w:rsid w:val="00411B7D"/>
    <w:rsid w:val="00412FFB"/>
    <w:rsid w:val="004133BD"/>
    <w:rsid w:val="00413623"/>
    <w:rsid w:val="00414086"/>
    <w:rsid w:val="00416267"/>
    <w:rsid w:val="00416788"/>
    <w:rsid w:val="0042039D"/>
    <w:rsid w:val="00421E99"/>
    <w:rsid w:val="004223ED"/>
    <w:rsid w:val="00424406"/>
    <w:rsid w:val="004252F4"/>
    <w:rsid w:val="00425C5C"/>
    <w:rsid w:val="004265BE"/>
    <w:rsid w:val="00431975"/>
    <w:rsid w:val="00433093"/>
    <w:rsid w:val="004339D6"/>
    <w:rsid w:val="00435303"/>
    <w:rsid w:val="0044217F"/>
    <w:rsid w:val="0044369F"/>
    <w:rsid w:val="00444B74"/>
    <w:rsid w:val="00447F86"/>
    <w:rsid w:val="00450AEF"/>
    <w:rsid w:val="00451A7A"/>
    <w:rsid w:val="0045454F"/>
    <w:rsid w:val="0045567D"/>
    <w:rsid w:val="004622D6"/>
    <w:rsid w:val="004624F7"/>
    <w:rsid w:val="00462C1E"/>
    <w:rsid w:val="004642D9"/>
    <w:rsid w:val="00466AF8"/>
    <w:rsid w:val="00467B74"/>
    <w:rsid w:val="00467CE7"/>
    <w:rsid w:val="004702B9"/>
    <w:rsid w:val="0047130C"/>
    <w:rsid w:val="004753EA"/>
    <w:rsid w:val="00483DE7"/>
    <w:rsid w:val="0048437F"/>
    <w:rsid w:val="00491F89"/>
    <w:rsid w:val="00495969"/>
    <w:rsid w:val="00497959"/>
    <w:rsid w:val="004A0ED4"/>
    <w:rsid w:val="004A1736"/>
    <w:rsid w:val="004A1BC5"/>
    <w:rsid w:val="004A3278"/>
    <w:rsid w:val="004A489C"/>
    <w:rsid w:val="004A4B45"/>
    <w:rsid w:val="004A58E5"/>
    <w:rsid w:val="004A6A7C"/>
    <w:rsid w:val="004A6D7F"/>
    <w:rsid w:val="004A7DA8"/>
    <w:rsid w:val="004B17FB"/>
    <w:rsid w:val="004B3359"/>
    <w:rsid w:val="004B38F6"/>
    <w:rsid w:val="004C26DA"/>
    <w:rsid w:val="004C2CBD"/>
    <w:rsid w:val="004C2D38"/>
    <w:rsid w:val="004C359D"/>
    <w:rsid w:val="004C47F5"/>
    <w:rsid w:val="004C49CA"/>
    <w:rsid w:val="004C6084"/>
    <w:rsid w:val="004C63E0"/>
    <w:rsid w:val="004C6C62"/>
    <w:rsid w:val="004D0DC8"/>
    <w:rsid w:val="004D1D34"/>
    <w:rsid w:val="004D1FE3"/>
    <w:rsid w:val="004D2834"/>
    <w:rsid w:val="004D3380"/>
    <w:rsid w:val="004D7430"/>
    <w:rsid w:val="004E06CD"/>
    <w:rsid w:val="004E0750"/>
    <w:rsid w:val="004E142F"/>
    <w:rsid w:val="004E169F"/>
    <w:rsid w:val="004E18F2"/>
    <w:rsid w:val="004E2765"/>
    <w:rsid w:val="004E38D4"/>
    <w:rsid w:val="004E5861"/>
    <w:rsid w:val="004E5EEB"/>
    <w:rsid w:val="004F16FA"/>
    <w:rsid w:val="004F6546"/>
    <w:rsid w:val="005013B9"/>
    <w:rsid w:val="00504AE4"/>
    <w:rsid w:val="00505381"/>
    <w:rsid w:val="00505B19"/>
    <w:rsid w:val="005062D4"/>
    <w:rsid w:val="0050706D"/>
    <w:rsid w:val="005071B9"/>
    <w:rsid w:val="00507D3A"/>
    <w:rsid w:val="00507DED"/>
    <w:rsid w:val="00510A99"/>
    <w:rsid w:val="00512BE7"/>
    <w:rsid w:val="005138A5"/>
    <w:rsid w:val="00520281"/>
    <w:rsid w:val="00521C5A"/>
    <w:rsid w:val="00521CCB"/>
    <w:rsid w:val="005234AB"/>
    <w:rsid w:val="00524354"/>
    <w:rsid w:val="00524FC5"/>
    <w:rsid w:val="005265F9"/>
    <w:rsid w:val="005266C3"/>
    <w:rsid w:val="00527D0A"/>
    <w:rsid w:val="005316C5"/>
    <w:rsid w:val="0053555D"/>
    <w:rsid w:val="00536075"/>
    <w:rsid w:val="00537ECB"/>
    <w:rsid w:val="005410C1"/>
    <w:rsid w:val="00544B18"/>
    <w:rsid w:val="0055060F"/>
    <w:rsid w:val="005520BC"/>
    <w:rsid w:val="00552F86"/>
    <w:rsid w:val="005532C6"/>
    <w:rsid w:val="005559C1"/>
    <w:rsid w:val="0055601C"/>
    <w:rsid w:val="00562DF0"/>
    <w:rsid w:val="005634B4"/>
    <w:rsid w:val="0056463F"/>
    <w:rsid w:val="005646CD"/>
    <w:rsid w:val="0056489B"/>
    <w:rsid w:val="00566964"/>
    <w:rsid w:val="00570151"/>
    <w:rsid w:val="005743DF"/>
    <w:rsid w:val="00582037"/>
    <w:rsid w:val="00583BF3"/>
    <w:rsid w:val="00584EA0"/>
    <w:rsid w:val="00585314"/>
    <w:rsid w:val="00585D96"/>
    <w:rsid w:val="00585FC6"/>
    <w:rsid w:val="00586756"/>
    <w:rsid w:val="00586A68"/>
    <w:rsid w:val="005915AE"/>
    <w:rsid w:val="0059331F"/>
    <w:rsid w:val="00593C4E"/>
    <w:rsid w:val="005943E4"/>
    <w:rsid w:val="00594996"/>
    <w:rsid w:val="00595909"/>
    <w:rsid w:val="005A094A"/>
    <w:rsid w:val="005A142A"/>
    <w:rsid w:val="005A22A5"/>
    <w:rsid w:val="005A647D"/>
    <w:rsid w:val="005B158F"/>
    <w:rsid w:val="005B1BD1"/>
    <w:rsid w:val="005B2791"/>
    <w:rsid w:val="005B3A1A"/>
    <w:rsid w:val="005B4808"/>
    <w:rsid w:val="005B5231"/>
    <w:rsid w:val="005B6306"/>
    <w:rsid w:val="005B7A23"/>
    <w:rsid w:val="005C317B"/>
    <w:rsid w:val="005C3BCC"/>
    <w:rsid w:val="005C3C53"/>
    <w:rsid w:val="005C3D26"/>
    <w:rsid w:val="005C76E3"/>
    <w:rsid w:val="005C7EC8"/>
    <w:rsid w:val="005D02E1"/>
    <w:rsid w:val="005D1997"/>
    <w:rsid w:val="005D2781"/>
    <w:rsid w:val="005D32BE"/>
    <w:rsid w:val="005D65FE"/>
    <w:rsid w:val="005D7DCC"/>
    <w:rsid w:val="005E0042"/>
    <w:rsid w:val="005E3316"/>
    <w:rsid w:val="005E3C4D"/>
    <w:rsid w:val="005E3E4E"/>
    <w:rsid w:val="005F0275"/>
    <w:rsid w:val="005F08D9"/>
    <w:rsid w:val="005F36C3"/>
    <w:rsid w:val="005F4740"/>
    <w:rsid w:val="005F56D4"/>
    <w:rsid w:val="005F59AA"/>
    <w:rsid w:val="005F7165"/>
    <w:rsid w:val="005F79E3"/>
    <w:rsid w:val="00602753"/>
    <w:rsid w:val="0060327D"/>
    <w:rsid w:val="00603D3A"/>
    <w:rsid w:val="00606ED1"/>
    <w:rsid w:val="0060777F"/>
    <w:rsid w:val="00607D8E"/>
    <w:rsid w:val="00610149"/>
    <w:rsid w:val="0061259C"/>
    <w:rsid w:val="006157C3"/>
    <w:rsid w:val="00616063"/>
    <w:rsid w:val="00616A8F"/>
    <w:rsid w:val="0062006A"/>
    <w:rsid w:val="00620692"/>
    <w:rsid w:val="00621DAE"/>
    <w:rsid w:val="00622A8D"/>
    <w:rsid w:val="0062348C"/>
    <w:rsid w:val="006330DA"/>
    <w:rsid w:val="0063532A"/>
    <w:rsid w:val="006367D6"/>
    <w:rsid w:val="00640006"/>
    <w:rsid w:val="0064041E"/>
    <w:rsid w:val="00640B02"/>
    <w:rsid w:val="00644F41"/>
    <w:rsid w:val="006454C7"/>
    <w:rsid w:val="006458A1"/>
    <w:rsid w:val="0064638E"/>
    <w:rsid w:val="00647F38"/>
    <w:rsid w:val="00656D2E"/>
    <w:rsid w:val="0065754D"/>
    <w:rsid w:val="00662B82"/>
    <w:rsid w:val="00663A07"/>
    <w:rsid w:val="00663EB2"/>
    <w:rsid w:val="00664625"/>
    <w:rsid w:val="00664F81"/>
    <w:rsid w:val="00665B4F"/>
    <w:rsid w:val="00665F53"/>
    <w:rsid w:val="006666F0"/>
    <w:rsid w:val="006761D1"/>
    <w:rsid w:val="006818CB"/>
    <w:rsid w:val="00681DC4"/>
    <w:rsid w:val="00682690"/>
    <w:rsid w:val="00686747"/>
    <w:rsid w:val="00687FC3"/>
    <w:rsid w:val="006909B3"/>
    <w:rsid w:val="006910B9"/>
    <w:rsid w:val="00691B1E"/>
    <w:rsid w:val="00693751"/>
    <w:rsid w:val="00693793"/>
    <w:rsid w:val="00693A71"/>
    <w:rsid w:val="00696921"/>
    <w:rsid w:val="006A0D5B"/>
    <w:rsid w:val="006A261D"/>
    <w:rsid w:val="006A35DD"/>
    <w:rsid w:val="006A3CDA"/>
    <w:rsid w:val="006A3D01"/>
    <w:rsid w:val="006A768B"/>
    <w:rsid w:val="006A7FC2"/>
    <w:rsid w:val="006B0B35"/>
    <w:rsid w:val="006B0C33"/>
    <w:rsid w:val="006B1240"/>
    <w:rsid w:val="006B2725"/>
    <w:rsid w:val="006B3A4B"/>
    <w:rsid w:val="006B4175"/>
    <w:rsid w:val="006B4500"/>
    <w:rsid w:val="006B6B6B"/>
    <w:rsid w:val="006B6C8D"/>
    <w:rsid w:val="006B6CB3"/>
    <w:rsid w:val="006B7C51"/>
    <w:rsid w:val="006C1340"/>
    <w:rsid w:val="006C1E76"/>
    <w:rsid w:val="006C2813"/>
    <w:rsid w:val="006C2EEC"/>
    <w:rsid w:val="006C3EE5"/>
    <w:rsid w:val="006C3FCD"/>
    <w:rsid w:val="006C4497"/>
    <w:rsid w:val="006C5560"/>
    <w:rsid w:val="006C5BC4"/>
    <w:rsid w:val="006C643E"/>
    <w:rsid w:val="006D0E06"/>
    <w:rsid w:val="006D118B"/>
    <w:rsid w:val="006D2526"/>
    <w:rsid w:val="006D41CA"/>
    <w:rsid w:val="006D6392"/>
    <w:rsid w:val="006D7A2A"/>
    <w:rsid w:val="006E0022"/>
    <w:rsid w:val="006E281A"/>
    <w:rsid w:val="006E546F"/>
    <w:rsid w:val="006E5981"/>
    <w:rsid w:val="006E6195"/>
    <w:rsid w:val="006E777C"/>
    <w:rsid w:val="006E7EA8"/>
    <w:rsid w:val="006F0D69"/>
    <w:rsid w:val="006F169C"/>
    <w:rsid w:val="006F297E"/>
    <w:rsid w:val="006F50F5"/>
    <w:rsid w:val="006F5C6F"/>
    <w:rsid w:val="006F7CB3"/>
    <w:rsid w:val="007023B2"/>
    <w:rsid w:val="0070784B"/>
    <w:rsid w:val="00707B0F"/>
    <w:rsid w:val="00710AEE"/>
    <w:rsid w:val="00711370"/>
    <w:rsid w:val="00713ADF"/>
    <w:rsid w:val="00716958"/>
    <w:rsid w:val="00722E45"/>
    <w:rsid w:val="0072344E"/>
    <w:rsid w:val="00724799"/>
    <w:rsid w:val="00732F33"/>
    <w:rsid w:val="00733BB6"/>
    <w:rsid w:val="00734448"/>
    <w:rsid w:val="007345C6"/>
    <w:rsid w:val="0073698E"/>
    <w:rsid w:val="007369FD"/>
    <w:rsid w:val="00740F95"/>
    <w:rsid w:val="00742A2A"/>
    <w:rsid w:val="00742D15"/>
    <w:rsid w:val="00743223"/>
    <w:rsid w:val="00743F2B"/>
    <w:rsid w:val="007454B9"/>
    <w:rsid w:val="007467E3"/>
    <w:rsid w:val="00751B97"/>
    <w:rsid w:val="00752D37"/>
    <w:rsid w:val="007531C4"/>
    <w:rsid w:val="00754945"/>
    <w:rsid w:val="00756E38"/>
    <w:rsid w:val="007577DB"/>
    <w:rsid w:val="00760E66"/>
    <w:rsid w:val="00762818"/>
    <w:rsid w:val="00763211"/>
    <w:rsid w:val="007641A7"/>
    <w:rsid w:val="0076540B"/>
    <w:rsid w:val="00772BCA"/>
    <w:rsid w:val="0077540F"/>
    <w:rsid w:val="0077668B"/>
    <w:rsid w:val="007776CE"/>
    <w:rsid w:val="00780046"/>
    <w:rsid w:val="00780A83"/>
    <w:rsid w:val="007819DD"/>
    <w:rsid w:val="00781B86"/>
    <w:rsid w:val="00781D4D"/>
    <w:rsid w:val="00784B6E"/>
    <w:rsid w:val="00793488"/>
    <w:rsid w:val="00794B20"/>
    <w:rsid w:val="00796DE6"/>
    <w:rsid w:val="007A049D"/>
    <w:rsid w:val="007A63DD"/>
    <w:rsid w:val="007B03B8"/>
    <w:rsid w:val="007B20FE"/>
    <w:rsid w:val="007B3904"/>
    <w:rsid w:val="007B4C52"/>
    <w:rsid w:val="007B5FB6"/>
    <w:rsid w:val="007B730B"/>
    <w:rsid w:val="007C0D01"/>
    <w:rsid w:val="007C0EA9"/>
    <w:rsid w:val="007C13F1"/>
    <w:rsid w:val="007C5286"/>
    <w:rsid w:val="007C5B4F"/>
    <w:rsid w:val="007C5FAE"/>
    <w:rsid w:val="007C68A4"/>
    <w:rsid w:val="007D0359"/>
    <w:rsid w:val="007D1CC1"/>
    <w:rsid w:val="007D3AED"/>
    <w:rsid w:val="007D6BB6"/>
    <w:rsid w:val="007E6C0C"/>
    <w:rsid w:val="007F1006"/>
    <w:rsid w:val="007F3B3D"/>
    <w:rsid w:val="007F6088"/>
    <w:rsid w:val="007F7683"/>
    <w:rsid w:val="007F7F9B"/>
    <w:rsid w:val="0080000F"/>
    <w:rsid w:val="00800F49"/>
    <w:rsid w:val="00802574"/>
    <w:rsid w:val="00803042"/>
    <w:rsid w:val="008043C0"/>
    <w:rsid w:val="008044C2"/>
    <w:rsid w:val="00806A1D"/>
    <w:rsid w:val="00807516"/>
    <w:rsid w:val="0080756E"/>
    <w:rsid w:val="00807B89"/>
    <w:rsid w:val="008105C7"/>
    <w:rsid w:val="008106C1"/>
    <w:rsid w:val="00810F2C"/>
    <w:rsid w:val="00812BC5"/>
    <w:rsid w:val="00813D71"/>
    <w:rsid w:val="00814EB6"/>
    <w:rsid w:val="00814EEE"/>
    <w:rsid w:val="00815B59"/>
    <w:rsid w:val="00816C0A"/>
    <w:rsid w:val="00822E54"/>
    <w:rsid w:val="00823B41"/>
    <w:rsid w:val="0082499B"/>
    <w:rsid w:val="008254F9"/>
    <w:rsid w:val="00825F78"/>
    <w:rsid w:val="00826D89"/>
    <w:rsid w:val="0082700C"/>
    <w:rsid w:val="00831855"/>
    <w:rsid w:val="008326EB"/>
    <w:rsid w:val="008327AB"/>
    <w:rsid w:val="008333D4"/>
    <w:rsid w:val="00834459"/>
    <w:rsid w:val="00835736"/>
    <w:rsid w:val="00835D56"/>
    <w:rsid w:val="00837C66"/>
    <w:rsid w:val="008520E2"/>
    <w:rsid w:val="00853537"/>
    <w:rsid w:val="008603FF"/>
    <w:rsid w:val="0086194B"/>
    <w:rsid w:val="008629B7"/>
    <w:rsid w:val="00862D9B"/>
    <w:rsid w:val="0086323A"/>
    <w:rsid w:val="00864F9E"/>
    <w:rsid w:val="00867C7F"/>
    <w:rsid w:val="00867FD1"/>
    <w:rsid w:val="0087248E"/>
    <w:rsid w:val="00872DBB"/>
    <w:rsid w:val="00873EEA"/>
    <w:rsid w:val="00875B30"/>
    <w:rsid w:val="00876962"/>
    <w:rsid w:val="00880FAF"/>
    <w:rsid w:val="008877E5"/>
    <w:rsid w:val="0088797B"/>
    <w:rsid w:val="008942CC"/>
    <w:rsid w:val="00896871"/>
    <w:rsid w:val="008969F7"/>
    <w:rsid w:val="00896BFF"/>
    <w:rsid w:val="008A1F47"/>
    <w:rsid w:val="008A3F11"/>
    <w:rsid w:val="008A6F64"/>
    <w:rsid w:val="008A7CA5"/>
    <w:rsid w:val="008B0557"/>
    <w:rsid w:val="008B4110"/>
    <w:rsid w:val="008B41E5"/>
    <w:rsid w:val="008B4594"/>
    <w:rsid w:val="008B513E"/>
    <w:rsid w:val="008B591A"/>
    <w:rsid w:val="008B6BA7"/>
    <w:rsid w:val="008B6CDD"/>
    <w:rsid w:val="008C03F4"/>
    <w:rsid w:val="008C20AC"/>
    <w:rsid w:val="008C3C5D"/>
    <w:rsid w:val="008C3D81"/>
    <w:rsid w:val="008C75B8"/>
    <w:rsid w:val="008D1C45"/>
    <w:rsid w:val="008D1DE2"/>
    <w:rsid w:val="008D5EA6"/>
    <w:rsid w:val="008D6976"/>
    <w:rsid w:val="008D7966"/>
    <w:rsid w:val="008E0BDC"/>
    <w:rsid w:val="008E2748"/>
    <w:rsid w:val="008E37C3"/>
    <w:rsid w:val="008E3A7A"/>
    <w:rsid w:val="008E4920"/>
    <w:rsid w:val="008E5623"/>
    <w:rsid w:val="008E6310"/>
    <w:rsid w:val="008E76B2"/>
    <w:rsid w:val="008F049D"/>
    <w:rsid w:val="008F22DF"/>
    <w:rsid w:val="008F348D"/>
    <w:rsid w:val="008F5915"/>
    <w:rsid w:val="008F68E6"/>
    <w:rsid w:val="008F7ED4"/>
    <w:rsid w:val="009042B2"/>
    <w:rsid w:val="00905EE7"/>
    <w:rsid w:val="00907414"/>
    <w:rsid w:val="00907D31"/>
    <w:rsid w:val="009148B4"/>
    <w:rsid w:val="00916AB3"/>
    <w:rsid w:val="009173AC"/>
    <w:rsid w:val="00917DA2"/>
    <w:rsid w:val="009205AF"/>
    <w:rsid w:val="009240E0"/>
    <w:rsid w:val="00925993"/>
    <w:rsid w:val="00930132"/>
    <w:rsid w:val="00930D4E"/>
    <w:rsid w:val="00932857"/>
    <w:rsid w:val="009363FF"/>
    <w:rsid w:val="0093688A"/>
    <w:rsid w:val="00943667"/>
    <w:rsid w:val="00944B83"/>
    <w:rsid w:val="00944E01"/>
    <w:rsid w:val="00950CB7"/>
    <w:rsid w:val="00951C2A"/>
    <w:rsid w:val="00951EA7"/>
    <w:rsid w:val="009527AE"/>
    <w:rsid w:val="0095289A"/>
    <w:rsid w:val="0095480D"/>
    <w:rsid w:val="00957C0B"/>
    <w:rsid w:val="00961093"/>
    <w:rsid w:val="00962401"/>
    <w:rsid w:val="00963E17"/>
    <w:rsid w:val="009643B7"/>
    <w:rsid w:val="0096683E"/>
    <w:rsid w:val="009673AA"/>
    <w:rsid w:val="009720E5"/>
    <w:rsid w:val="0097559E"/>
    <w:rsid w:val="00977BFB"/>
    <w:rsid w:val="009805D1"/>
    <w:rsid w:val="00983A0C"/>
    <w:rsid w:val="0098562A"/>
    <w:rsid w:val="00985941"/>
    <w:rsid w:val="009875F1"/>
    <w:rsid w:val="009939C2"/>
    <w:rsid w:val="009949CF"/>
    <w:rsid w:val="009951D1"/>
    <w:rsid w:val="009967DA"/>
    <w:rsid w:val="00996A28"/>
    <w:rsid w:val="009A1343"/>
    <w:rsid w:val="009A244B"/>
    <w:rsid w:val="009A293F"/>
    <w:rsid w:val="009A29FA"/>
    <w:rsid w:val="009A3301"/>
    <w:rsid w:val="009A4CF8"/>
    <w:rsid w:val="009A7E7C"/>
    <w:rsid w:val="009B08C9"/>
    <w:rsid w:val="009B2BD5"/>
    <w:rsid w:val="009B415F"/>
    <w:rsid w:val="009C13E0"/>
    <w:rsid w:val="009C6862"/>
    <w:rsid w:val="009C69D1"/>
    <w:rsid w:val="009D04F8"/>
    <w:rsid w:val="009D13BE"/>
    <w:rsid w:val="009D18FC"/>
    <w:rsid w:val="009D27F9"/>
    <w:rsid w:val="009D5542"/>
    <w:rsid w:val="009D5614"/>
    <w:rsid w:val="009D6BAB"/>
    <w:rsid w:val="009D7365"/>
    <w:rsid w:val="009E0D5D"/>
    <w:rsid w:val="009E0DBB"/>
    <w:rsid w:val="009E3ABE"/>
    <w:rsid w:val="009E4E09"/>
    <w:rsid w:val="009E5530"/>
    <w:rsid w:val="009F1238"/>
    <w:rsid w:val="009F1578"/>
    <w:rsid w:val="009F32C5"/>
    <w:rsid w:val="009F3EB9"/>
    <w:rsid w:val="009F4403"/>
    <w:rsid w:val="00A002B2"/>
    <w:rsid w:val="00A0390D"/>
    <w:rsid w:val="00A040B2"/>
    <w:rsid w:val="00A05877"/>
    <w:rsid w:val="00A05B14"/>
    <w:rsid w:val="00A05CB3"/>
    <w:rsid w:val="00A10C8D"/>
    <w:rsid w:val="00A11010"/>
    <w:rsid w:val="00A121BE"/>
    <w:rsid w:val="00A124BD"/>
    <w:rsid w:val="00A1740D"/>
    <w:rsid w:val="00A2102A"/>
    <w:rsid w:val="00A21250"/>
    <w:rsid w:val="00A237CC"/>
    <w:rsid w:val="00A239E9"/>
    <w:rsid w:val="00A24E7E"/>
    <w:rsid w:val="00A263AC"/>
    <w:rsid w:val="00A26FDC"/>
    <w:rsid w:val="00A305C0"/>
    <w:rsid w:val="00A30B2F"/>
    <w:rsid w:val="00A30CA2"/>
    <w:rsid w:val="00A311EC"/>
    <w:rsid w:val="00A31F47"/>
    <w:rsid w:val="00A3271C"/>
    <w:rsid w:val="00A3563F"/>
    <w:rsid w:val="00A35EB9"/>
    <w:rsid w:val="00A37834"/>
    <w:rsid w:val="00A379D0"/>
    <w:rsid w:val="00A406C2"/>
    <w:rsid w:val="00A40702"/>
    <w:rsid w:val="00A40E79"/>
    <w:rsid w:val="00A41D2C"/>
    <w:rsid w:val="00A438DA"/>
    <w:rsid w:val="00A45CA9"/>
    <w:rsid w:val="00A50F2A"/>
    <w:rsid w:val="00A549C7"/>
    <w:rsid w:val="00A54B77"/>
    <w:rsid w:val="00A554CC"/>
    <w:rsid w:val="00A554D4"/>
    <w:rsid w:val="00A57BEE"/>
    <w:rsid w:val="00A60798"/>
    <w:rsid w:val="00A608A2"/>
    <w:rsid w:val="00A61580"/>
    <w:rsid w:val="00A62057"/>
    <w:rsid w:val="00A62BBD"/>
    <w:rsid w:val="00A6586C"/>
    <w:rsid w:val="00A6719F"/>
    <w:rsid w:val="00A72917"/>
    <w:rsid w:val="00A738DB"/>
    <w:rsid w:val="00A752C3"/>
    <w:rsid w:val="00A76331"/>
    <w:rsid w:val="00A7654D"/>
    <w:rsid w:val="00A76AD3"/>
    <w:rsid w:val="00A778EF"/>
    <w:rsid w:val="00A77C9F"/>
    <w:rsid w:val="00A80C22"/>
    <w:rsid w:val="00A81E88"/>
    <w:rsid w:val="00A8239E"/>
    <w:rsid w:val="00A82C5F"/>
    <w:rsid w:val="00A857C9"/>
    <w:rsid w:val="00A866B8"/>
    <w:rsid w:val="00A91389"/>
    <w:rsid w:val="00A9727D"/>
    <w:rsid w:val="00A97298"/>
    <w:rsid w:val="00A97EE7"/>
    <w:rsid w:val="00AA5A72"/>
    <w:rsid w:val="00AA5D4F"/>
    <w:rsid w:val="00AB0BBD"/>
    <w:rsid w:val="00AB0D0F"/>
    <w:rsid w:val="00AB3114"/>
    <w:rsid w:val="00AB3259"/>
    <w:rsid w:val="00AB396A"/>
    <w:rsid w:val="00AB3C56"/>
    <w:rsid w:val="00AB3E03"/>
    <w:rsid w:val="00AB6449"/>
    <w:rsid w:val="00AB64A7"/>
    <w:rsid w:val="00AC04BB"/>
    <w:rsid w:val="00AC2041"/>
    <w:rsid w:val="00AC2C84"/>
    <w:rsid w:val="00AC3294"/>
    <w:rsid w:val="00AC4303"/>
    <w:rsid w:val="00AC4B47"/>
    <w:rsid w:val="00AC4CF0"/>
    <w:rsid w:val="00AC6350"/>
    <w:rsid w:val="00AC75DC"/>
    <w:rsid w:val="00AD10B5"/>
    <w:rsid w:val="00AD2E22"/>
    <w:rsid w:val="00AD2F37"/>
    <w:rsid w:val="00AD374F"/>
    <w:rsid w:val="00AD3B5E"/>
    <w:rsid w:val="00AD54DB"/>
    <w:rsid w:val="00AD5C27"/>
    <w:rsid w:val="00AD64EA"/>
    <w:rsid w:val="00AE2702"/>
    <w:rsid w:val="00AE4737"/>
    <w:rsid w:val="00AE5580"/>
    <w:rsid w:val="00AE5EDF"/>
    <w:rsid w:val="00AE6670"/>
    <w:rsid w:val="00AE7410"/>
    <w:rsid w:val="00AE7D1E"/>
    <w:rsid w:val="00AF01D0"/>
    <w:rsid w:val="00AF1121"/>
    <w:rsid w:val="00AF2B03"/>
    <w:rsid w:val="00AF72A3"/>
    <w:rsid w:val="00AF74B0"/>
    <w:rsid w:val="00B00592"/>
    <w:rsid w:val="00B0136D"/>
    <w:rsid w:val="00B014AA"/>
    <w:rsid w:val="00B0201E"/>
    <w:rsid w:val="00B02197"/>
    <w:rsid w:val="00B03FC2"/>
    <w:rsid w:val="00B044AE"/>
    <w:rsid w:val="00B0751F"/>
    <w:rsid w:val="00B12ADD"/>
    <w:rsid w:val="00B146CB"/>
    <w:rsid w:val="00B16C4D"/>
    <w:rsid w:val="00B22EE5"/>
    <w:rsid w:val="00B232F6"/>
    <w:rsid w:val="00B23442"/>
    <w:rsid w:val="00B26D2F"/>
    <w:rsid w:val="00B3112C"/>
    <w:rsid w:val="00B33686"/>
    <w:rsid w:val="00B36484"/>
    <w:rsid w:val="00B36DA0"/>
    <w:rsid w:val="00B37CD6"/>
    <w:rsid w:val="00B41C57"/>
    <w:rsid w:val="00B42F1B"/>
    <w:rsid w:val="00B46DAE"/>
    <w:rsid w:val="00B46E65"/>
    <w:rsid w:val="00B50CF8"/>
    <w:rsid w:val="00B51AE2"/>
    <w:rsid w:val="00B52143"/>
    <w:rsid w:val="00B543B5"/>
    <w:rsid w:val="00B57046"/>
    <w:rsid w:val="00B5778A"/>
    <w:rsid w:val="00B60932"/>
    <w:rsid w:val="00B6203C"/>
    <w:rsid w:val="00B62237"/>
    <w:rsid w:val="00B62340"/>
    <w:rsid w:val="00B64364"/>
    <w:rsid w:val="00B67DE1"/>
    <w:rsid w:val="00B70F22"/>
    <w:rsid w:val="00B71030"/>
    <w:rsid w:val="00B715FF"/>
    <w:rsid w:val="00B72F90"/>
    <w:rsid w:val="00B761FF"/>
    <w:rsid w:val="00B81FB3"/>
    <w:rsid w:val="00B83C76"/>
    <w:rsid w:val="00B846A2"/>
    <w:rsid w:val="00B848DC"/>
    <w:rsid w:val="00B90471"/>
    <w:rsid w:val="00B91866"/>
    <w:rsid w:val="00B920FA"/>
    <w:rsid w:val="00B93D2E"/>
    <w:rsid w:val="00B94743"/>
    <w:rsid w:val="00B949E0"/>
    <w:rsid w:val="00B94A36"/>
    <w:rsid w:val="00BA0A53"/>
    <w:rsid w:val="00BA1AF9"/>
    <w:rsid w:val="00BA28F9"/>
    <w:rsid w:val="00BA2B7C"/>
    <w:rsid w:val="00BA2D5F"/>
    <w:rsid w:val="00BA2F61"/>
    <w:rsid w:val="00BA32F1"/>
    <w:rsid w:val="00BA6AD7"/>
    <w:rsid w:val="00BA7EF2"/>
    <w:rsid w:val="00BB03F1"/>
    <w:rsid w:val="00BB1DCF"/>
    <w:rsid w:val="00BB1F16"/>
    <w:rsid w:val="00BB3E60"/>
    <w:rsid w:val="00BB4210"/>
    <w:rsid w:val="00BB425C"/>
    <w:rsid w:val="00BB7373"/>
    <w:rsid w:val="00BC05DE"/>
    <w:rsid w:val="00BC2986"/>
    <w:rsid w:val="00BC4040"/>
    <w:rsid w:val="00BC4754"/>
    <w:rsid w:val="00BC488E"/>
    <w:rsid w:val="00BC4E55"/>
    <w:rsid w:val="00BD2982"/>
    <w:rsid w:val="00BD7AD8"/>
    <w:rsid w:val="00BE29D9"/>
    <w:rsid w:val="00BE2A20"/>
    <w:rsid w:val="00BE2DF2"/>
    <w:rsid w:val="00BE55DC"/>
    <w:rsid w:val="00BE5DF1"/>
    <w:rsid w:val="00BE6AD3"/>
    <w:rsid w:val="00BF4602"/>
    <w:rsid w:val="00BF4AC2"/>
    <w:rsid w:val="00BF5F0E"/>
    <w:rsid w:val="00BF6B6C"/>
    <w:rsid w:val="00BF6D6A"/>
    <w:rsid w:val="00C00A73"/>
    <w:rsid w:val="00C0177A"/>
    <w:rsid w:val="00C02412"/>
    <w:rsid w:val="00C02EA8"/>
    <w:rsid w:val="00C05576"/>
    <w:rsid w:val="00C05C65"/>
    <w:rsid w:val="00C064C8"/>
    <w:rsid w:val="00C10D9D"/>
    <w:rsid w:val="00C115C2"/>
    <w:rsid w:val="00C11AB0"/>
    <w:rsid w:val="00C1216D"/>
    <w:rsid w:val="00C1257C"/>
    <w:rsid w:val="00C127FA"/>
    <w:rsid w:val="00C15DB5"/>
    <w:rsid w:val="00C16318"/>
    <w:rsid w:val="00C1659D"/>
    <w:rsid w:val="00C2062C"/>
    <w:rsid w:val="00C207DA"/>
    <w:rsid w:val="00C213C2"/>
    <w:rsid w:val="00C217DF"/>
    <w:rsid w:val="00C227EC"/>
    <w:rsid w:val="00C238D8"/>
    <w:rsid w:val="00C245ED"/>
    <w:rsid w:val="00C24FE9"/>
    <w:rsid w:val="00C263F4"/>
    <w:rsid w:val="00C31329"/>
    <w:rsid w:val="00C31441"/>
    <w:rsid w:val="00C328CC"/>
    <w:rsid w:val="00C33215"/>
    <w:rsid w:val="00C34E35"/>
    <w:rsid w:val="00C409A5"/>
    <w:rsid w:val="00C40B14"/>
    <w:rsid w:val="00C40D8F"/>
    <w:rsid w:val="00C44873"/>
    <w:rsid w:val="00C45B5E"/>
    <w:rsid w:val="00C46294"/>
    <w:rsid w:val="00C46F97"/>
    <w:rsid w:val="00C471C4"/>
    <w:rsid w:val="00C50FF3"/>
    <w:rsid w:val="00C51F57"/>
    <w:rsid w:val="00C563B1"/>
    <w:rsid w:val="00C5647F"/>
    <w:rsid w:val="00C56A46"/>
    <w:rsid w:val="00C57869"/>
    <w:rsid w:val="00C57E87"/>
    <w:rsid w:val="00C646A8"/>
    <w:rsid w:val="00C6547C"/>
    <w:rsid w:val="00C65588"/>
    <w:rsid w:val="00C6566B"/>
    <w:rsid w:val="00C66147"/>
    <w:rsid w:val="00C663C0"/>
    <w:rsid w:val="00C671BA"/>
    <w:rsid w:val="00C70E35"/>
    <w:rsid w:val="00C72800"/>
    <w:rsid w:val="00C7645F"/>
    <w:rsid w:val="00C76B8E"/>
    <w:rsid w:val="00C80B2D"/>
    <w:rsid w:val="00C80DDE"/>
    <w:rsid w:val="00C8199C"/>
    <w:rsid w:val="00C83438"/>
    <w:rsid w:val="00C840D8"/>
    <w:rsid w:val="00C84E10"/>
    <w:rsid w:val="00C85349"/>
    <w:rsid w:val="00C86AF1"/>
    <w:rsid w:val="00C87D99"/>
    <w:rsid w:val="00C9029F"/>
    <w:rsid w:val="00C9039F"/>
    <w:rsid w:val="00C9172B"/>
    <w:rsid w:val="00C923AD"/>
    <w:rsid w:val="00C92477"/>
    <w:rsid w:val="00C92A32"/>
    <w:rsid w:val="00C94113"/>
    <w:rsid w:val="00C9668B"/>
    <w:rsid w:val="00C96C49"/>
    <w:rsid w:val="00CA1EE9"/>
    <w:rsid w:val="00CA27B7"/>
    <w:rsid w:val="00CA2E95"/>
    <w:rsid w:val="00CA7572"/>
    <w:rsid w:val="00CA7F74"/>
    <w:rsid w:val="00CB0C32"/>
    <w:rsid w:val="00CB1248"/>
    <w:rsid w:val="00CB16D2"/>
    <w:rsid w:val="00CB1DFC"/>
    <w:rsid w:val="00CB2D65"/>
    <w:rsid w:val="00CB2EA4"/>
    <w:rsid w:val="00CB6246"/>
    <w:rsid w:val="00CC0759"/>
    <w:rsid w:val="00CC3160"/>
    <w:rsid w:val="00CC6953"/>
    <w:rsid w:val="00CD2A69"/>
    <w:rsid w:val="00CD2DBF"/>
    <w:rsid w:val="00CD4E24"/>
    <w:rsid w:val="00CD6207"/>
    <w:rsid w:val="00CD72A6"/>
    <w:rsid w:val="00CE1AA9"/>
    <w:rsid w:val="00CE39B8"/>
    <w:rsid w:val="00CE4A83"/>
    <w:rsid w:val="00CE4BBF"/>
    <w:rsid w:val="00CE525E"/>
    <w:rsid w:val="00CF1591"/>
    <w:rsid w:val="00CF1689"/>
    <w:rsid w:val="00CF3753"/>
    <w:rsid w:val="00CF4344"/>
    <w:rsid w:val="00CF5164"/>
    <w:rsid w:val="00CF55E6"/>
    <w:rsid w:val="00CF5B88"/>
    <w:rsid w:val="00CF72D7"/>
    <w:rsid w:val="00CF78B0"/>
    <w:rsid w:val="00D00689"/>
    <w:rsid w:val="00D014A6"/>
    <w:rsid w:val="00D015A4"/>
    <w:rsid w:val="00D02F69"/>
    <w:rsid w:val="00D033FB"/>
    <w:rsid w:val="00D044FB"/>
    <w:rsid w:val="00D108BF"/>
    <w:rsid w:val="00D1092B"/>
    <w:rsid w:val="00D11DB8"/>
    <w:rsid w:val="00D1423F"/>
    <w:rsid w:val="00D148A9"/>
    <w:rsid w:val="00D167D0"/>
    <w:rsid w:val="00D177A0"/>
    <w:rsid w:val="00D20092"/>
    <w:rsid w:val="00D205F0"/>
    <w:rsid w:val="00D2293A"/>
    <w:rsid w:val="00D22E65"/>
    <w:rsid w:val="00D22EAF"/>
    <w:rsid w:val="00D2430E"/>
    <w:rsid w:val="00D251B7"/>
    <w:rsid w:val="00D2717B"/>
    <w:rsid w:val="00D3078B"/>
    <w:rsid w:val="00D3118E"/>
    <w:rsid w:val="00D32E8F"/>
    <w:rsid w:val="00D34844"/>
    <w:rsid w:val="00D34BC5"/>
    <w:rsid w:val="00D36BA1"/>
    <w:rsid w:val="00D36C76"/>
    <w:rsid w:val="00D37F07"/>
    <w:rsid w:val="00D41BB8"/>
    <w:rsid w:val="00D444E3"/>
    <w:rsid w:val="00D507A3"/>
    <w:rsid w:val="00D50850"/>
    <w:rsid w:val="00D52AFA"/>
    <w:rsid w:val="00D54285"/>
    <w:rsid w:val="00D5566B"/>
    <w:rsid w:val="00D6102D"/>
    <w:rsid w:val="00D63381"/>
    <w:rsid w:val="00D643F8"/>
    <w:rsid w:val="00D67892"/>
    <w:rsid w:val="00D7119E"/>
    <w:rsid w:val="00D71BF6"/>
    <w:rsid w:val="00D744A5"/>
    <w:rsid w:val="00D7590F"/>
    <w:rsid w:val="00D75ED8"/>
    <w:rsid w:val="00D8271A"/>
    <w:rsid w:val="00D85656"/>
    <w:rsid w:val="00D8730A"/>
    <w:rsid w:val="00DA0143"/>
    <w:rsid w:val="00DA0378"/>
    <w:rsid w:val="00DA0EA5"/>
    <w:rsid w:val="00DA1664"/>
    <w:rsid w:val="00DA258B"/>
    <w:rsid w:val="00DA33AC"/>
    <w:rsid w:val="00DA4D73"/>
    <w:rsid w:val="00DB13D3"/>
    <w:rsid w:val="00DB62E8"/>
    <w:rsid w:val="00DB65A3"/>
    <w:rsid w:val="00DB74B6"/>
    <w:rsid w:val="00DB78FC"/>
    <w:rsid w:val="00DB7E4B"/>
    <w:rsid w:val="00DC0F37"/>
    <w:rsid w:val="00DC18AE"/>
    <w:rsid w:val="00DC57CD"/>
    <w:rsid w:val="00DC58F4"/>
    <w:rsid w:val="00DC5BFB"/>
    <w:rsid w:val="00DC6912"/>
    <w:rsid w:val="00DD242E"/>
    <w:rsid w:val="00DD3EA6"/>
    <w:rsid w:val="00DD4258"/>
    <w:rsid w:val="00DD542A"/>
    <w:rsid w:val="00DD588C"/>
    <w:rsid w:val="00DD5CF9"/>
    <w:rsid w:val="00DD641C"/>
    <w:rsid w:val="00DE0022"/>
    <w:rsid w:val="00DE08B3"/>
    <w:rsid w:val="00DE1078"/>
    <w:rsid w:val="00DE1D8B"/>
    <w:rsid w:val="00DE251A"/>
    <w:rsid w:val="00DE29A8"/>
    <w:rsid w:val="00DE2C1D"/>
    <w:rsid w:val="00DE4533"/>
    <w:rsid w:val="00DE49E1"/>
    <w:rsid w:val="00DE596C"/>
    <w:rsid w:val="00DE7206"/>
    <w:rsid w:val="00DF0CB9"/>
    <w:rsid w:val="00DF172C"/>
    <w:rsid w:val="00DF5286"/>
    <w:rsid w:val="00DF571E"/>
    <w:rsid w:val="00DF698D"/>
    <w:rsid w:val="00DF7FFC"/>
    <w:rsid w:val="00E01D1F"/>
    <w:rsid w:val="00E055E6"/>
    <w:rsid w:val="00E05B3F"/>
    <w:rsid w:val="00E06A0A"/>
    <w:rsid w:val="00E06A9D"/>
    <w:rsid w:val="00E07146"/>
    <w:rsid w:val="00E0783E"/>
    <w:rsid w:val="00E15F80"/>
    <w:rsid w:val="00E20DC2"/>
    <w:rsid w:val="00E23775"/>
    <w:rsid w:val="00E238C6"/>
    <w:rsid w:val="00E26DB0"/>
    <w:rsid w:val="00E277FE"/>
    <w:rsid w:val="00E315FC"/>
    <w:rsid w:val="00E318CF"/>
    <w:rsid w:val="00E352A5"/>
    <w:rsid w:val="00E35E2E"/>
    <w:rsid w:val="00E364A7"/>
    <w:rsid w:val="00E36B44"/>
    <w:rsid w:val="00E36B78"/>
    <w:rsid w:val="00E36F5D"/>
    <w:rsid w:val="00E40C21"/>
    <w:rsid w:val="00E40DD3"/>
    <w:rsid w:val="00E410F8"/>
    <w:rsid w:val="00E41313"/>
    <w:rsid w:val="00E42FFF"/>
    <w:rsid w:val="00E433F1"/>
    <w:rsid w:val="00E43BF5"/>
    <w:rsid w:val="00E442CC"/>
    <w:rsid w:val="00E46236"/>
    <w:rsid w:val="00E47469"/>
    <w:rsid w:val="00E55EBF"/>
    <w:rsid w:val="00E570B7"/>
    <w:rsid w:val="00E57122"/>
    <w:rsid w:val="00E573AC"/>
    <w:rsid w:val="00E579E2"/>
    <w:rsid w:val="00E6120F"/>
    <w:rsid w:val="00E63092"/>
    <w:rsid w:val="00E6368F"/>
    <w:rsid w:val="00E63D5C"/>
    <w:rsid w:val="00E65AC2"/>
    <w:rsid w:val="00E66116"/>
    <w:rsid w:val="00E7181E"/>
    <w:rsid w:val="00E74653"/>
    <w:rsid w:val="00E7489D"/>
    <w:rsid w:val="00E753E2"/>
    <w:rsid w:val="00E7548B"/>
    <w:rsid w:val="00E75C04"/>
    <w:rsid w:val="00E768ED"/>
    <w:rsid w:val="00E76C1B"/>
    <w:rsid w:val="00E7711C"/>
    <w:rsid w:val="00E773FF"/>
    <w:rsid w:val="00E77A3D"/>
    <w:rsid w:val="00E80627"/>
    <w:rsid w:val="00E817BE"/>
    <w:rsid w:val="00E82472"/>
    <w:rsid w:val="00E956CF"/>
    <w:rsid w:val="00E957A3"/>
    <w:rsid w:val="00EA114E"/>
    <w:rsid w:val="00EA1341"/>
    <w:rsid w:val="00EA15C2"/>
    <w:rsid w:val="00EA1B2E"/>
    <w:rsid w:val="00EA1C66"/>
    <w:rsid w:val="00EA233B"/>
    <w:rsid w:val="00EA73F8"/>
    <w:rsid w:val="00EB4D1D"/>
    <w:rsid w:val="00EC21BE"/>
    <w:rsid w:val="00EC3938"/>
    <w:rsid w:val="00EC4D13"/>
    <w:rsid w:val="00EC4F17"/>
    <w:rsid w:val="00EC643A"/>
    <w:rsid w:val="00EC6B5C"/>
    <w:rsid w:val="00EC71D8"/>
    <w:rsid w:val="00ED244D"/>
    <w:rsid w:val="00ED56BF"/>
    <w:rsid w:val="00ED7ED8"/>
    <w:rsid w:val="00EE0E86"/>
    <w:rsid w:val="00EE36E8"/>
    <w:rsid w:val="00EE49E7"/>
    <w:rsid w:val="00EE4A4F"/>
    <w:rsid w:val="00EE54B9"/>
    <w:rsid w:val="00EE5707"/>
    <w:rsid w:val="00EE5A67"/>
    <w:rsid w:val="00EE6A34"/>
    <w:rsid w:val="00EF11B5"/>
    <w:rsid w:val="00EF4E2A"/>
    <w:rsid w:val="00EF53BF"/>
    <w:rsid w:val="00EF5E63"/>
    <w:rsid w:val="00EF7E9B"/>
    <w:rsid w:val="00F0134F"/>
    <w:rsid w:val="00F0366B"/>
    <w:rsid w:val="00F04440"/>
    <w:rsid w:val="00F05DDD"/>
    <w:rsid w:val="00F07DC3"/>
    <w:rsid w:val="00F07E01"/>
    <w:rsid w:val="00F1198E"/>
    <w:rsid w:val="00F124B7"/>
    <w:rsid w:val="00F12B0C"/>
    <w:rsid w:val="00F12D52"/>
    <w:rsid w:val="00F13AC6"/>
    <w:rsid w:val="00F13C35"/>
    <w:rsid w:val="00F14231"/>
    <w:rsid w:val="00F14EA5"/>
    <w:rsid w:val="00F15CD5"/>
    <w:rsid w:val="00F16059"/>
    <w:rsid w:val="00F16393"/>
    <w:rsid w:val="00F17C14"/>
    <w:rsid w:val="00F2088B"/>
    <w:rsid w:val="00F20C42"/>
    <w:rsid w:val="00F210BE"/>
    <w:rsid w:val="00F2251D"/>
    <w:rsid w:val="00F2533F"/>
    <w:rsid w:val="00F30EEE"/>
    <w:rsid w:val="00F3483C"/>
    <w:rsid w:val="00F348CF"/>
    <w:rsid w:val="00F35E47"/>
    <w:rsid w:val="00F364CB"/>
    <w:rsid w:val="00F36D7A"/>
    <w:rsid w:val="00F37592"/>
    <w:rsid w:val="00F400A4"/>
    <w:rsid w:val="00F400EF"/>
    <w:rsid w:val="00F41EF2"/>
    <w:rsid w:val="00F42218"/>
    <w:rsid w:val="00F43D14"/>
    <w:rsid w:val="00F45ABD"/>
    <w:rsid w:val="00F46705"/>
    <w:rsid w:val="00F46CFF"/>
    <w:rsid w:val="00F47F82"/>
    <w:rsid w:val="00F50457"/>
    <w:rsid w:val="00F515E6"/>
    <w:rsid w:val="00F52BFF"/>
    <w:rsid w:val="00F538A1"/>
    <w:rsid w:val="00F53E64"/>
    <w:rsid w:val="00F540B3"/>
    <w:rsid w:val="00F545EB"/>
    <w:rsid w:val="00F56218"/>
    <w:rsid w:val="00F56615"/>
    <w:rsid w:val="00F601E2"/>
    <w:rsid w:val="00F63618"/>
    <w:rsid w:val="00F63AE3"/>
    <w:rsid w:val="00F673DE"/>
    <w:rsid w:val="00F676E2"/>
    <w:rsid w:val="00F71556"/>
    <w:rsid w:val="00F72E68"/>
    <w:rsid w:val="00F73845"/>
    <w:rsid w:val="00F76366"/>
    <w:rsid w:val="00F8201A"/>
    <w:rsid w:val="00F82439"/>
    <w:rsid w:val="00F834B3"/>
    <w:rsid w:val="00F85300"/>
    <w:rsid w:val="00F86761"/>
    <w:rsid w:val="00F87AFD"/>
    <w:rsid w:val="00F90B8D"/>
    <w:rsid w:val="00F90DE9"/>
    <w:rsid w:val="00F92885"/>
    <w:rsid w:val="00F93B56"/>
    <w:rsid w:val="00F95BEA"/>
    <w:rsid w:val="00F96123"/>
    <w:rsid w:val="00F967D7"/>
    <w:rsid w:val="00FA1B12"/>
    <w:rsid w:val="00FA1ED8"/>
    <w:rsid w:val="00FB0353"/>
    <w:rsid w:val="00FB354F"/>
    <w:rsid w:val="00FB49DA"/>
    <w:rsid w:val="00FB5748"/>
    <w:rsid w:val="00FB5DAB"/>
    <w:rsid w:val="00FB67B6"/>
    <w:rsid w:val="00FB6ACA"/>
    <w:rsid w:val="00FC2C83"/>
    <w:rsid w:val="00FC3883"/>
    <w:rsid w:val="00FC3E07"/>
    <w:rsid w:val="00FC6061"/>
    <w:rsid w:val="00FC7517"/>
    <w:rsid w:val="00FD0EEF"/>
    <w:rsid w:val="00FD1232"/>
    <w:rsid w:val="00FD2908"/>
    <w:rsid w:val="00FD3A12"/>
    <w:rsid w:val="00FD3AC0"/>
    <w:rsid w:val="00FD3C00"/>
    <w:rsid w:val="00FD59F8"/>
    <w:rsid w:val="00FD662D"/>
    <w:rsid w:val="00FD766A"/>
    <w:rsid w:val="00FE0D43"/>
    <w:rsid w:val="00FE13CD"/>
    <w:rsid w:val="00FE19A6"/>
    <w:rsid w:val="00FE1E79"/>
    <w:rsid w:val="00FE5BFC"/>
    <w:rsid w:val="00FE77B6"/>
    <w:rsid w:val="00FF07F4"/>
    <w:rsid w:val="00FF2332"/>
    <w:rsid w:val="00FF302B"/>
    <w:rsid w:val="00FF385D"/>
    <w:rsid w:val="00FF4975"/>
    <w:rsid w:val="00FF4A25"/>
    <w:rsid w:val="00FF4D6B"/>
    <w:rsid w:val="00FF52CA"/>
    <w:rsid w:val="00FF5897"/>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2E52A"/>
  <w15:docId w15:val="{56A1BD90-C9D6-43D0-9EC7-AA83BF88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8"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8"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iPriority="98"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BA3"/>
  </w:style>
  <w:style w:type="paragraph" w:styleId="Heading1">
    <w:name w:val="heading 1"/>
    <w:basedOn w:val="Normal"/>
    <w:next w:val="Normal"/>
    <w:link w:val="Heading1Char"/>
    <w:uiPriority w:val="9"/>
    <w:qFormat/>
    <w:rsid w:val="007467E3"/>
    <w:pPr>
      <w:keepNext/>
      <w:keepLines/>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autoRedefine/>
    <w:uiPriority w:val="9"/>
    <w:qFormat/>
    <w:rsid w:val="007C0EA9"/>
    <w:pPr>
      <w:keepNext/>
      <w:keepLines/>
      <w:spacing w:before="480" w:after="240"/>
      <w:ind w:hanging="709"/>
      <w:contextualSpacing/>
      <w:outlineLvl w:val="1"/>
    </w:pPr>
    <w:rPr>
      <w:rFonts w:asciiTheme="majorHAnsi" w:hAnsiTheme="majorHAnsi"/>
      <w:b/>
      <w:sz w:val="30"/>
      <w:szCs w:val="28"/>
    </w:rPr>
  </w:style>
  <w:style w:type="paragraph" w:styleId="Heading3">
    <w:name w:val="heading 3"/>
    <w:basedOn w:val="Normal"/>
    <w:next w:val="Normal"/>
    <w:link w:val="Heading3Char"/>
    <w:uiPriority w:val="9"/>
    <w:qFormat/>
    <w:rsid w:val="006454C7"/>
    <w:pPr>
      <w:keepNext/>
      <w:keepLines/>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DD4258"/>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DD4258"/>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8"/>
    <w:qFormat/>
    <w:rsid w:val="00DD4258"/>
    <w:pPr>
      <w:keepNext/>
      <w:keepLines/>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Light Heading"/>
    <w:basedOn w:val="TableNormal"/>
    <w:uiPriority w:val="39"/>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
    <w:rsid w:val="007467E3"/>
    <w:rPr>
      <w:rFonts w:asciiTheme="majorHAnsi" w:hAnsiTheme="majorHAnsi"/>
      <w:sz w:val="52"/>
      <w:szCs w:val="44"/>
    </w:rPr>
  </w:style>
  <w:style w:type="character" w:customStyle="1" w:styleId="Heading2Char">
    <w:name w:val="Heading 2 Char"/>
    <w:basedOn w:val="DefaultParagraphFont"/>
    <w:link w:val="Heading2"/>
    <w:uiPriority w:val="9"/>
    <w:rsid w:val="007C0EA9"/>
    <w:rPr>
      <w:rFonts w:asciiTheme="majorHAnsi" w:hAnsiTheme="majorHAnsi"/>
      <w:b/>
      <w:sz w:val="30"/>
      <w:szCs w:val="28"/>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qFormat/>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2"/>
    <w:qFormat/>
    <w:rsid w:val="00F71556"/>
    <w:pPr>
      <w:numPr>
        <w:numId w:val="3"/>
      </w:numPr>
    </w:pPr>
    <w:rPr>
      <w:rFonts w:eastAsia="Times New Roman"/>
      <w:lang w:eastAsia="en-AU"/>
    </w:rPr>
  </w:style>
  <w:style w:type="paragraph" w:styleId="ListNumber">
    <w:name w:val="List Number"/>
    <w:basedOn w:val="Normal"/>
    <w:uiPriority w:val="2"/>
    <w:qFormat/>
    <w:rsid w:val="00F71556"/>
    <w:pPr>
      <w:numPr>
        <w:numId w:val="5"/>
      </w:numPr>
    </w:pPr>
    <w:rPr>
      <w:rFonts w:eastAsia="Times New Roman"/>
      <w:lang w:eastAsia="en-AU"/>
    </w:rPr>
  </w:style>
  <w:style w:type="table" w:customStyle="1" w:styleId="SQHTable">
    <w:name w:val="SQH Table"/>
    <w:basedOn w:val="TableNormal"/>
    <w:uiPriority w:val="99"/>
    <w:rsid w:val="009D13BE"/>
    <w:pPr>
      <w:spacing w:line="240" w:lineRule="auto"/>
    </w:pPr>
    <w:rPr>
      <w:sz w:val="20"/>
    </w:rPr>
    <w:tblPr>
      <w:tblStyleRowBandSize w:val="1"/>
      <w:tblBorders>
        <w:top w:val="single" w:sz="4" w:space="0" w:color="F0E8FE" w:themeColor="background2"/>
        <w:bottom w:val="single" w:sz="4" w:space="0" w:color="F0E8FE" w:themeColor="background2"/>
        <w:insideH w:val="single" w:sz="4" w:space="0" w:color="F0E8FE" w:themeColor="background2"/>
      </w:tblBorders>
    </w:tblPr>
    <w:tblStylePr w:type="firstRow">
      <w:rPr>
        <w:b/>
        <w:color w:val="FFFFFF" w:themeColor="background1"/>
        <w:sz w:val="20"/>
      </w:rPr>
      <w:tblPr/>
      <w:tcPr>
        <w:tcBorders>
          <w:top w:val="nil"/>
          <w:left w:val="nil"/>
          <w:bottom w:val="nil"/>
          <w:right w:val="nil"/>
          <w:insideH w:val="nil"/>
          <w:insideV w:val="nil"/>
          <w:tl2br w:val="nil"/>
          <w:tr2bl w:val="nil"/>
        </w:tcBorders>
        <w:shd w:val="clear" w:color="auto" w:fill="421A75" w:themeFill="accent1"/>
      </w:tcPr>
    </w:tblStylePr>
    <w:tblStylePr w:type="band2Horz">
      <w:tblPr/>
      <w:tcPr>
        <w:shd w:val="clear" w:color="auto" w:fill="F0E8FE" w:themeFill="background2"/>
      </w:tcPr>
    </w:tblStylePr>
  </w:style>
  <w:style w:type="paragraph" w:styleId="TOC1">
    <w:name w:val="toc 1"/>
    <w:basedOn w:val="Normal"/>
    <w:next w:val="Normal"/>
    <w:autoRedefine/>
    <w:uiPriority w:val="39"/>
    <w:qFormat/>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qFormat/>
    <w:rsid w:val="008C3C5D"/>
    <w:pPr>
      <w:pBdr>
        <w:bottom w:val="single" w:sz="4" w:space="4" w:color="D3BBFD" w:themeColor="text2"/>
        <w:between w:val="single" w:sz="4" w:space="4" w:color="D3BBFD" w:themeColor="text2"/>
      </w:pBdr>
      <w:tabs>
        <w:tab w:val="right" w:pos="9174"/>
      </w:tabs>
      <w:spacing w:before="0" w:after="0" w:line="240" w:lineRule="auto"/>
    </w:pPr>
    <w:rPr>
      <w:noProof/>
    </w:rPr>
  </w:style>
  <w:style w:type="paragraph" w:styleId="ListBullet2">
    <w:name w:val="List Bullet 2"/>
    <w:basedOn w:val="Normal"/>
    <w:uiPriority w:val="2"/>
    <w:semiHidden/>
    <w:qFormat/>
    <w:rsid w:val="00F71556"/>
    <w:pPr>
      <w:numPr>
        <w:ilvl w:val="1"/>
        <w:numId w:val="3"/>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
      </w:numPr>
    </w:pPr>
    <w:rPr>
      <w:rFonts w:eastAsia="Times New Roman"/>
      <w:lang w:eastAsia="en-AU"/>
    </w:rPr>
  </w:style>
  <w:style w:type="paragraph" w:styleId="ListBullet4">
    <w:name w:val="List Bullet 4"/>
    <w:basedOn w:val="Normal"/>
    <w:uiPriority w:val="2"/>
    <w:semiHidden/>
    <w:rsid w:val="00F71556"/>
    <w:pPr>
      <w:numPr>
        <w:ilvl w:val="3"/>
        <w:numId w:val="3"/>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3"/>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5"/>
      </w:numPr>
    </w:pPr>
    <w:rPr>
      <w:rFonts w:eastAsia="Times New Roman"/>
      <w:lang w:eastAsia="en-AU"/>
    </w:rPr>
  </w:style>
  <w:style w:type="paragraph" w:styleId="ListNumber3">
    <w:name w:val="List Number 3"/>
    <w:basedOn w:val="Normal"/>
    <w:uiPriority w:val="2"/>
    <w:semiHidden/>
    <w:rsid w:val="00F71556"/>
    <w:pPr>
      <w:numPr>
        <w:ilvl w:val="2"/>
        <w:numId w:val="5"/>
      </w:numPr>
    </w:pPr>
    <w:rPr>
      <w:rFonts w:eastAsia="Times New Roman"/>
      <w:lang w:eastAsia="en-AU"/>
    </w:rPr>
  </w:style>
  <w:style w:type="paragraph" w:styleId="ListNumber4">
    <w:name w:val="List Number 4"/>
    <w:basedOn w:val="Normal"/>
    <w:uiPriority w:val="2"/>
    <w:semiHidden/>
    <w:rsid w:val="00F71556"/>
    <w:pPr>
      <w:numPr>
        <w:ilvl w:val="3"/>
        <w:numId w:val="5"/>
      </w:numPr>
    </w:pPr>
    <w:rPr>
      <w:rFonts w:eastAsia="Times New Roman"/>
      <w:lang w:eastAsia="en-AU"/>
    </w:rPr>
  </w:style>
  <w:style w:type="paragraph" w:styleId="ListNumber5">
    <w:name w:val="List Number 5"/>
    <w:basedOn w:val="Normal"/>
    <w:uiPriority w:val="2"/>
    <w:semiHidden/>
    <w:rsid w:val="00F71556"/>
    <w:pPr>
      <w:numPr>
        <w:ilvl w:val="4"/>
        <w:numId w:val="5"/>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35"/>
    <w:qFormat/>
    <w:rsid w:val="008F5915"/>
    <w:pPr>
      <w:keepNext/>
      <w:keepLines/>
      <w:numPr>
        <w:numId w:val="4"/>
      </w:numPr>
      <w:spacing w:before="360" w:line="240" w:lineRule="auto"/>
      <w:ind w:left="357" w:hanging="357"/>
      <w:contextualSpacing/>
    </w:pPr>
    <w:rPr>
      <w:iCs/>
      <w:sz w:val="20"/>
    </w:rPr>
  </w:style>
  <w:style w:type="character" w:styleId="PlaceholderText">
    <w:name w:val="Placeholder Text"/>
    <w:basedOn w:val="DefaultParagraphFont"/>
    <w:uiPriority w:val="98"/>
    <w:semiHidden/>
    <w:rsid w:val="00D02F69"/>
    <w:rPr>
      <w:color w:val="666666"/>
    </w:rPr>
  </w:style>
  <w:style w:type="paragraph" w:styleId="TOC3">
    <w:name w:val="toc 3"/>
    <w:basedOn w:val="Normal"/>
    <w:next w:val="Normal"/>
    <w:autoRedefine/>
    <w:uiPriority w:val="39"/>
    <w:unhideWhenUsed/>
    <w:qFormat/>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896871"/>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link w:val="NoSpacingChar"/>
    <w:uiPriority w:val="1"/>
    <w:qFormat/>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8F5915"/>
    <w:pPr>
      <w:numPr>
        <w:numId w:val="6"/>
      </w:numPr>
      <w:ind w:left="0" w:firstLine="0"/>
    </w:pPr>
  </w:style>
  <w:style w:type="character" w:customStyle="1" w:styleId="CaptionChar">
    <w:name w:val="Caption Char"/>
    <w:basedOn w:val="DefaultParagraphFont"/>
    <w:link w:val="Caption"/>
    <w:uiPriority w:val="35"/>
    <w:rsid w:val="008F5915"/>
    <w:rPr>
      <w:iCs/>
      <w:sz w:val="20"/>
    </w:rPr>
  </w:style>
  <w:style w:type="character" w:customStyle="1" w:styleId="TableCaptionChar">
    <w:name w:val="Table Caption Char"/>
    <w:basedOn w:val="CaptionChar"/>
    <w:link w:val="TableCaption"/>
    <w:rsid w:val="008F5915"/>
    <w:rPr>
      <w:iCs/>
      <w:sz w:val="20"/>
    </w:r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rsid w:val="003F7A4E"/>
    <w:pPr>
      <w:spacing w:line="240" w:lineRule="auto"/>
      <w:ind w:left="720"/>
      <w:contextualSpacing/>
    </w:pPr>
    <w:rPr>
      <w:rFonts w:eastAsia="Times New Roman"/>
      <w:color w:val="auto"/>
      <w:lang w:eastAsia="en-AU"/>
    </w:r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3F7A4E"/>
    <w:rPr>
      <w:rFonts w:eastAsia="Times New Roman"/>
      <w:color w:val="auto"/>
      <w:lang w:eastAsia="en-AU"/>
    </w:rPr>
  </w:style>
  <w:style w:type="numbering" w:customStyle="1" w:styleId="Bullets">
    <w:name w:val="Bullets"/>
    <w:uiPriority w:val="99"/>
    <w:locked/>
    <w:rsid w:val="00380698"/>
    <w:pPr>
      <w:numPr>
        <w:numId w:val="21"/>
      </w:numPr>
    </w:pPr>
  </w:style>
  <w:style w:type="paragraph" w:styleId="EndnoteText">
    <w:name w:val="endnote text"/>
    <w:basedOn w:val="Normal"/>
    <w:link w:val="EndnoteTextChar"/>
    <w:unhideWhenUsed/>
    <w:rsid w:val="009240E0"/>
    <w:pPr>
      <w:spacing w:before="0" w:after="0" w:line="240" w:lineRule="auto"/>
    </w:pPr>
    <w:rPr>
      <w:sz w:val="20"/>
      <w:szCs w:val="20"/>
    </w:rPr>
  </w:style>
  <w:style w:type="character" w:customStyle="1" w:styleId="EndnoteTextChar">
    <w:name w:val="Endnote Text Char"/>
    <w:basedOn w:val="DefaultParagraphFont"/>
    <w:link w:val="EndnoteText"/>
    <w:rsid w:val="009240E0"/>
    <w:rPr>
      <w:sz w:val="20"/>
      <w:szCs w:val="20"/>
    </w:rPr>
  </w:style>
  <w:style w:type="table" w:customStyle="1" w:styleId="DarkHeading">
    <w:name w:val="Dark Heading"/>
    <w:basedOn w:val="TableNormal"/>
    <w:uiPriority w:val="99"/>
    <w:rsid w:val="0055060F"/>
    <w:pPr>
      <w:spacing w:before="0" w:after="0" w:line="240" w:lineRule="auto"/>
    </w:pPr>
    <w:rPr>
      <w:rFonts w:eastAsia="Times New Roman"/>
      <w:color w:val="auto"/>
      <w:sz w:val="20"/>
      <w:szCs w:val="20"/>
      <w:lang w:eastAsia="en-AU"/>
    </w:rPr>
    <w:tblPr>
      <w:tblBorders>
        <w:top w:val="single" w:sz="4" w:space="0" w:color="F0E8FE" w:themeColor="background2"/>
        <w:left w:val="single" w:sz="4" w:space="0" w:color="F0E8FE" w:themeColor="background2"/>
        <w:bottom w:val="single" w:sz="4" w:space="0" w:color="F0E8FE" w:themeColor="background2"/>
        <w:right w:val="single" w:sz="4" w:space="0" w:color="F0E8FE" w:themeColor="background2"/>
        <w:insideH w:val="single" w:sz="4" w:space="0" w:color="F0E8FE" w:themeColor="background2"/>
        <w:insideV w:val="single" w:sz="4" w:space="0" w:color="F0E8FE" w:themeColor="background2"/>
      </w:tblBorders>
    </w:tblPr>
    <w:tblStylePr w:type="firstRow">
      <w:rPr>
        <w:rFonts w:asciiTheme="minorHAnsi" w:hAnsiTheme="minorHAnsi"/>
        <w:b/>
        <w:color w:val="FFFFFF"/>
        <w:sz w:val="20"/>
      </w:rPr>
      <w:tblPr/>
      <w:tcPr>
        <w:shd w:val="clear" w:color="auto" w:fill="F0E8FE" w:themeFill="background2"/>
      </w:tcPr>
    </w:tblStylePr>
  </w:style>
  <w:style w:type="character" w:styleId="EndnoteReference">
    <w:name w:val="endnote reference"/>
    <w:basedOn w:val="DefaultParagraphFont"/>
    <w:unhideWhenUsed/>
    <w:rsid w:val="0055060F"/>
    <w:rPr>
      <w:vertAlign w:val="superscript"/>
    </w:rPr>
  </w:style>
  <w:style w:type="numbering" w:customStyle="1" w:styleId="NoList1">
    <w:name w:val="No List1"/>
    <w:next w:val="NoList"/>
    <w:uiPriority w:val="99"/>
    <w:semiHidden/>
    <w:unhideWhenUsed/>
    <w:rsid w:val="0055060F"/>
  </w:style>
  <w:style w:type="character" w:styleId="Emphasis">
    <w:name w:val="Emphasis"/>
    <w:basedOn w:val="DefaultParagraphFont"/>
    <w:rsid w:val="0055060F"/>
    <w:rPr>
      <w:i/>
      <w:iCs/>
    </w:rPr>
  </w:style>
  <w:style w:type="character" w:styleId="Strong">
    <w:name w:val="Strong"/>
    <w:basedOn w:val="DefaultParagraphFont"/>
    <w:uiPriority w:val="22"/>
    <w:qFormat/>
    <w:rsid w:val="0055060F"/>
    <w:rPr>
      <w:b/>
      <w:bCs/>
    </w:rPr>
  </w:style>
  <w:style w:type="paragraph" w:customStyle="1" w:styleId="PulloutTextHead">
    <w:name w:val="Pullout Text Head"/>
    <w:basedOn w:val="Heading3"/>
    <w:qFormat/>
    <w:rsid w:val="0055060F"/>
    <w:pPr>
      <w:keepNext w:val="0"/>
      <w:keepLines w:val="0"/>
      <w:pBdr>
        <w:left w:val="single" w:sz="48" w:space="8" w:color="1178A0"/>
      </w:pBdr>
      <w:spacing w:before="180" w:line="240" w:lineRule="auto"/>
      <w:ind w:left="284"/>
      <w:contextualSpacing w:val="0"/>
    </w:pPr>
    <w:rPr>
      <w:rFonts w:ascii="Arial" w:eastAsia="Times New Roman" w:hAnsi="Arial" w:cs="Arial"/>
      <w:bCs/>
      <w:iCs/>
      <w:caps/>
      <w:color w:val="005370"/>
      <w:kern w:val="28"/>
      <w:sz w:val="22"/>
      <w:szCs w:val="26"/>
      <w:lang w:val="en-GB" w:eastAsia="en-AU"/>
    </w:rPr>
  </w:style>
  <w:style w:type="paragraph" w:customStyle="1" w:styleId="FigureTableTitle">
    <w:name w:val="Figure/Table Title"/>
    <w:basedOn w:val="Normal"/>
    <w:qFormat/>
    <w:rsid w:val="0055060F"/>
    <w:pPr>
      <w:spacing w:before="240" w:after="240" w:line="240" w:lineRule="auto"/>
      <w:contextualSpacing/>
    </w:pPr>
    <w:rPr>
      <w:rFonts w:eastAsia="Times New Roman"/>
      <w:b/>
      <w:color w:val="auto"/>
      <w:lang w:eastAsia="en-AU"/>
    </w:rPr>
  </w:style>
  <w:style w:type="table" w:customStyle="1" w:styleId="LightHeading1">
    <w:name w:val="Light Heading1"/>
    <w:basedOn w:val="TableNormal"/>
    <w:next w:val="TableGrid"/>
    <w:uiPriority w:val="39"/>
    <w:locked/>
    <w:rsid w:val="0055060F"/>
    <w:pPr>
      <w:spacing w:before="60" w:after="60" w:line="240" w:lineRule="auto"/>
    </w:pPr>
    <w:rPr>
      <w:rFonts w:eastAsia="Times New Roman"/>
      <w:sz w:val="20"/>
      <w:lang w:eastAsia="en-AU"/>
    </w:rPr>
    <w:tblPr>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Arial" w:hAnsi="Arial"/>
        <w:b/>
        <w:color w:val="000000"/>
        <w:sz w:val="20"/>
      </w:rPr>
      <w:tblPr/>
      <w:tcPr>
        <w:shd w:val="clear" w:color="auto" w:fill="E6F1F8"/>
      </w:tcPr>
    </w:tblStylePr>
  </w:style>
  <w:style w:type="character" w:customStyle="1" w:styleId="Underline">
    <w:name w:val="Underline"/>
    <w:basedOn w:val="DefaultParagraphFont"/>
    <w:qFormat/>
    <w:rsid w:val="0055060F"/>
    <w:rPr>
      <w:u w:val="single"/>
    </w:rPr>
  </w:style>
  <w:style w:type="character" w:customStyle="1" w:styleId="FollowedHyperlink1">
    <w:name w:val="FollowedHyperlink1"/>
    <w:basedOn w:val="DefaultParagraphFont"/>
    <w:uiPriority w:val="99"/>
    <w:rsid w:val="0055060F"/>
    <w:rPr>
      <w:color w:val="1178A0"/>
      <w:u w:val="single"/>
    </w:rPr>
  </w:style>
  <w:style w:type="paragraph" w:customStyle="1" w:styleId="Captions">
    <w:name w:val="Captions"/>
    <w:basedOn w:val="Normal"/>
    <w:link w:val="CaptionsChar"/>
    <w:qFormat/>
    <w:rsid w:val="0055060F"/>
    <w:pPr>
      <w:spacing w:line="240" w:lineRule="auto"/>
    </w:pPr>
    <w:rPr>
      <w:rFonts w:eastAsia="Times New Roman"/>
      <w:color w:val="auto"/>
      <w:sz w:val="20"/>
      <w:szCs w:val="20"/>
      <w:lang w:eastAsia="en-AU"/>
    </w:rPr>
  </w:style>
  <w:style w:type="character" w:customStyle="1" w:styleId="CaptionsChar">
    <w:name w:val="Captions Char"/>
    <w:basedOn w:val="DefaultParagraphFont"/>
    <w:link w:val="Captions"/>
    <w:rsid w:val="0055060F"/>
    <w:rPr>
      <w:rFonts w:eastAsia="Times New Roman"/>
      <w:color w:val="auto"/>
      <w:sz w:val="20"/>
      <w:szCs w:val="20"/>
      <w:lang w:eastAsia="en-AU"/>
    </w:rPr>
  </w:style>
  <w:style w:type="numbering" w:customStyle="1" w:styleId="Listbullets">
    <w:name w:val="List bullets"/>
    <w:uiPriority w:val="99"/>
    <w:rsid w:val="0055060F"/>
    <w:pPr>
      <w:numPr>
        <w:numId w:val="33"/>
      </w:numPr>
    </w:pPr>
  </w:style>
  <w:style w:type="numbering" w:customStyle="1" w:styleId="Bullet">
    <w:name w:val="Bullet"/>
    <w:uiPriority w:val="99"/>
    <w:locked/>
    <w:rsid w:val="0055060F"/>
    <w:pPr>
      <w:numPr>
        <w:numId w:val="34"/>
      </w:numPr>
    </w:pPr>
  </w:style>
  <w:style w:type="numbering" w:customStyle="1" w:styleId="Bullets1">
    <w:name w:val="Bullets1"/>
    <w:uiPriority w:val="99"/>
    <w:locked/>
    <w:rsid w:val="0055060F"/>
  </w:style>
  <w:style w:type="numbering" w:customStyle="1" w:styleId="BulletsLevel1">
    <w:name w:val="Bullets Level 1"/>
    <w:uiPriority w:val="99"/>
    <w:locked/>
    <w:rsid w:val="0055060F"/>
    <w:pPr>
      <w:numPr>
        <w:numId w:val="35"/>
      </w:numPr>
    </w:pPr>
  </w:style>
  <w:style w:type="paragraph" w:customStyle="1" w:styleId="PublicationDate">
    <w:name w:val="Publication Date"/>
    <w:basedOn w:val="Normal"/>
    <w:link w:val="PublicationDateChar"/>
    <w:uiPriority w:val="99"/>
    <w:qFormat/>
    <w:rsid w:val="0055060F"/>
    <w:pPr>
      <w:spacing w:before="480" w:after="0" w:line="240" w:lineRule="auto"/>
    </w:pPr>
    <w:rPr>
      <w:rFonts w:eastAsia="Times New Roman"/>
      <w:color w:val="005370"/>
      <w:sz w:val="32"/>
      <w:szCs w:val="40"/>
      <w:lang w:eastAsia="en-AU"/>
    </w:rPr>
  </w:style>
  <w:style w:type="character" w:customStyle="1" w:styleId="PublicationDateChar">
    <w:name w:val="Publication Date Char"/>
    <w:basedOn w:val="DefaultParagraphFont"/>
    <w:link w:val="PublicationDate"/>
    <w:uiPriority w:val="99"/>
    <w:rsid w:val="0055060F"/>
    <w:rPr>
      <w:rFonts w:eastAsia="Times New Roman"/>
      <w:color w:val="005370"/>
      <w:sz w:val="32"/>
      <w:szCs w:val="40"/>
      <w:lang w:eastAsia="en-AU"/>
    </w:rPr>
  </w:style>
  <w:style w:type="paragraph" w:customStyle="1" w:styleId="Redtext">
    <w:name w:val="Red text"/>
    <w:basedOn w:val="Normal"/>
    <w:qFormat/>
    <w:rsid w:val="0055060F"/>
    <w:pPr>
      <w:spacing w:after="80" w:line="240" w:lineRule="auto"/>
    </w:pPr>
    <w:rPr>
      <w:rFonts w:eastAsia="Times New Roman"/>
      <w:color w:val="E1241A"/>
      <w:lang w:eastAsia="en-AU"/>
    </w:rPr>
  </w:style>
  <w:style w:type="paragraph" w:styleId="TOC4">
    <w:name w:val="toc 4"/>
    <w:basedOn w:val="Normal"/>
    <w:next w:val="Normal"/>
    <w:autoRedefine/>
    <w:uiPriority w:val="39"/>
    <w:rsid w:val="0055060F"/>
    <w:pPr>
      <w:tabs>
        <w:tab w:val="right" w:pos="9016"/>
      </w:tabs>
      <w:spacing w:after="0" w:line="240" w:lineRule="auto"/>
      <w:ind w:left="658"/>
    </w:pPr>
    <w:rPr>
      <w:rFonts w:eastAsia="Times New Roman"/>
      <w:color w:val="auto"/>
      <w:lang w:eastAsia="en-AU"/>
    </w:rPr>
  </w:style>
  <w:style w:type="table" w:customStyle="1" w:styleId="DarkHeadingBanded">
    <w:name w:val="Dark Heading Banded"/>
    <w:basedOn w:val="TableNormal"/>
    <w:uiPriority w:val="99"/>
    <w:rsid w:val="0055060F"/>
    <w:pPr>
      <w:spacing w:before="0" w:after="0" w:line="240" w:lineRule="auto"/>
    </w:pPr>
    <w:rPr>
      <w:rFonts w:eastAsia="Times New Roman"/>
      <w:color w:val="auto"/>
      <w:sz w:val="20"/>
      <w:lang w:eastAsia="en-AU"/>
    </w:rPr>
    <w:tblPr>
      <w:tblStyleRowBandSize w:val="1"/>
      <w:tblStyleColBandSize w:val="1"/>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pPr>
        <w:jc w:val="left"/>
      </w:pPr>
      <w:rPr>
        <w:b/>
        <w:color w:val="FFFFFF"/>
      </w:rPr>
      <w:tblPr/>
      <w:tcPr>
        <w:shd w:val="clear" w:color="auto" w:fill="1178A0"/>
      </w:tcPr>
    </w:tblStylePr>
    <w:tblStylePr w:type="band2Horz">
      <w:tblPr/>
      <w:tcPr>
        <w:shd w:val="clear" w:color="auto" w:fill="F2F2F2"/>
      </w:tcPr>
    </w:tblStylePr>
  </w:style>
  <w:style w:type="table" w:customStyle="1" w:styleId="LightHeadingBanded">
    <w:name w:val="Light Heading Banded"/>
    <w:basedOn w:val="TableNormal"/>
    <w:uiPriority w:val="99"/>
    <w:rsid w:val="0055060F"/>
    <w:pPr>
      <w:spacing w:before="0" w:after="0" w:line="240" w:lineRule="auto"/>
    </w:pPr>
    <w:rPr>
      <w:rFonts w:eastAsia="Times New Roman"/>
      <w:color w:val="auto"/>
      <w:sz w:val="20"/>
      <w:lang w:eastAsia="en-AU"/>
    </w:rPr>
    <w:tblPr>
      <w:tblStyleRowBandSize w:val="1"/>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Pr>
    <w:tblStylePr w:type="firstRow">
      <w:rPr>
        <w:rFonts w:ascii="Arial" w:hAnsi="Arial"/>
        <w:b/>
        <w:color w:val="000000"/>
      </w:rPr>
      <w:tblPr/>
      <w:tcPr>
        <w:shd w:val="clear" w:color="auto" w:fill="E6F1F8"/>
      </w:tcPr>
    </w:tblStylePr>
    <w:tblStylePr w:type="band2Horz">
      <w:tblPr/>
      <w:tcPr>
        <w:shd w:val="clear" w:color="auto" w:fill="F2F2F2"/>
      </w:tcPr>
    </w:tblStylePr>
  </w:style>
  <w:style w:type="paragraph" w:customStyle="1" w:styleId="PulloutBoxHeading">
    <w:name w:val="Pullout Box Heading"/>
    <w:basedOn w:val="Heading3"/>
    <w:qFormat/>
    <w:rsid w:val="0055060F"/>
    <w:pPr>
      <w:keepNext w:val="0"/>
      <w:keepLines w:val="0"/>
      <w:spacing w:before="120" w:after="60" w:line="240" w:lineRule="auto"/>
      <w:contextualSpacing w:val="0"/>
    </w:pPr>
    <w:rPr>
      <w:rFonts w:ascii="Arial" w:eastAsia="Times New Roman" w:hAnsi="Arial" w:cs="Arial"/>
      <w:bCs/>
      <w:iCs/>
      <w:color w:val="005370"/>
      <w:kern w:val="28"/>
      <w:sz w:val="28"/>
      <w:szCs w:val="26"/>
      <w:lang w:eastAsia="en-AU"/>
    </w:rPr>
  </w:style>
  <w:style w:type="table" w:customStyle="1" w:styleId="PulloutBox">
    <w:name w:val="Pullout Box"/>
    <w:basedOn w:val="TableNormal"/>
    <w:uiPriority w:val="99"/>
    <w:rsid w:val="0055060F"/>
    <w:pPr>
      <w:spacing w:before="0" w:after="0" w:line="240" w:lineRule="auto"/>
    </w:pPr>
    <w:rPr>
      <w:rFonts w:eastAsia="Times New Roman"/>
      <w:color w:val="auto"/>
      <w:lang w:eastAsia="en-AU"/>
    </w:rPr>
    <w:tblPr>
      <w:tblCellMar>
        <w:top w:w="284" w:type="dxa"/>
        <w:left w:w="284" w:type="dxa"/>
        <w:bottom w:w="284" w:type="dxa"/>
        <w:right w:w="284" w:type="dxa"/>
      </w:tblCellMar>
    </w:tblPr>
    <w:tcPr>
      <w:shd w:val="clear" w:color="auto" w:fill="E6F1F8"/>
    </w:tcPr>
  </w:style>
  <w:style w:type="paragraph" w:customStyle="1" w:styleId="Default">
    <w:name w:val="Default"/>
    <w:rsid w:val="0055060F"/>
    <w:pPr>
      <w:autoSpaceDE w:val="0"/>
      <w:autoSpaceDN w:val="0"/>
      <w:adjustRightInd w:val="0"/>
      <w:spacing w:before="0" w:after="0" w:line="240" w:lineRule="auto"/>
    </w:pPr>
    <w:rPr>
      <w:rFonts w:ascii="Gotham Medium" w:eastAsia="Times New Roman" w:hAnsi="Gotham Medium" w:cs="Gotham Medium"/>
      <w:color w:val="000000"/>
      <w:sz w:val="24"/>
      <w:szCs w:val="24"/>
      <w:lang w:eastAsia="en-AU"/>
    </w:rPr>
  </w:style>
  <w:style w:type="table" w:customStyle="1" w:styleId="Plain">
    <w:name w:val="Plain"/>
    <w:basedOn w:val="TableNormal"/>
    <w:next w:val="TableGrid"/>
    <w:rsid w:val="0055060F"/>
    <w:pPr>
      <w:spacing w:before="60" w:after="60" w:line="240" w:lineRule="auto"/>
    </w:pPr>
    <w:rPr>
      <w:rFonts w:eastAsia="Times New Roman"/>
      <w:color w:val="auto"/>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55060F"/>
    <w:pPr>
      <w:spacing w:before="0" w:after="360" w:line="240" w:lineRule="auto"/>
      <w:jc w:val="right"/>
    </w:pPr>
    <w:rPr>
      <w:rFonts w:eastAsia="Times New Roman"/>
      <w:color w:val="auto"/>
      <w:lang w:eastAsia="en-AU"/>
    </w:rPr>
  </w:style>
  <w:style w:type="paragraph" w:styleId="Revision">
    <w:name w:val="Revision"/>
    <w:hidden/>
    <w:uiPriority w:val="99"/>
    <w:semiHidden/>
    <w:rsid w:val="0055060F"/>
    <w:pPr>
      <w:spacing w:before="0" w:after="0" w:line="240" w:lineRule="auto"/>
    </w:pPr>
    <w:rPr>
      <w:rFonts w:eastAsia="Times New Roman"/>
      <w:color w:val="auto"/>
      <w:lang w:eastAsia="en-AU"/>
    </w:rPr>
  </w:style>
  <w:style w:type="character" w:customStyle="1" w:styleId="Superscript">
    <w:name w:val="Superscript"/>
    <w:uiPriority w:val="99"/>
    <w:rsid w:val="0055060F"/>
    <w:rPr>
      <w:u w:val="none"/>
      <w:vertAlign w:val="superscript"/>
    </w:rPr>
  </w:style>
  <w:style w:type="paragraph" w:styleId="DocumentMap">
    <w:name w:val="Document Map"/>
    <w:basedOn w:val="Normal"/>
    <w:link w:val="DocumentMapChar"/>
    <w:uiPriority w:val="98"/>
    <w:semiHidden/>
    <w:unhideWhenUsed/>
    <w:rsid w:val="0055060F"/>
    <w:pPr>
      <w:spacing w:before="0" w:after="0" w:line="240" w:lineRule="auto"/>
    </w:pPr>
    <w:rPr>
      <w:rFonts w:ascii="Lucida Grande" w:eastAsia="Times New Roman" w:hAnsi="Lucida Grande" w:cs="Lucida Grande"/>
      <w:color w:val="auto"/>
      <w:sz w:val="24"/>
      <w:szCs w:val="24"/>
      <w:lang w:eastAsia="en-AU"/>
    </w:rPr>
  </w:style>
  <w:style w:type="character" w:customStyle="1" w:styleId="DocumentMapChar">
    <w:name w:val="Document Map Char"/>
    <w:basedOn w:val="DefaultParagraphFont"/>
    <w:link w:val="DocumentMap"/>
    <w:uiPriority w:val="98"/>
    <w:semiHidden/>
    <w:rsid w:val="0055060F"/>
    <w:rPr>
      <w:rFonts w:ascii="Lucida Grande" w:eastAsia="Times New Roman" w:hAnsi="Lucida Grande" w:cs="Lucida Grande"/>
      <w:color w:val="auto"/>
      <w:sz w:val="24"/>
      <w:szCs w:val="24"/>
      <w:lang w:eastAsia="en-AU"/>
    </w:rPr>
  </w:style>
  <w:style w:type="character" w:customStyle="1" w:styleId="Roman">
    <w:name w:val="Roman"/>
    <w:uiPriority w:val="99"/>
    <w:rsid w:val="0055060F"/>
  </w:style>
  <w:style w:type="character" w:customStyle="1" w:styleId="Italic">
    <w:name w:val="Italic"/>
    <w:uiPriority w:val="99"/>
    <w:rsid w:val="0055060F"/>
    <w:rPr>
      <w:i/>
      <w:iCs/>
    </w:rPr>
  </w:style>
  <w:style w:type="paragraph" w:customStyle="1" w:styleId="FactSheetType">
    <w:name w:val="Fact Sheet Type"/>
    <w:basedOn w:val="Normal"/>
    <w:qFormat/>
    <w:rsid w:val="0055060F"/>
    <w:pPr>
      <w:spacing w:before="0" w:after="480" w:line="240" w:lineRule="auto"/>
      <w:jc w:val="right"/>
    </w:pPr>
    <w:rPr>
      <w:rFonts w:eastAsia="Times New Roman"/>
      <w:bCs/>
      <w:color w:val="auto"/>
      <w:sz w:val="28"/>
      <w:lang w:eastAsia="en-AU"/>
    </w:rPr>
  </w:style>
  <w:style w:type="paragraph" w:customStyle="1" w:styleId="PulloutTextBody">
    <w:name w:val="Pullout Text Body"/>
    <w:basedOn w:val="Normal"/>
    <w:qFormat/>
    <w:rsid w:val="0055060F"/>
    <w:pPr>
      <w:pBdr>
        <w:left w:val="single" w:sz="48" w:space="8" w:color="1178A0"/>
      </w:pBdr>
      <w:spacing w:before="180" w:line="240" w:lineRule="auto"/>
      <w:ind w:left="284"/>
    </w:pPr>
    <w:rPr>
      <w:rFonts w:eastAsia="Times New Roman"/>
      <w:b/>
      <w:color w:val="auto"/>
      <w:lang w:eastAsia="en-AU"/>
    </w:rPr>
  </w:style>
  <w:style w:type="table" w:customStyle="1" w:styleId="SurveyQuestions">
    <w:name w:val="Survey Questions"/>
    <w:basedOn w:val="DarkHeading"/>
    <w:uiPriority w:val="99"/>
    <w:rsid w:val="0055060F"/>
    <w:rPr>
      <w:sz w:val="22"/>
    </w:rPr>
    <w:tblPr/>
    <w:tblStylePr w:type="firstRow">
      <w:rPr>
        <w:rFonts w:ascii="Arial" w:hAnsi="Arial"/>
        <w:b/>
        <w:color w:val="FFFFFF"/>
        <w:sz w:val="22"/>
      </w:rPr>
      <w:tblPr/>
      <w:tcPr>
        <w:shd w:val="clear" w:color="auto" w:fill="1178A0"/>
      </w:tcPr>
    </w:tblStylePr>
    <w:tblStylePr w:type="firstCol">
      <w:rPr>
        <w:b/>
      </w:rPr>
      <w:tblPr/>
      <w:tcPr>
        <w:shd w:val="clear" w:color="auto" w:fill="E6F1F8"/>
      </w:tcPr>
    </w:tblStylePr>
  </w:style>
  <w:style w:type="paragraph" w:customStyle="1" w:styleId="Heading1a">
    <w:name w:val="Heading 1a"/>
    <w:basedOn w:val="Heading1"/>
    <w:next w:val="Normal"/>
    <w:rsid w:val="0055060F"/>
    <w:pPr>
      <w:keepNext w:val="0"/>
      <w:keepLines w:val="0"/>
      <w:spacing w:after="480" w:line="240" w:lineRule="auto"/>
      <w:contextualSpacing w:val="0"/>
      <w:outlineLvl w:val="9"/>
    </w:pPr>
    <w:rPr>
      <w:rFonts w:ascii="Arial" w:eastAsia="Times New Roman" w:hAnsi="Arial" w:cs="Arial"/>
      <w:b/>
      <w:bCs/>
      <w:color w:val="0B6080"/>
      <w:kern w:val="32"/>
      <w:sz w:val="44"/>
      <w:szCs w:val="32"/>
      <w:lang w:eastAsia="en-AU"/>
    </w:rPr>
  </w:style>
  <w:style w:type="paragraph" w:customStyle="1" w:styleId="ImprintText">
    <w:name w:val="ImprintText"/>
    <w:basedOn w:val="Normal"/>
    <w:rsid w:val="0055060F"/>
    <w:pPr>
      <w:spacing w:before="0" w:line="240" w:lineRule="auto"/>
    </w:pPr>
    <w:rPr>
      <w:rFonts w:ascii="Arial" w:eastAsia="Times New Roman" w:hAnsi="Arial"/>
      <w:color w:val="000000"/>
      <w:szCs w:val="20"/>
      <w:lang w:eastAsia="en-AU"/>
    </w:rPr>
  </w:style>
  <w:style w:type="character" w:customStyle="1" w:styleId="DraftingNotesChar">
    <w:name w:val="DraftingNotesChar"/>
    <w:basedOn w:val="DefaultParagraphFont"/>
    <w:uiPriority w:val="1"/>
    <w:rsid w:val="0055060F"/>
    <w:rPr>
      <w:rFonts w:ascii="Arial" w:hAnsi="Arial"/>
      <w:noProof/>
      <w:color w:val="FF40FF"/>
      <w:sz w:val="22"/>
    </w:rPr>
  </w:style>
  <w:style w:type="paragraph" w:customStyle="1" w:styleId="DraftingNotes">
    <w:name w:val="DraftingNotes"/>
    <w:basedOn w:val="Normal"/>
    <w:rsid w:val="0055060F"/>
    <w:pPr>
      <w:spacing w:before="0" w:after="240" w:line="240" w:lineRule="auto"/>
    </w:pPr>
    <w:rPr>
      <w:rFonts w:ascii="Arial" w:eastAsia="Times New Roman" w:hAnsi="Arial"/>
      <w:b/>
      <w:color w:val="FF40FF"/>
      <w:szCs w:val="20"/>
      <w:lang w:eastAsia="en-AU"/>
    </w:rPr>
  </w:style>
  <w:style w:type="paragraph" w:customStyle="1" w:styleId="Backpagelogoholder">
    <w:name w:val="Back page logo holder"/>
    <w:basedOn w:val="Normal"/>
    <w:qFormat/>
    <w:rsid w:val="0055060F"/>
    <w:pPr>
      <w:keepLines/>
      <w:spacing w:before="10920" w:after="240" w:line="240" w:lineRule="auto"/>
      <w:ind w:hanging="142"/>
    </w:pPr>
    <w:rPr>
      <w:rFonts w:eastAsia="MS Gothic"/>
      <w:noProof/>
      <w:color w:val="auto"/>
      <w:lang w:eastAsia="en-AU"/>
    </w:rPr>
  </w:style>
  <w:style w:type="character" w:styleId="LineNumber">
    <w:name w:val="line number"/>
    <w:basedOn w:val="DefaultParagraphFont"/>
    <w:uiPriority w:val="98"/>
    <w:semiHidden/>
    <w:unhideWhenUsed/>
    <w:rsid w:val="0055060F"/>
  </w:style>
  <w:style w:type="paragraph" w:customStyle="1" w:styleId="SandQwebaddress">
    <w:name w:val="S and Q web address"/>
    <w:basedOn w:val="Normal"/>
    <w:qFormat/>
    <w:rsid w:val="0055060F"/>
    <w:pPr>
      <w:spacing w:before="480" w:after="60" w:line="240" w:lineRule="auto"/>
    </w:pPr>
    <w:rPr>
      <w:rFonts w:eastAsia="Times New Roman"/>
      <w:color w:val="auto"/>
      <w:lang w:eastAsia="en-AU"/>
    </w:rPr>
  </w:style>
  <w:style w:type="character" w:styleId="CommentReference">
    <w:name w:val="annotation reference"/>
    <w:basedOn w:val="DefaultParagraphFont"/>
    <w:uiPriority w:val="99"/>
    <w:semiHidden/>
    <w:unhideWhenUsed/>
    <w:rsid w:val="0055060F"/>
    <w:rPr>
      <w:sz w:val="16"/>
      <w:szCs w:val="16"/>
    </w:rPr>
  </w:style>
  <w:style w:type="paragraph" w:styleId="CommentText">
    <w:name w:val="annotation text"/>
    <w:basedOn w:val="Normal"/>
    <w:link w:val="CommentTextChar"/>
    <w:uiPriority w:val="99"/>
    <w:unhideWhenUsed/>
    <w:rsid w:val="0055060F"/>
    <w:pPr>
      <w:spacing w:line="240" w:lineRule="auto"/>
    </w:pPr>
    <w:rPr>
      <w:rFonts w:eastAsia="Times New Roman"/>
      <w:color w:val="auto"/>
      <w:sz w:val="20"/>
      <w:szCs w:val="20"/>
      <w:lang w:eastAsia="en-AU"/>
    </w:rPr>
  </w:style>
  <w:style w:type="character" w:customStyle="1" w:styleId="CommentTextChar">
    <w:name w:val="Comment Text Char"/>
    <w:basedOn w:val="DefaultParagraphFont"/>
    <w:link w:val="CommentText"/>
    <w:uiPriority w:val="99"/>
    <w:rsid w:val="0055060F"/>
    <w:rPr>
      <w:rFonts w:eastAsia="Times New Roman"/>
      <w:color w:val="auto"/>
      <w:sz w:val="20"/>
      <w:szCs w:val="20"/>
      <w:lang w:eastAsia="en-AU"/>
    </w:rPr>
  </w:style>
  <w:style w:type="paragraph" w:styleId="CommentSubject">
    <w:name w:val="annotation subject"/>
    <w:basedOn w:val="CommentText"/>
    <w:next w:val="CommentText"/>
    <w:link w:val="CommentSubjectChar"/>
    <w:uiPriority w:val="99"/>
    <w:semiHidden/>
    <w:unhideWhenUsed/>
    <w:rsid w:val="0055060F"/>
    <w:rPr>
      <w:b/>
      <w:bCs/>
    </w:rPr>
  </w:style>
  <w:style w:type="character" w:customStyle="1" w:styleId="CommentSubjectChar">
    <w:name w:val="Comment Subject Char"/>
    <w:basedOn w:val="CommentTextChar"/>
    <w:link w:val="CommentSubject"/>
    <w:uiPriority w:val="99"/>
    <w:semiHidden/>
    <w:rsid w:val="0055060F"/>
    <w:rPr>
      <w:rFonts w:eastAsia="Times New Roman"/>
      <w:b/>
      <w:bCs/>
      <w:color w:val="auto"/>
      <w:sz w:val="20"/>
      <w:szCs w:val="20"/>
      <w:lang w:eastAsia="en-AU"/>
    </w:rPr>
  </w:style>
  <w:style w:type="character" w:customStyle="1" w:styleId="cf01">
    <w:name w:val="cf01"/>
    <w:basedOn w:val="DefaultParagraphFont"/>
    <w:rsid w:val="0055060F"/>
    <w:rPr>
      <w:rFonts w:ascii="Segoe UI" w:hAnsi="Segoe UI" w:cs="Segoe UI" w:hint="default"/>
      <w:sz w:val="18"/>
      <w:szCs w:val="18"/>
    </w:rPr>
  </w:style>
  <w:style w:type="paragraph" w:styleId="NormalWeb">
    <w:name w:val="Normal (Web)"/>
    <w:basedOn w:val="Normal"/>
    <w:uiPriority w:val="99"/>
    <w:semiHidden/>
    <w:unhideWhenUsed/>
    <w:rsid w:val="0055060F"/>
    <w:pPr>
      <w:spacing w:before="100" w:beforeAutospacing="1" w:after="100" w:afterAutospacing="1" w:line="240" w:lineRule="auto"/>
    </w:pPr>
    <w:rPr>
      <w:rFonts w:ascii="Times New Roman" w:eastAsia="Times New Roman" w:hAnsi="Times New Roman"/>
      <w:color w:val="auto"/>
      <w:sz w:val="24"/>
      <w:szCs w:val="24"/>
      <w:lang w:eastAsia="zh-CN"/>
    </w:rPr>
  </w:style>
  <w:style w:type="table" w:customStyle="1" w:styleId="ListTable3-Accent11">
    <w:name w:val="List Table 3 - Accent 11"/>
    <w:basedOn w:val="TableNormal"/>
    <w:next w:val="ListTable3-Accent1"/>
    <w:uiPriority w:val="48"/>
    <w:rsid w:val="0055060F"/>
    <w:pPr>
      <w:spacing w:before="0" w:after="0" w:line="240" w:lineRule="auto"/>
    </w:pPr>
    <w:rPr>
      <w:rFonts w:eastAsia="MS Mincho"/>
      <w:color w:val="auto"/>
      <w:kern w:val="2"/>
      <w:lang w:eastAsia="zh-CN"/>
      <w14:ligatures w14:val="standardContextual"/>
    </w:rPr>
    <w:tblPr>
      <w:tblStyleRowBandSize w:val="1"/>
      <w:tblStyleColBandSize w:val="1"/>
      <w:tblBorders>
        <w:top w:val="single" w:sz="4" w:space="0" w:color="00A7E5"/>
        <w:left w:val="single" w:sz="4" w:space="0" w:color="00A7E5"/>
        <w:bottom w:val="single" w:sz="4" w:space="0" w:color="00A7E5"/>
        <w:right w:val="single" w:sz="4" w:space="0" w:color="00A7E5"/>
      </w:tblBorders>
    </w:tblPr>
    <w:tblStylePr w:type="firstRow">
      <w:rPr>
        <w:b/>
        <w:bCs/>
        <w:color w:val="FFFFFF"/>
      </w:rPr>
      <w:tblPr/>
      <w:tcPr>
        <w:shd w:val="clear" w:color="auto" w:fill="00A7E5"/>
      </w:tcPr>
    </w:tblStylePr>
    <w:tblStylePr w:type="lastRow">
      <w:rPr>
        <w:b/>
        <w:bCs/>
      </w:rPr>
      <w:tblPr/>
      <w:tcPr>
        <w:tcBorders>
          <w:top w:val="double" w:sz="4" w:space="0" w:color="00A7E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A7E5"/>
          <w:right w:val="single" w:sz="4" w:space="0" w:color="00A7E5"/>
        </w:tcBorders>
      </w:tcPr>
    </w:tblStylePr>
    <w:tblStylePr w:type="band1Horz">
      <w:tblPr/>
      <w:tcPr>
        <w:tcBorders>
          <w:top w:val="single" w:sz="4" w:space="0" w:color="00A7E5"/>
          <w:bottom w:val="single" w:sz="4" w:space="0" w:color="00A7E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left w:val="nil"/>
        </w:tcBorders>
      </w:tcPr>
    </w:tblStylePr>
    <w:tblStylePr w:type="swCell">
      <w:tblPr/>
      <w:tcPr>
        <w:tcBorders>
          <w:top w:val="double" w:sz="4" w:space="0" w:color="00A7E5"/>
          <w:right w:val="nil"/>
        </w:tcBorders>
      </w:tcPr>
    </w:tblStylePr>
  </w:style>
  <w:style w:type="paragraph" w:customStyle="1" w:styleId="msonormal0">
    <w:name w:val="msonormal"/>
    <w:basedOn w:val="Normal"/>
    <w:rsid w:val="0055060F"/>
    <w:pPr>
      <w:spacing w:before="100" w:beforeAutospacing="1" w:after="100" w:afterAutospacing="1" w:line="240" w:lineRule="auto"/>
    </w:pPr>
    <w:rPr>
      <w:rFonts w:ascii="Times New Roman" w:eastAsia="Times New Roman" w:hAnsi="Times New Roman"/>
      <w:color w:val="auto"/>
      <w:sz w:val="24"/>
      <w:szCs w:val="24"/>
      <w:lang w:eastAsia="zh-CN"/>
    </w:rPr>
  </w:style>
  <w:style w:type="paragraph" w:customStyle="1" w:styleId="xl65">
    <w:name w:val="xl65"/>
    <w:basedOn w:val="Normal"/>
    <w:rsid w:val="0055060F"/>
    <w:pPr>
      <w:spacing w:before="100" w:beforeAutospacing="1" w:after="100" w:afterAutospacing="1" w:line="240" w:lineRule="auto"/>
    </w:pPr>
    <w:rPr>
      <w:rFonts w:ascii="Times New Roman" w:eastAsia="Times New Roman" w:hAnsi="Times New Roman"/>
      <w:color w:val="auto"/>
      <w:sz w:val="24"/>
      <w:szCs w:val="24"/>
      <w:lang w:eastAsia="zh-CN"/>
    </w:rPr>
  </w:style>
  <w:style w:type="paragraph" w:customStyle="1" w:styleId="pf0">
    <w:name w:val="pf0"/>
    <w:basedOn w:val="Normal"/>
    <w:rsid w:val="0055060F"/>
    <w:pPr>
      <w:spacing w:before="100" w:beforeAutospacing="1" w:after="100" w:afterAutospacing="1" w:line="240" w:lineRule="auto"/>
    </w:pPr>
    <w:rPr>
      <w:rFonts w:ascii="Times New Roman" w:eastAsia="Times New Roman" w:hAnsi="Times New Roman"/>
      <w:color w:val="auto"/>
      <w:sz w:val="24"/>
      <w:szCs w:val="24"/>
      <w:lang w:eastAsia="zh-CN"/>
    </w:rPr>
  </w:style>
  <w:style w:type="paragraph" w:customStyle="1" w:styleId="font5">
    <w:name w:val="font5"/>
    <w:basedOn w:val="Normal"/>
    <w:rsid w:val="0055060F"/>
    <w:pPr>
      <w:spacing w:before="100" w:beforeAutospacing="1" w:after="100" w:afterAutospacing="1" w:line="240" w:lineRule="auto"/>
    </w:pPr>
    <w:rPr>
      <w:rFonts w:ascii="Calibri" w:eastAsia="Times New Roman" w:hAnsi="Calibri" w:cs="Calibri"/>
      <w:b/>
      <w:bCs/>
      <w:color w:val="auto"/>
      <w:sz w:val="20"/>
      <w:szCs w:val="20"/>
      <w:lang w:eastAsia="zh-CN"/>
    </w:rPr>
  </w:style>
  <w:style w:type="paragraph" w:customStyle="1" w:styleId="xl66">
    <w:name w:val="xl66"/>
    <w:basedOn w:val="Normal"/>
    <w:rsid w:val="0055060F"/>
    <w:pPr>
      <w:spacing w:before="100" w:beforeAutospacing="1" w:after="100" w:afterAutospacing="1" w:line="240" w:lineRule="auto"/>
      <w:jc w:val="right"/>
    </w:pPr>
    <w:rPr>
      <w:rFonts w:ascii="Times New Roman" w:eastAsia="Times New Roman" w:hAnsi="Times New Roman"/>
      <w:color w:val="auto"/>
      <w:sz w:val="24"/>
      <w:szCs w:val="24"/>
      <w:lang w:eastAsia="zh-CN"/>
    </w:rPr>
  </w:style>
  <w:style w:type="paragraph" w:customStyle="1" w:styleId="xl67">
    <w:name w:val="xl67"/>
    <w:basedOn w:val="Normal"/>
    <w:rsid w:val="0055060F"/>
    <w:pPr>
      <w:spacing w:before="100" w:beforeAutospacing="1" w:after="100" w:afterAutospacing="1" w:line="240" w:lineRule="auto"/>
    </w:pPr>
    <w:rPr>
      <w:rFonts w:ascii="Times New Roman" w:eastAsia="Times New Roman" w:hAnsi="Times New Roman"/>
      <w:color w:val="auto"/>
      <w:sz w:val="24"/>
      <w:szCs w:val="24"/>
      <w:lang w:eastAsia="zh-CN"/>
    </w:rPr>
  </w:style>
  <w:style w:type="paragraph" w:customStyle="1" w:styleId="xl68">
    <w:name w:val="xl68"/>
    <w:basedOn w:val="Normal"/>
    <w:rsid w:val="0055060F"/>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color w:val="4472C4"/>
      <w:sz w:val="20"/>
      <w:szCs w:val="20"/>
      <w:lang w:eastAsia="zh-CN"/>
    </w:rPr>
  </w:style>
  <w:style w:type="paragraph" w:customStyle="1" w:styleId="xl69">
    <w:name w:val="xl69"/>
    <w:basedOn w:val="Normal"/>
    <w:rsid w:val="0055060F"/>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color w:val="auto"/>
      <w:sz w:val="20"/>
      <w:szCs w:val="20"/>
      <w:lang w:eastAsia="zh-CN"/>
    </w:rPr>
  </w:style>
  <w:style w:type="paragraph" w:customStyle="1" w:styleId="xl70">
    <w:name w:val="xl70"/>
    <w:basedOn w:val="Normal"/>
    <w:rsid w:val="0055060F"/>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color w:val="4472C4"/>
      <w:sz w:val="20"/>
      <w:szCs w:val="20"/>
      <w:lang w:eastAsia="zh-CN"/>
    </w:rPr>
  </w:style>
  <w:style w:type="paragraph" w:customStyle="1" w:styleId="xl71">
    <w:name w:val="xl71"/>
    <w:basedOn w:val="Normal"/>
    <w:rsid w:val="0055060F"/>
    <w:pP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72">
    <w:name w:val="xl72"/>
    <w:basedOn w:val="Normal"/>
    <w:rsid w:val="0055060F"/>
    <w:pPr>
      <w:spacing w:before="100" w:beforeAutospacing="1" w:after="100" w:afterAutospacing="1" w:line="240" w:lineRule="auto"/>
      <w:textAlignment w:val="top"/>
    </w:pPr>
    <w:rPr>
      <w:rFonts w:ascii="Times New Roman" w:eastAsia="Times New Roman" w:hAnsi="Times New Roman"/>
      <w:color w:val="auto"/>
      <w:sz w:val="20"/>
      <w:szCs w:val="20"/>
      <w:lang w:eastAsia="zh-CN"/>
    </w:rPr>
  </w:style>
  <w:style w:type="paragraph" w:customStyle="1" w:styleId="xl73">
    <w:name w:val="xl73"/>
    <w:basedOn w:val="Normal"/>
    <w:rsid w:val="0055060F"/>
    <w:pPr>
      <w:spacing w:before="100" w:beforeAutospacing="1" w:after="100" w:afterAutospacing="1" w:line="240" w:lineRule="auto"/>
      <w:textAlignment w:val="top"/>
    </w:pPr>
    <w:rPr>
      <w:rFonts w:ascii="Times New Roman" w:eastAsia="Times New Roman" w:hAnsi="Times New Roman"/>
      <w:color w:val="auto"/>
      <w:sz w:val="20"/>
      <w:szCs w:val="20"/>
      <w:lang w:eastAsia="zh-CN"/>
    </w:rPr>
  </w:style>
  <w:style w:type="paragraph" w:customStyle="1" w:styleId="xl74">
    <w:name w:val="xl74"/>
    <w:basedOn w:val="Normal"/>
    <w:rsid w:val="0055060F"/>
    <w:pP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75">
    <w:name w:val="xl75"/>
    <w:basedOn w:val="Normal"/>
    <w:rsid w:val="0055060F"/>
    <w:pP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76">
    <w:name w:val="xl76"/>
    <w:basedOn w:val="Normal"/>
    <w:rsid w:val="0055060F"/>
    <w:pPr>
      <w:spacing w:before="100" w:beforeAutospacing="1" w:after="100" w:afterAutospacing="1" w:line="240" w:lineRule="auto"/>
      <w:jc w:val="right"/>
      <w:textAlignment w:val="top"/>
    </w:pPr>
    <w:rPr>
      <w:rFonts w:ascii="Times New Roman" w:eastAsia="Times New Roman" w:hAnsi="Times New Roman"/>
      <w:color w:val="000000"/>
      <w:sz w:val="20"/>
      <w:szCs w:val="20"/>
      <w:lang w:eastAsia="zh-CN"/>
    </w:rPr>
  </w:style>
  <w:style w:type="paragraph" w:customStyle="1" w:styleId="xl77">
    <w:name w:val="xl77"/>
    <w:basedOn w:val="Normal"/>
    <w:rsid w:val="0055060F"/>
    <w:pP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78">
    <w:name w:val="xl78"/>
    <w:basedOn w:val="Normal"/>
    <w:rsid w:val="0055060F"/>
    <w:pPr>
      <w:spacing w:before="100" w:beforeAutospacing="1" w:after="100" w:afterAutospacing="1" w:line="240" w:lineRule="auto"/>
      <w:jc w:val="right"/>
      <w:textAlignment w:val="top"/>
    </w:pPr>
    <w:rPr>
      <w:rFonts w:ascii="Times New Roman" w:eastAsia="Times New Roman" w:hAnsi="Times New Roman"/>
      <w:color w:val="000000"/>
      <w:sz w:val="20"/>
      <w:szCs w:val="20"/>
      <w:lang w:eastAsia="zh-CN"/>
    </w:rPr>
  </w:style>
  <w:style w:type="paragraph" w:customStyle="1" w:styleId="xl79">
    <w:name w:val="xl79"/>
    <w:basedOn w:val="Normal"/>
    <w:rsid w:val="0055060F"/>
    <w:pPr>
      <w:pBdr>
        <w:bottom w:val="single" w:sz="4" w:space="0" w:color="auto"/>
      </w:pBdr>
      <w:spacing w:before="100" w:beforeAutospacing="1" w:after="100" w:afterAutospacing="1" w:line="240" w:lineRule="auto"/>
      <w:textAlignment w:val="top"/>
    </w:pPr>
    <w:rPr>
      <w:rFonts w:ascii="Times New Roman" w:eastAsia="Times New Roman" w:hAnsi="Times New Roman"/>
      <w:color w:val="auto"/>
      <w:sz w:val="20"/>
      <w:szCs w:val="20"/>
      <w:lang w:eastAsia="zh-CN"/>
    </w:rPr>
  </w:style>
  <w:style w:type="paragraph" w:customStyle="1" w:styleId="xl80">
    <w:name w:val="xl80"/>
    <w:basedOn w:val="Normal"/>
    <w:rsid w:val="0055060F"/>
    <w:pPr>
      <w:pBdr>
        <w:bottom w:val="single" w:sz="4" w:space="0" w:color="auto"/>
      </w:pBd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81">
    <w:name w:val="xl81"/>
    <w:basedOn w:val="Normal"/>
    <w:rsid w:val="0055060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0"/>
      <w:szCs w:val="20"/>
      <w:lang w:eastAsia="zh-CN"/>
    </w:rPr>
  </w:style>
  <w:style w:type="paragraph" w:customStyle="1" w:styleId="xl82">
    <w:name w:val="xl82"/>
    <w:basedOn w:val="Normal"/>
    <w:rsid w:val="0055060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auto"/>
      <w:sz w:val="20"/>
      <w:szCs w:val="20"/>
      <w:lang w:eastAsia="zh-CN"/>
    </w:rPr>
  </w:style>
  <w:style w:type="paragraph" w:customStyle="1" w:styleId="xl83">
    <w:name w:val="xl83"/>
    <w:basedOn w:val="Normal"/>
    <w:rsid w:val="0055060F"/>
    <w:pP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84">
    <w:name w:val="xl84"/>
    <w:basedOn w:val="Normal"/>
    <w:rsid w:val="0055060F"/>
    <w:pPr>
      <w:spacing w:before="100" w:beforeAutospacing="1" w:after="100" w:afterAutospacing="1" w:line="240" w:lineRule="auto"/>
      <w:jc w:val="right"/>
      <w:textAlignment w:val="top"/>
    </w:pPr>
    <w:rPr>
      <w:rFonts w:ascii="Times New Roman" w:eastAsia="Times New Roman" w:hAnsi="Times New Roman"/>
      <w:color w:val="000000"/>
      <w:sz w:val="20"/>
      <w:szCs w:val="20"/>
      <w:lang w:eastAsia="zh-CN"/>
    </w:rPr>
  </w:style>
  <w:style w:type="paragraph" w:customStyle="1" w:styleId="xl85">
    <w:name w:val="xl85"/>
    <w:basedOn w:val="Normal"/>
    <w:rsid w:val="0055060F"/>
    <w:pP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paragraph" w:customStyle="1" w:styleId="xl86">
    <w:name w:val="xl86"/>
    <w:basedOn w:val="Normal"/>
    <w:rsid w:val="0055060F"/>
    <w:pPr>
      <w:spacing w:before="100" w:beforeAutospacing="1" w:after="100" w:afterAutospacing="1" w:line="240" w:lineRule="auto"/>
      <w:jc w:val="right"/>
      <w:textAlignment w:val="top"/>
    </w:pPr>
    <w:rPr>
      <w:rFonts w:ascii="Times New Roman" w:eastAsia="Times New Roman" w:hAnsi="Times New Roman"/>
      <w:color w:val="4472C4"/>
      <w:sz w:val="20"/>
      <w:szCs w:val="20"/>
      <w:lang w:eastAsia="zh-CN"/>
    </w:rPr>
  </w:style>
  <w:style w:type="paragraph" w:customStyle="1" w:styleId="xl87">
    <w:name w:val="xl87"/>
    <w:basedOn w:val="Normal"/>
    <w:rsid w:val="0055060F"/>
    <w:pPr>
      <w:pBdr>
        <w:bottom w:val="single" w:sz="4" w:space="0" w:color="auto"/>
      </w:pBdr>
      <w:spacing w:before="100" w:beforeAutospacing="1" w:after="100" w:afterAutospacing="1" w:line="240" w:lineRule="auto"/>
      <w:textAlignment w:val="top"/>
    </w:pPr>
    <w:rPr>
      <w:rFonts w:ascii="Times New Roman" w:eastAsia="Times New Roman" w:hAnsi="Times New Roman"/>
      <w:color w:val="auto"/>
      <w:sz w:val="20"/>
      <w:szCs w:val="20"/>
      <w:lang w:eastAsia="zh-CN"/>
    </w:rPr>
  </w:style>
  <w:style w:type="paragraph" w:customStyle="1" w:styleId="xl88">
    <w:name w:val="xl88"/>
    <w:basedOn w:val="Normal"/>
    <w:rsid w:val="0055060F"/>
    <w:pPr>
      <w:pBdr>
        <w:bottom w:val="single" w:sz="4" w:space="0" w:color="auto"/>
      </w:pBdr>
      <w:spacing w:before="100" w:beforeAutospacing="1" w:after="100" w:afterAutospacing="1" w:line="240" w:lineRule="auto"/>
      <w:jc w:val="right"/>
      <w:textAlignment w:val="top"/>
    </w:pPr>
    <w:rPr>
      <w:rFonts w:ascii="Times New Roman" w:eastAsia="Times New Roman" w:hAnsi="Times New Roman"/>
      <w:color w:val="auto"/>
      <w:sz w:val="20"/>
      <w:szCs w:val="20"/>
      <w:lang w:eastAsia="zh-CN"/>
    </w:rPr>
  </w:style>
  <w:style w:type="character" w:styleId="FollowedHyperlink">
    <w:name w:val="FollowedHyperlink"/>
    <w:basedOn w:val="DefaultParagraphFont"/>
    <w:uiPriority w:val="99"/>
    <w:unhideWhenUsed/>
    <w:rsid w:val="0055060F"/>
    <w:rPr>
      <w:color w:val="000000" w:themeColor="followedHyperlink"/>
      <w:u w:val="single"/>
    </w:rPr>
  </w:style>
  <w:style w:type="table" w:styleId="ListTable3-Accent1">
    <w:name w:val="List Table 3 Accent 1"/>
    <w:basedOn w:val="TableNormal"/>
    <w:uiPriority w:val="48"/>
    <w:rsid w:val="0055060F"/>
    <w:pPr>
      <w:spacing w:after="0" w:line="240" w:lineRule="auto"/>
    </w:pPr>
    <w:tblPr>
      <w:tblStyleRowBandSize w:val="1"/>
      <w:tblStyleColBandSize w:val="1"/>
      <w:tblBorders>
        <w:top w:val="single" w:sz="4" w:space="0" w:color="421A75" w:themeColor="accent1"/>
        <w:left w:val="single" w:sz="4" w:space="0" w:color="421A75" w:themeColor="accent1"/>
        <w:bottom w:val="single" w:sz="4" w:space="0" w:color="421A75" w:themeColor="accent1"/>
        <w:right w:val="single" w:sz="4" w:space="0" w:color="421A75" w:themeColor="accent1"/>
      </w:tblBorders>
    </w:tblPr>
    <w:tblStylePr w:type="firstRow">
      <w:rPr>
        <w:b/>
        <w:bCs/>
        <w:color w:val="FFFFFF" w:themeColor="background1"/>
      </w:rPr>
      <w:tblPr/>
      <w:tcPr>
        <w:shd w:val="clear" w:color="auto" w:fill="421A75" w:themeFill="accent1"/>
      </w:tcPr>
    </w:tblStylePr>
    <w:tblStylePr w:type="lastRow">
      <w:rPr>
        <w:b/>
        <w:bCs/>
      </w:rPr>
      <w:tblPr/>
      <w:tcPr>
        <w:tcBorders>
          <w:top w:val="double" w:sz="4" w:space="0" w:color="421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1A75" w:themeColor="accent1"/>
          <w:right w:val="single" w:sz="4" w:space="0" w:color="421A75" w:themeColor="accent1"/>
        </w:tcBorders>
      </w:tcPr>
    </w:tblStylePr>
    <w:tblStylePr w:type="band1Horz">
      <w:tblPr/>
      <w:tcPr>
        <w:tcBorders>
          <w:top w:val="single" w:sz="4" w:space="0" w:color="421A75" w:themeColor="accent1"/>
          <w:bottom w:val="single" w:sz="4" w:space="0" w:color="421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1A75" w:themeColor="accent1"/>
          <w:left w:val="nil"/>
        </w:tcBorders>
      </w:tcPr>
    </w:tblStylePr>
    <w:tblStylePr w:type="swCell">
      <w:tblPr/>
      <w:tcPr>
        <w:tcBorders>
          <w:top w:val="double" w:sz="4" w:space="0" w:color="421A75" w:themeColor="accent1"/>
          <w:right w:val="nil"/>
        </w:tcBorders>
      </w:tcPr>
    </w:tblStylePr>
  </w:style>
  <w:style w:type="character" w:customStyle="1" w:styleId="NoSpacingChar">
    <w:name w:val="No Spacing Char"/>
    <w:basedOn w:val="DefaultParagraphFont"/>
    <w:link w:val="NoSpacing"/>
    <w:uiPriority w:val="1"/>
    <w:rsid w:val="0055060F"/>
  </w:style>
  <w:style w:type="numbering" w:customStyle="1" w:styleId="Listbullets1">
    <w:name w:val="List bullets1"/>
    <w:uiPriority w:val="99"/>
    <w:rsid w:val="00B46DAE"/>
  </w:style>
  <w:style w:type="numbering" w:customStyle="1" w:styleId="Bullet1">
    <w:name w:val="Bullet1"/>
    <w:uiPriority w:val="99"/>
    <w:locked/>
    <w:rsid w:val="00B46DAE"/>
    <w:pPr>
      <w:numPr>
        <w:numId w:val="2"/>
      </w:numPr>
    </w:pPr>
  </w:style>
  <w:style w:type="numbering" w:customStyle="1" w:styleId="Bullets2">
    <w:name w:val="Bullets2"/>
    <w:uiPriority w:val="99"/>
    <w:locked/>
    <w:rsid w:val="00B46DAE"/>
    <w:pPr>
      <w:numPr>
        <w:numId w:val="36"/>
      </w:numPr>
    </w:pPr>
  </w:style>
  <w:style w:type="numbering" w:customStyle="1" w:styleId="BulletsLevel11">
    <w:name w:val="Bullets Level 11"/>
    <w:uiPriority w:val="99"/>
    <w:locked/>
    <w:rsid w:val="00B46DAE"/>
    <w:pPr>
      <w:numPr>
        <w:numId w:val="5"/>
      </w:numPr>
    </w:pPr>
  </w:style>
  <w:style w:type="table" w:customStyle="1" w:styleId="SurveyQuestions1">
    <w:name w:val="Survey Questions1"/>
    <w:basedOn w:val="DarkHeading"/>
    <w:uiPriority w:val="99"/>
    <w:rsid w:val="00B46DAE"/>
    <w:rPr>
      <w:sz w:val="22"/>
    </w:rPr>
    <w:tblPr/>
    <w:tblStylePr w:type="firstRow">
      <w:rPr>
        <w:rFonts w:ascii="Arial" w:hAnsi="Arial"/>
        <w:b/>
        <w:color w:val="FFFFFF"/>
        <w:sz w:val="22"/>
      </w:rPr>
      <w:tblPr/>
      <w:tcPr>
        <w:shd w:val="clear" w:color="auto" w:fill="1178A0"/>
      </w:tcPr>
    </w:tblStylePr>
    <w:tblStylePr w:type="firstCol">
      <w:rPr>
        <w:b/>
      </w:rPr>
      <w:tblPr/>
      <w:tcPr>
        <w:shd w:val="clear" w:color="auto" w:fill="E6F1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40safetyandquality.gov.au?subject=" TargetMode="External"/><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header" Target="header1.xml"/><Relationship Id="rId21" Type="http://schemas.openxmlformats.org/officeDocument/2006/relationships/diagramLayout" Target="diagrams/layout1.xml"/><Relationship Id="rId34" Type="http://schemas.openxmlformats.org/officeDocument/2006/relationships/hyperlink" Target="https://www.georgeinstitute.org.au/sites/default/files/documents/stopping-sepsis-national-action-plan.pdf" TargetMode="External"/><Relationship Id="rId42" Type="http://schemas.openxmlformats.org/officeDocument/2006/relationships/hyperlink" Target="https://www.ihacpa.gov.au/health-care/classification/admitted-acute-care/ar-drgs" TargetMode="External"/><Relationship Id="rId47" Type="http://schemas.openxmlformats.org/officeDocument/2006/relationships/hyperlink" Target="https://www.abs.gov.au/statistics/people/aboriginal-and-torres-strait-islander-peoples/estimates-and-projections-aboriginal-and-torres-strait-islander-australians/latest-release" TargetMode="External"/><Relationship Id="rId50" Type="http://schemas.openxmlformats.org/officeDocument/2006/relationships/image" Target="media/image9.sv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afetyandquality.gov.au/permission-request" TargetMode="External"/><Relationship Id="rId25" Type="http://schemas.openxmlformats.org/officeDocument/2006/relationships/chart" Target="charts/chart1.xml"/><Relationship Id="rId33" Type="http://schemas.openxmlformats.org/officeDocument/2006/relationships/hyperlink" Target="https://www.abs.gov.au/statistics/standards/standards-statistics-cultural-and-language-diversity/latest-release" TargetMode="External"/><Relationship Id="rId38" Type="http://schemas.openxmlformats.org/officeDocument/2006/relationships/image" Target="media/image6.jpeg"/><Relationship Id="rId46" Type="http://schemas.openxmlformats.org/officeDocument/2006/relationships/hyperlink" Target="https://explore.data.abs.gov.au/vis?tm=quarterly%20population&amp;pg=0&amp;df%5bds%5d=ABS_ABS_TOPICS&amp;df%5bid%5d=ERP_Q&amp;df%5bag%5d=ABS&amp;df%5bvs%5d=1.0.0&amp;hc%5bFrequency%5d=Quarterly&amp;pd=2022-Q2%2C2022-Q2&amp;dq=1.3.TOT.AUS.Q"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Data" Target="diagrams/data1.xml"/><Relationship Id="rId29" Type="http://schemas.openxmlformats.org/officeDocument/2006/relationships/hyperlink" Target="https://www.safetyandquality.gov.au/standards/nsqhs-standards/recognising-and-responding-acute-deterioration-standard" TargetMode="External"/><Relationship Id="rId41" Type="http://schemas.openxmlformats.org/officeDocument/2006/relationships/hyperlink" Target="https://www.georgeinstitute.org.au/sites/default/files/documents/stopping-sepsis-national-action-plan.pdf"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hyperlink" Target="https://www.who.int/news-room/fact-sheets/detail/sepsis" TargetMode="External"/><Relationship Id="rId37" Type="http://schemas.openxmlformats.org/officeDocument/2006/relationships/hyperlink" Target="https://www.health.nsw.gov.au/lumos" TargetMode="External"/><Relationship Id="rId40" Type="http://schemas.openxmlformats.org/officeDocument/2006/relationships/hyperlink" Target="http://www.georgeinstitute.org/sites/default/files/cost-of-sepsis-in-australian-report.pdf" TargetMode="External"/><Relationship Id="rId45" Type="http://schemas.openxmlformats.org/officeDocument/2006/relationships/hyperlink" Target="https://www.gen-agedcaredata.gov.au/resources/access-data/2024/april/gen-data-people-using-aged-care"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eativecommons.org/licenses/by-nc-nd/4.0/" TargetMode="External"/><Relationship Id="rId23" Type="http://schemas.openxmlformats.org/officeDocument/2006/relationships/diagramColors" Target="diagrams/colors1.xml"/><Relationship Id="rId28" Type="http://schemas.openxmlformats.org/officeDocument/2006/relationships/chart" Target="charts/chart4.xml"/><Relationship Id="rId36" Type="http://schemas.openxmlformats.org/officeDocument/2006/relationships/hyperlink" Target="https://www.safetyandquality.gov.au/our-work/indicators-measurement-and-reporting/medicineinsight" TargetMode="Externa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aihw.gov.au/reports/hospitals/principal-diagnosis-data-cubes/contents/about" TargetMode="External"/><Relationship Id="rId44" Type="http://schemas.openxmlformats.org/officeDocument/2006/relationships/hyperlink" Target="https://www.safetyandquality.gov.au/our-work/indicators-measurement-and-reporting/hospital-acquired-complications-hacs" TargetMode="External"/><Relationship Id="rId52" Type="http://schemas.openxmlformats.org/officeDocument/2006/relationships/image" Target="media/image9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fetyandquality.gov.au" TargetMode="Externa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hyperlink" Target="https://www.safetyandquality.gov.au/standards/clinical-care-standards/sepsis-clinical-care-standard" TargetMode="External"/><Relationship Id="rId35" Type="http://schemas.openxmlformats.org/officeDocument/2006/relationships/hyperlink" Target="https://www.safetyandquality.gov.au/our-work/healthcare-variation/australian-atlas-healthcare-variation-series" TargetMode="External"/><Relationship Id="rId43" Type="http://schemas.openxmlformats.org/officeDocument/2006/relationships/hyperlink" Target="https://www.safetyandquality.gov.au/our-work/indicators-measurement-and-reporting/hospital-acquired-complications-hacs" TargetMode="External"/><Relationship Id="rId48"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image" Target="media/image8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s://www.gen-agedcaredata.gov.au/resources/access-data/2024/april/gen-data-people-using-aged-care" TargetMode="External"/><Relationship Id="rId3" Type="http://schemas.openxmlformats.org/officeDocument/2006/relationships/hyperlink" Target="https://vizhub.healthdata.org/microbe" TargetMode="External"/><Relationship Id="rId7" Type="http://schemas.openxmlformats.org/officeDocument/2006/relationships/hyperlink" Target="https://www.safetyandquality.gov.au/our-work/indicators-measurement-and-reporting/hospital-acquired-complications-hacs" TargetMode="External"/><Relationship Id="rId2" Type="http://schemas.openxmlformats.org/officeDocument/2006/relationships/hyperlink" Target="https://www.georgeinstitute.org.au/sites/default/files/documents/stopping-sepsis-national-action-plan.pdf" TargetMode="External"/><Relationship Id="rId1" Type="http://schemas.openxmlformats.org/officeDocument/2006/relationships/hyperlink" Target="http://www.georgeinstitute.org/sites/default/files/cost-of-sepsis-in-australian-report.pdf" TargetMode="External"/><Relationship Id="rId6" Type="http://schemas.openxmlformats.org/officeDocument/2006/relationships/hyperlink" Target="https://www.safetyandquality.gov.au/our-work/indicators-measurement-and-reporting/hospital-acquired-complications-hacs" TargetMode="External"/><Relationship Id="rId5" Type="http://schemas.openxmlformats.org/officeDocument/2006/relationships/hyperlink" Target="https://www.ihacpa.gov.au/health-care/classification/admitted-acute-care/ar-drgs" TargetMode="External"/><Relationship Id="rId10" Type="http://schemas.openxmlformats.org/officeDocument/2006/relationships/hyperlink" Target="https://www.abs.gov.au/statistics/people/aboriginal-and-torres-strait-islander-peoples/estimates-and-projections-aboriginal-and-torres-strait-islander-australians/latest-release" TargetMode="External"/><Relationship Id="rId4" Type="http://schemas.openxmlformats.org/officeDocument/2006/relationships/hyperlink" Target="https://www.abs.gov.au/statistics/people/aboriginal-and-torres-strait-islander-peoples/estimates-and-projections-aboriginal-and-torres-strait-islander-australians/latest-release" TargetMode="External"/><Relationship Id="rId9" Type="http://schemas.openxmlformats.org/officeDocument/2006/relationships/hyperlink" Target="https://explore.data.abs.gov.au/vis?tm=quarterly%20population&amp;pg=0&amp;df%5bds%5d=ABS_ABS_TOPICS&amp;df%5bid%5d=ERP_Q&amp;df%5bag%5d=ABS&amp;df%5bvs%5d=1.0.0&amp;hc%5bFrequency%5d=Quarterly&amp;pd=2022-Q2%2C2022-Q2&amp;dq=1.3.TOT.AUS.Q"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graphs!$C$2</c:f>
              <c:strCache>
                <c:ptCount val="1"/>
                <c:pt idx="0">
                  <c:v>Pre-sepsis separations
(30 days)</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graphs!$B$3:$B$12</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graphs!$C$3:$C$12</c:f>
              <c:numCache>
                <c:formatCode>General</c:formatCode>
                <c:ptCount val="10"/>
                <c:pt idx="2">
                  <c:v>10</c:v>
                </c:pt>
                <c:pt idx="3">
                  <c:v>11</c:v>
                </c:pt>
                <c:pt idx="4">
                  <c:v>12</c:v>
                </c:pt>
                <c:pt idx="5">
                  <c:v>12</c:v>
                </c:pt>
                <c:pt idx="6">
                  <c:v>11</c:v>
                </c:pt>
                <c:pt idx="7">
                  <c:v>11</c:v>
                </c:pt>
                <c:pt idx="8">
                  <c:v>10</c:v>
                </c:pt>
                <c:pt idx="9">
                  <c:v>8</c:v>
                </c:pt>
              </c:numCache>
            </c:numRef>
          </c:val>
          <c:smooth val="0"/>
          <c:extLst>
            <c:ext xmlns:c16="http://schemas.microsoft.com/office/drawing/2014/chart" uri="{C3380CC4-5D6E-409C-BE32-E72D297353CC}">
              <c16:uniqueId val="{00000000-CA6C-4F73-90C7-77DFB59EEC60}"/>
            </c:ext>
          </c:extLst>
        </c:ser>
        <c:ser>
          <c:idx val="1"/>
          <c:order val="1"/>
          <c:tx>
            <c:strRef>
              <c:f>graphs!$D$2</c:f>
              <c:strCache>
                <c:ptCount val="1"/>
                <c:pt idx="0">
                  <c:v>Sepsis separations</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strRef>
              <c:f>graphs!$B$3:$B$12</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graphs!$D$3:$D$12</c:f>
              <c:numCache>
                <c:formatCode>General</c:formatCode>
                <c:ptCount val="10"/>
                <c:pt idx="0">
                  <c:v>26</c:v>
                </c:pt>
                <c:pt idx="1">
                  <c:v>27</c:v>
                </c:pt>
                <c:pt idx="2">
                  <c:v>36</c:v>
                </c:pt>
                <c:pt idx="3">
                  <c:v>38</c:v>
                </c:pt>
                <c:pt idx="4">
                  <c:v>38</c:v>
                </c:pt>
                <c:pt idx="5">
                  <c:v>38</c:v>
                </c:pt>
                <c:pt idx="6">
                  <c:v>34</c:v>
                </c:pt>
                <c:pt idx="7">
                  <c:v>33</c:v>
                </c:pt>
                <c:pt idx="8">
                  <c:v>32</c:v>
                </c:pt>
                <c:pt idx="9">
                  <c:v>27</c:v>
                </c:pt>
              </c:numCache>
            </c:numRef>
          </c:val>
          <c:smooth val="0"/>
          <c:extLst>
            <c:ext xmlns:c16="http://schemas.microsoft.com/office/drawing/2014/chart" uri="{C3380CC4-5D6E-409C-BE32-E72D297353CC}">
              <c16:uniqueId val="{00000001-CA6C-4F73-90C7-77DFB59EEC60}"/>
            </c:ext>
          </c:extLst>
        </c:ser>
        <c:ser>
          <c:idx val="2"/>
          <c:order val="2"/>
          <c:tx>
            <c:strRef>
              <c:f>graphs!$E$2</c:f>
              <c:strCache>
                <c:ptCount val="1"/>
                <c:pt idx="0">
                  <c:v>Post-sepsis readmissions 
(30 days)</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graphs!$B$3:$B$12</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graphs!$E$3:$E$12</c:f>
              <c:numCache>
                <c:formatCode>General</c:formatCode>
                <c:ptCount val="10"/>
                <c:pt idx="2">
                  <c:v>8</c:v>
                </c:pt>
                <c:pt idx="3">
                  <c:v>9</c:v>
                </c:pt>
                <c:pt idx="4">
                  <c:v>10</c:v>
                </c:pt>
                <c:pt idx="5">
                  <c:v>10</c:v>
                </c:pt>
                <c:pt idx="6">
                  <c:v>9</c:v>
                </c:pt>
                <c:pt idx="7">
                  <c:v>9</c:v>
                </c:pt>
                <c:pt idx="8">
                  <c:v>8</c:v>
                </c:pt>
                <c:pt idx="9">
                  <c:v>7</c:v>
                </c:pt>
              </c:numCache>
            </c:numRef>
          </c:val>
          <c:smooth val="0"/>
          <c:extLst>
            <c:ext xmlns:c16="http://schemas.microsoft.com/office/drawing/2014/chart" uri="{C3380CC4-5D6E-409C-BE32-E72D297353CC}">
              <c16:uniqueId val="{00000002-CA6C-4F73-90C7-77DFB59EEC60}"/>
            </c:ext>
          </c:extLst>
        </c:ser>
        <c:dLbls>
          <c:showLegendKey val="0"/>
          <c:showVal val="0"/>
          <c:showCatName val="0"/>
          <c:showSerName val="0"/>
          <c:showPercent val="0"/>
          <c:showBubbleSize val="0"/>
        </c:dLbls>
        <c:marker val="1"/>
        <c:smooth val="0"/>
        <c:axId val="294536535"/>
        <c:axId val="294537975"/>
      </c:lineChart>
      <c:catAx>
        <c:axId val="294536535"/>
        <c:scaling>
          <c:orientation val="minMax"/>
        </c:scaling>
        <c:delete val="0"/>
        <c:axPos val="b"/>
        <c:majorGridlines>
          <c:spPr>
            <a:ln w="9525" cap="flat" cmpd="sng" algn="ctr">
              <a:no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94537975"/>
        <c:crosses val="autoZero"/>
        <c:auto val="1"/>
        <c:lblAlgn val="ctr"/>
        <c:lblOffset val="100"/>
        <c:noMultiLvlLbl val="0"/>
      </c:catAx>
      <c:valAx>
        <c:axId val="294537975"/>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AU" b="0"/>
                  <a:t>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9453653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graphs!$E$45</c:f>
              <c:strCache>
                <c:ptCount val="1"/>
                <c:pt idx="0">
                  <c:v>Sepsis separations</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graphs!$B$46:$B$55</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graphs!$E$46:$E$55</c:f>
              <c:numCache>
                <c:formatCode>General</c:formatCode>
                <c:ptCount val="10"/>
                <c:pt idx="0">
                  <c:v>13.2</c:v>
                </c:pt>
                <c:pt idx="1">
                  <c:v>13.4</c:v>
                </c:pt>
                <c:pt idx="2">
                  <c:v>11.6</c:v>
                </c:pt>
                <c:pt idx="3">
                  <c:v>11.2</c:v>
                </c:pt>
                <c:pt idx="4">
                  <c:v>11.4</c:v>
                </c:pt>
                <c:pt idx="5">
                  <c:v>11.1</c:v>
                </c:pt>
                <c:pt idx="6">
                  <c:v>11.6</c:v>
                </c:pt>
                <c:pt idx="7">
                  <c:v>11.5</c:v>
                </c:pt>
                <c:pt idx="8">
                  <c:v>13.3</c:v>
                </c:pt>
                <c:pt idx="9">
                  <c:v>14.5</c:v>
                </c:pt>
              </c:numCache>
            </c:numRef>
          </c:val>
          <c:smooth val="0"/>
          <c:extLst>
            <c:ext xmlns:c16="http://schemas.microsoft.com/office/drawing/2014/chart" uri="{C3380CC4-5D6E-409C-BE32-E72D297353CC}">
              <c16:uniqueId val="{00000000-72DB-4792-933D-CC4881773FEA}"/>
            </c:ext>
          </c:extLst>
        </c:ser>
        <c:ser>
          <c:idx val="1"/>
          <c:order val="1"/>
          <c:tx>
            <c:strRef>
              <c:f>graphs!$F$45</c:f>
              <c:strCache>
                <c:ptCount val="1"/>
                <c:pt idx="0">
                  <c:v>Post-sepsis readmissions 
(30 days)</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graphs!$B$46:$B$55</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graphs!$F$46:$F$55</c:f>
              <c:numCache>
                <c:formatCode>General</c:formatCode>
                <c:ptCount val="10"/>
                <c:pt idx="2">
                  <c:v>4.5</c:v>
                </c:pt>
                <c:pt idx="3">
                  <c:v>4.4000000000000004</c:v>
                </c:pt>
                <c:pt idx="4">
                  <c:v>4.3</c:v>
                </c:pt>
                <c:pt idx="5">
                  <c:v>4.2</c:v>
                </c:pt>
                <c:pt idx="6">
                  <c:v>3.9</c:v>
                </c:pt>
                <c:pt idx="7">
                  <c:v>3.7</c:v>
                </c:pt>
                <c:pt idx="8">
                  <c:v>4.3</c:v>
                </c:pt>
                <c:pt idx="9">
                  <c:v>4.7</c:v>
                </c:pt>
              </c:numCache>
            </c:numRef>
          </c:val>
          <c:smooth val="0"/>
          <c:extLst>
            <c:ext xmlns:c16="http://schemas.microsoft.com/office/drawing/2014/chart" uri="{C3380CC4-5D6E-409C-BE32-E72D297353CC}">
              <c16:uniqueId val="{00000001-72DB-4792-933D-CC4881773FEA}"/>
            </c:ext>
          </c:extLst>
        </c:ser>
        <c:dLbls>
          <c:showLegendKey val="0"/>
          <c:showVal val="0"/>
          <c:showCatName val="0"/>
          <c:showSerName val="0"/>
          <c:showPercent val="0"/>
          <c:showBubbleSize val="0"/>
        </c:dLbls>
        <c:marker val="1"/>
        <c:smooth val="0"/>
        <c:axId val="603028184"/>
        <c:axId val="603034664"/>
      </c:lineChart>
      <c:catAx>
        <c:axId val="603028184"/>
        <c:scaling>
          <c:orientation val="minMax"/>
        </c:scaling>
        <c:delete val="0"/>
        <c:axPos val="b"/>
        <c:majorGridlines>
          <c:spPr>
            <a:ln w="9525" cap="flat" cmpd="sng" algn="ctr">
              <a:no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03034664"/>
        <c:crosses val="autoZero"/>
        <c:auto val="1"/>
        <c:lblAlgn val="ctr"/>
        <c:lblOffset val="100"/>
        <c:noMultiLvlLbl val="0"/>
      </c:catAx>
      <c:valAx>
        <c:axId val="603034664"/>
        <c:scaling>
          <c:orientation val="minMax"/>
          <c:max val="10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b="0"/>
                  <a:t>mortality</a:t>
                </a:r>
                <a:r>
                  <a:rPr lang="en-AU"/>
                  <a: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03028184"/>
        <c:crosses val="autoZero"/>
        <c:crossBetween val="between"/>
        <c:majorUnit val="20"/>
        <c:minorUnit val="10"/>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graphs!$F$31</c:f>
              <c:strCache>
                <c:ptCount val="1"/>
                <c:pt idx="0">
                  <c:v>Pre-sepsis separations
(30 days)</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graphs!$B$32:$B$41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graphs!$F$32:$F$41</c:f>
              <c:numCache>
                <c:formatCode>General</c:formatCode>
                <c:ptCount val="10"/>
                <c:pt idx="2">
                  <c:v>7</c:v>
                </c:pt>
                <c:pt idx="3">
                  <c:v>6</c:v>
                </c:pt>
                <c:pt idx="4">
                  <c:v>6</c:v>
                </c:pt>
                <c:pt idx="5">
                  <c:v>6</c:v>
                </c:pt>
                <c:pt idx="6">
                  <c:v>6</c:v>
                </c:pt>
                <c:pt idx="7">
                  <c:v>6</c:v>
                </c:pt>
                <c:pt idx="8">
                  <c:v>7</c:v>
                </c:pt>
                <c:pt idx="9">
                  <c:v>7</c:v>
                </c:pt>
              </c:numCache>
            </c:numRef>
          </c:val>
          <c:smooth val="0"/>
          <c:extLst>
            <c:ext xmlns:c16="http://schemas.microsoft.com/office/drawing/2014/chart" uri="{C3380CC4-5D6E-409C-BE32-E72D297353CC}">
              <c16:uniqueId val="{00000000-257B-42AE-80EC-C454EF0B0E4B}"/>
            </c:ext>
          </c:extLst>
        </c:ser>
        <c:ser>
          <c:idx val="1"/>
          <c:order val="1"/>
          <c:tx>
            <c:strRef>
              <c:f>graphs!$G$31</c:f>
              <c:strCache>
                <c:ptCount val="1"/>
                <c:pt idx="0">
                  <c:v>Sepsis separations</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graphs!$B$32:$B$41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graphs!$G$32:$G$41</c:f>
              <c:numCache>
                <c:formatCode>General</c:formatCode>
                <c:ptCount val="10"/>
                <c:pt idx="0">
                  <c:v>13</c:v>
                </c:pt>
                <c:pt idx="1">
                  <c:v>13</c:v>
                </c:pt>
                <c:pt idx="2">
                  <c:v>12</c:v>
                </c:pt>
                <c:pt idx="3">
                  <c:v>12</c:v>
                </c:pt>
                <c:pt idx="4">
                  <c:v>12</c:v>
                </c:pt>
                <c:pt idx="5">
                  <c:v>11</c:v>
                </c:pt>
                <c:pt idx="6">
                  <c:v>12</c:v>
                </c:pt>
                <c:pt idx="7">
                  <c:v>11</c:v>
                </c:pt>
                <c:pt idx="8">
                  <c:v>12</c:v>
                </c:pt>
                <c:pt idx="9">
                  <c:v>13</c:v>
                </c:pt>
              </c:numCache>
            </c:numRef>
          </c:val>
          <c:smooth val="0"/>
          <c:extLst>
            <c:ext xmlns:c16="http://schemas.microsoft.com/office/drawing/2014/chart" uri="{C3380CC4-5D6E-409C-BE32-E72D297353CC}">
              <c16:uniqueId val="{00000001-257B-42AE-80EC-C454EF0B0E4B}"/>
            </c:ext>
          </c:extLst>
        </c:ser>
        <c:ser>
          <c:idx val="2"/>
          <c:order val="2"/>
          <c:tx>
            <c:strRef>
              <c:f>graphs!$H$31</c:f>
              <c:strCache>
                <c:ptCount val="1"/>
                <c:pt idx="0">
                  <c:v>Post-sepsis readmissions 
(30 days)</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cat>
            <c:strRef>
              <c:f>graphs!$B$32:$B$41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graphs!$H$32:$H$41</c:f>
              <c:numCache>
                <c:formatCode>General</c:formatCode>
                <c:ptCount val="10"/>
                <c:pt idx="2">
                  <c:v>9</c:v>
                </c:pt>
                <c:pt idx="3">
                  <c:v>8</c:v>
                </c:pt>
                <c:pt idx="4">
                  <c:v>8</c:v>
                </c:pt>
                <c:pt idx="5">
                  <c:v>8</c:v>
                </c:pt>
                <c:pt idx="6">
                  <c:v>8</c:v>
                </c:pt>
                <c:pt idx="7">
                  <c:v>8</c:v>
                </c:pt>
                <c:pt idx="8">
                  <c:v>8</c:v>
                </c:pt>
                <c:pt idx="9">
                  <c:v>8</c:v>
                </c:pt>
              </c:numCache>
            </c:numRef>
          </c:val>
          <c:smooth val="0"/>
          <c:extLst>
            <c:ext xmlns:c16="http://schemas.microsoft.com/office/drawing/2014/chart" uri="{C3380CC4-5D6E-409C-BE32-E72D297353CC}">
              <c16:uniqueId val="{00000002-257B-42AE-80EC-C454EF0B0E4B}"/>
            </c:ext>
          </c:extLst>
        </c:ser>
        <c:dLbls>
          <c:showLegendKey val="0"/>
          <c:showVal val="0"/>
          <c:showCatName val="0"/>
          <c:showSerName val="0"/>
          <c:showPercent val="0"/>
          <c:showBubbleSize val="0"/>
        </c:dLbls>
        <c:marker val="1"/>
        <c:smooth val="0"/>
        <c:axId val="998500592"/>
        <c:axId val="998501312"/>
      </c:lineChart>
      <c:catAx>
        <c:axId val="998500592"/>
        <c:scaling>
          <c:orientation val="minMax"/>
        </c:scaling>
        <c:delete val="0"/>
        <c:axPos val="b"/>
        <c:majorGridlines>
          <c:spPr>
            <a:ln w="9525" cap="flat" cmpd="sng" algn="ctr">
              <a:no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98501312"/>
        <c:crosses val="autoZero"/>
        <c:auto val="1"/>
        <c:lblAlgn val="ctr"/>
        <c:lblOffset val="100"/>
        <c:noMultiLvlLbl val="0"/>
      </c:catAx>
      <c:valAx>
        <c:axId val="998501312"/>
        <c:scaling>
          <c:orientation val="minMax"/>
          <c:max val="15"/>
          <c:min val="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b="0"/>
                  <a:t>hospital</a:t>
                </a:r>
                <a:r>
                  <a:rPr lang="en-AU" b="0" baseline="0"/>
                  <a:t> stay (days)</a:t>
                </a:r>
                <a:endParaRPr lang="en-AU" b="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985005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graphs!$G$17</c:f>
              <c:strCache>
                <c:ptCount val="1"/>
                <c:pt idx="0">
                  <c:v>Pre-sepsis separations
(30 days)</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graphs!$B$18:$B$27</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graphs!$G$18:$G$27</c:f>
              <c:numCache>
                <c:formatCode>General</c:formatCode>
                <c:ptCount val="10"/>
                <c:pt idx="2">
                  <c:v>7.9</c:v>
                </c:pt>
                <c:pt idx="3">
                  <c:v>8.1999999999999993</c:v>
                </c:pt>
                <c:pt idx="4">
                  <c:v>8.1999999999999993</c:v>
                </c:pt>
                <c:pt idx="5">
                  <c:v>8.1999999999999993</c:v>
                </c:pt>
                <c:pt idx="6">
                  <c:v>9.1</c:v>
                </c:pt>
                <c:pt idx="7">
                  <c:v>9.1999999999999993</c:v>
                </c:pt>
                <c:pt idx="8">
                  <c:v>9.1</c:v>
                </c:pt>
                <c:pt idx="9">
                  <c:v>9.4</c:v>
                </c:pt>
              </c:numCache>
            </c:numRef>
          </c:val>
          <c:smooth val="0"/>
          <c:extLst>
            <c:ext xmlns:c16="http://schemas.microsoft.com/office/drawing/2014/chart" uri="{C3380CC4-5D6E-409C-BE32-E72D297353CC}">
              <c16:uniqueId val="{00000000-6210-47A9-B39A-11C6B2FA45E3}"/>
            </c:ext>
          </c:extLst>
        </c:ser>
        <c:ser>
          <c:idx val="1"/>
          <c:order val="1"/>
          <c:tx>
            <c:strRef>
              <c:f>graphs!$I$17</c:f>
              <c:strCache>
                <c:ptCount val="1"/>
                <c:pt idx="0">
                  <c:v>Sepsis separations</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graphs!$B$18:$B$27</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graphs!$I$18:$I$27</c:f>
              <c:numCache>
                <c:formatCode>General</c:formatCode>
                <c:ptCount val="10"/>
                <c:pt idx="0">
                  <c:v>24</c:v>
                </c:pt>
                <c:pt idx="1">
                  <c:v>23.1</c:v>
                </c:pt>
                <c:pt idx="2">
                  <c:v>21.1</c:v>
                </c:pt>
                <c:pt idx="3">
                  <c:v>21</c:v>
                </c:pt>
                <c:pt idx="4">
                  <c:v>22.1</c:v>
                </c:pt>
                <c:pt idx="5">
                  <c:v>22</c:v>
                </c:pt>
                <c:pt idx="6">
                  <c:v>24.2</c:v>
                </c:pt>
                <c:pt idx="7">
                  <c:v>24.1</c:v>
                </c:pt>
                <c:pt idx="8">
                  <c:v>23.3</c:v>
                </c:pt>
                <c:pt idx="9">
                  <c:v>27.8</c:v>
                </c:pt>
              </c:numCache>
            </c:numRef>
          </c:val>
          <c:smooth val="0"/>
          <c:extLst>
            <c:ext xmlns:c16="http://schemas.microsoft.com/office/drawing/2014/chart" uri="{C3380CC4-5D6E-409C-BE32-E72D297353CC}">
              <c16:uniqueId val="{00000001-6210-47A9-B39A-11C6B2FA45E3}"/>
            </c:ext>
          </c:extLst>
        </c:ser>
        <c:ser>
          <c:idx val="2"/>
          <c:order val="2"/>
          <c:tx>
            <c:strRef>
              <c:f>graphs!$K$17</c:f>
              <c:strCache>
                <c:ptCount val="1"/>
                <c:pt idx="0">
                  <c:v>Post-sepsis readmissions 
(30 days)</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cat>
            <c:strRef>
              <c:f>graphs!$B$18:$B$27</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graphs!$K$18:$K$27</c:f>
              <c:numCache>
                <c:formatCode>General</c:formatCode>
                <c:ptCount val="10"/>
                <c:pt idx="2">
                  <c:v>10.6</c:v>
                </c:pt>
                <c:pt idx="3">
                  <c:v>10.3</c:v>
                </c:pt>
                <c:pt idx="4">
                  <c:v>10.1</c:v>
                </c:pt>
                <c:pt idx="5">
                  <c:v>10.9</c:v>
                </c:pt>
                <c:pt idx="6">
                  <c:v>11.3</c:v>
                </c:pt>
                <c:pt idx="7">
                  <c:v>11.5</c:v>
                </c:pt>
                <c:pt idx="8">
                  <c:v>11.2</c:v>
                </c:pt>
                <c:pt idx="9">
                  <c:v>12</c:v>
                </c:pt>
              </c:numCache>
            </c:numRef>
          </c:val>
          <c:smooth val="0"/>
          <c:extLst>
            <c:ext xmlns:c16="http://schemas.microsoft.com/office/drawing/2014/chart" uri="{C3380CC4-5D6E-409C-BE32-E72D297353CC}">
              <c16:uniqueId val="{00000002-6210-47A9-B39A-11C6B2FA45E3}"/>
            </c:ext>
          </c:extLst>
        </c:ser>
        <c:dLbls>
          <c:showLegendKey val="0"/>
          <c:showVal val="0"/>
          <c:showCatName val="0"/>
          <c:showSerName val="0"/>
          <c:showPercent val="0"/>
          <c:showBubbleSize val="0"/>
        </c:dLbls>
        <c:marker val="1"/>
        <c:smooth val="0"/>
        <c:axId val="294544455"/>
        <c:axId val="294543735"/>
      </c:lineChart>
      <c:catAx>
        <c:axId val="294544455"/>
        <c:scaling>
          <c:orientation val="minMax"/>
        </c:scaling>
        <c:delete val="0"/>
        <c:axPos val="b"/>
        <c:majorGridlines>
          <c:spPr>
            <a:ln w="9525" cap="flat" cmpd="sng" algn="ctr">
              <a:no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94543735"/>
        <c:crosses val="autoZero"/>
        <c:auto val="1"/>
        <c:lblAlgn val="ctr"/>
        <c:lblOffset val="100"/>
        <c:noMultiLvlLbl val="0"/>
      </c:catAx>
      <c:valAx>
        <c:axId val="294543735"/>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b="0"/>
                  <a:t>ICU</a:t>
                </a:r>
                <a:r>
                  <a:rPr lang="en-AU" b="0" baseline="0"/>
                  <a:t> (%)</a:t>
                </a:r>
                <a:endParaRPr lang="en-AU" b="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9454445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2388C1-DED0-4E44-A099-D3458AA39EC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AU"/>
        </a:p>
      </dgm:t>
    </dgm:pt>
    <dgm:pt modelId="{6EA6E741-4E09-4C55-9FDE-90DF9A70B9F3}">
      <dgm:prSet phldrT="[Text]" custT="1"/>
      <dgm:spPr>
        <a:xfrm>
          <a:off x="3538" y="387487"/>
          <a:ext cx="1106681" cy="388799"/>
        </a:xfrm>
        <a:prstGeom prst="roundRect">
          <a:avLst>
            <a:gd name="adj" fmla="val 10000"/>
          </a:avLst>
        </a:prstGeom>
        <a:solidFill>
          <a:schemeClr val="accent1"/>
        </a:solidFill>
        <a:ln w="25400" cap="flat" cmpd="sng" algn="ctr">
          <a:solidFill>
            <a:srgbClr val="FFFFFF">
              <a:hueOff val="0"/>
              <a:satOff val="0"/>
              <a:lumOff val="0"/>
              <a:alphaOff val="0"/>
            </a:srgbClr>
          </a:solidFill>
          <a:prstDash val="solid"/>
        </a:ln>
        <a:effectLst/>
      </dgm:spPr>
      <dgm:t>
        <a:bodyPr/>
        <a:lstStyle/>
        <a:p>
          <a:pPr>
            <a:buNone/>
          </a:pPr>
          <a:r>
            <a:rPr lang="en-AU" sz="1000" b="1" dirty="0">
              <a:solidFill>
                <a:srgbClr val="FFFFFF"/>
              </a:solidFill>
              <a:latin typeface="Arial" panose="020B0604020202020204" pitchFamily="34" charset="0"/>
              <a:ea typeface="+mn-ea"/>
              <a:cs typeface="Arial" panose="020B0604020202020204" pitchFamily="34" charset="0"/>
            </a:rPr>
            <a:t>PRE-SEPSIS</a:t>
          </a:r>
        </a:p>
      </dgm:t>
    </dgm:pt>
    <dgm:pt modelId="{81C50A92-0EB2-4D88-87B4-55C5B793CAC0}" type="parTrans" cxnId="{804229AA-C37F-47F7-BBDE-C87DA2BF51A1}">
      <dgm:prSet/>
      <dgm:spPr/>
      <dgm:t>
        <a:bodyPr/>
        <a:lstStyle/>
        <a:p>
          <a:endParaRPr lang="en-AU"/>
        </a:p>
      </dgm:t>
    </dgm:pt>
    <dgm:pt modelId="{ECBF8697-FA65-47E4-A8F5-8560F515E00C}" type="sibTrans" cxnId="{804229AA-C37F-47F7-BBDE-C87DA2BF51A1}">
      <dgm:prSet/>
      <dgm:spPr>
        <a:xfrm>
          <a:off x="1277988" y="379321"/>
          <a:ext cx="355670" cy="275531"/>
        </a:xfrm>
        <a:prstGeom prst="rightArrow">
          <a:avLst>
            <a:gd name="adj1" fmla="val 60000"/>
            <a:gd name="adj2" fmla="val 50000"/>
          </a:avLst>
        </a:prstGeom>
        <a:solidFill>
          <a:srgbClr val="B58EFB"/>
        </a:solidFill>
        <a:ln>
          <a:noFill/>
        </a:ln>
        <a:effectLst/>
      </dgm:spPr>
      <dgm:t>
        <a:bodyPr/>
        <a:lstStyle/>
        <a:p>
          <a:pPr>
            <a:buNone/>
          </a:pPr>
          <a:endParaRPr lang="en-AU">
            <a:solidFill>
              <a:srgbClr val="FFFFFF"/>
            </a:solidFill>
            <a:latin typeface="Arial" panose="020B0604020202020204"/>
            <a:ea typeface="+mn-ea"/>
            <a:cs typeface="+mn-cs"/>
          </a:endParaRPr>
        </a:p>
      </dgm:t>
    </dgm:pt>
    <dgm:pt modelId="{0BCE1A8B-C711-454A-9D14-4549F868A1E2}">
      <dgm:prSet phldrT="[Text]"/>
      <dgm:spPr>
        <a:xfrm>
          <a:off x="220569" y="703835"/>
          <a:ext cx="1106681" cy="518400"/>
        </a:xfrm>
        <a:prstGeom prst="roundRect">
          <a:avLst>
            <a:gd name="adj" fmla="val 10000"/>
          </a:avLst>
        </a:prstGeom>
        <a:solidFill>
          <a:srgbClr val="FFFFFF">
            <a:alpha val="90000"/>
            <a:hueOff val="0"/>
            <a:satOff val="0"/>
            <a:lumOff val="0"/>
            <a:alphaOff val="0"/>
          </a:srgbClr>
        </a:solidFill>
        <a:ln w="25400" cap="flat" cmpd="sng" algn="ctr">
          <a:solidFill>
            <a:schemeClr val="accent1"/>
          </a:solidFill>
          <a:prstDash val="solid"/>
        </a:ln>
        <a:effectLst/>
      </dgm:spPr>
      <dgm:t>
        <a:bodyPr/>
        <a:lstStyle/>
        <a:p>
          <a:pPr>
            <a:buFont typeface="Arial" panose="020B0604020202020204" pitchFamily="34" charset="0"/>
            <a:buChar char="•"/>
          </a:pPr>
          <a:r>
            <a:rPr lang="en-AU" dirty="0">
              <a:solidFill>
                <a:srgbClr val="000000">
                  <a:hueOff val="0"/>
                  <a:satOff val="0"/>
                  <a:lumOff val="0"/>
                  <a:alphaOff val="0"/>
                </a:srgbClr>
              </a:solidFill>
              <a:latin typeface="Arial" panose="020B0604020202020204" pitchFamily="34" charset="0"/>
              <a:ea typeface="+mn-ea"/>
              <a:cs typeface="Arial" panose="020B0604020202020204" pitchFamily="34" charset="0"/>
            </a:rPr>
            <a:t>Discharges </a:t>
          </a:r>
          <a:r>
            <a:rPr lang="en-AU" b="1" dirty="0">
              <a:solidFill>
                <a:srgbClr val="000000">
                  <a:hueOff val="0"/>
                  <a:satOff val="0"/>
                  <a:lumOff val="0"/>
                  <a:alphaOff val="0"/>
                </a:srgbClr>
              </a:solidFill>
              <a:latin typeface="Arial" panose="020B0604020202020204" pitchFamily="34" charset="0"/>
              <a:ea typeface="+mn-ea"/>
              <a:cs typeface="Arial" panose="020B0604020202020204" pitchFamily="34" charset="0"/>
            </a:rPr>
            <a:t>before</a:t>
          </a:r>
          <a:r>
            <a:rPr lang="en-AU" dirty="0">
              <a:solidFill>
                <a:srgbClr val="000000">
                  <a:hueOff val="0"/>
                  <a:satOff val="0"/>
                  <a:lumOff val="0"/>
                  <a:alphaOff val="0"/>
                </a:srgbClr>
              </a:solidFill>
              <a:latin typeface="Arial" panose="020B0604020202020204" pitchFamily="34" charset="0"/>
              <a:ea typeface="+mn-ea"/>
              <a:cs typeface="Arial" panose="020B0604020202020204" pitchFamily="34" charset="0"/>
            </a:rPr>
            <a:t> a sepsis hospitalisation</a:t>
          </a:r>
        </a:p>
      </dgm:t>
    </dgm:pt>
    <dgm:pt modelId="{8CE66143-DC1B-44AD-8ADE-5C4D5202A361}" type="parTrans" cxnId="{811657A8-A522-4E69-962E-D7EBB651252A}">
      <dgm:prSet/>
      <dgm:spPr/>
      <dgm:t>
        <a:bodyPr/>
        <a:lstStyle/>
        <a:p>
          <a:endParaRPr lang="en-AU"/>
        </a:p>
      </dgm:t>
    </dgm:pt>
    <dgm:pt modelId="{046DDE2F-C8EA-4B96-BB84-419ECF4C10D1}" type="sibTrans" cxnId="{811657A8-A522-4E69-962E-D7EBB651252A}">
      <dgm:prSet/>
      <dgm:spPr/>
      <dgm:t>
        <a:bodyPr/>
        <a:lstStyle/>
        <a:p>
          <a:endParaRPr lang="en-AU"/>
        </a:p>
      </dgm:t>
    </dgm:pt>
    <dgm:pt modelId="{8ECEC656-5D02-4F0C-84B7-9BA4A28D1DEB}">
      <dgm:prSet phldrT="[Text]" custT="1"/>
      <dgm:spPr>
        <a:xfrm>
          <a:off x="1781295" y="387487"/>
          <a:ext cx="1106681" cy="388799"/>
        </a:xfrm>
        <a:prstGeom prst="roundRect">
          <a:avLst>
            <a:gd name="adj" fmla="val 10000"/>
          </a:avLst>
        </a:prstGeom>
        <a:solidFill>
          <a:schemeClr val="accent1"/>
        </a:solidFill>
        <a:ln w="25400" cap="flat" cmpd="sng" algn="ctr">
          <a:solidFill>
            <a:srgbClr val="FFFFFF">
              <a:hueOff val="0"/>
              <a:satOff val="0"/>
              <a:lumOff val="0"/>
              <a:alphaOff val="0"/>
            </a:srgbClr>
          </a:solidFill>
          <a:prstDash val="solid"/>
        </a:ln>
        <a:effectLst/>
      </dgm:spPr>
      <dgm:t>
        <a:bodyPr/>
        <a:lstStyle/>
        <a:p>
          <a:pPr algn="l">
            <a:buNone/>
          </a:pPr>
          <a:r>
            <a:rPr lang="en-AU" sz="1000" b="1" dirty="0">
              <a:solidFill>
                <a:srgbClr val="FFFFFF"/>
              </a:solidFill>
              <a:latin typeface="Arial" panose="020B0604020202020204" pitchFamily="34" charset="0"/>
              <a:ea typeface="+mn-ea"/>
              <a:cs typeface="Arial" panose="020B0604020202020204" pitchFamily="34" charset="0"/>
            </a:rPr>
            <a:t>SEPSIS</a:t>
          </a:r>
        </a:p>
      </dgm:t>
    </dgm:pt>
    <dgm:pt modelId="{DA1D121C-CA52-4F0A-A005-8E7712007A1B}" type="parTrans" cxnId="{7C149B8D-31D5-4964-85D4-FC364D597476}">
      <dgm:prSet/>
      <dgm:spPr/>
      <dgm:t>
        <a:bodyPr/>
        <a:lstStyle/>
        <a:p>
          <a:endParaRPr lang="en-AU"/>
        </a:p>
      </dgm:t>
    </dgm:pt>
    <dgm:pt modelId="{277B05DB-D7CC-4EB0-9FD1-D19BEB45D2A6}" type="sibTrans" cxnId="{7C149B8D-31D5-4964-85D4-FC364D597476}">
      <dgm:prSet/>
      <dgm:spPr>
        <a:xfrm>
          <a:off x="3073382" y="379321"/>
          <a:ext cx="393059" cy="275531"/>
        </a:xfrm>
        <a:prstGeom prst="rightArrow">
          <a:avLst>
            <a:gd name="adj1" fmla="val 60000"/>
            <a:gd name="adj2" fmla="val 50000"/>
          </a:avLst>
        </a:prstGeom>
        <a:solidFill>
          <a:srgbClr val="B58EFB"/>
        </a:solidFill>
        <a:ln>
          <a:noFill/>
        </a:ln>
        <a:effectLst/>
      </dgm:spPr>
      <dgm:t>
        <a:bodyPr/>
        <a:lstStyle/>
        <a:p>
          <a:pPr>
            <a:buNone/>
          </a:pPr>
          <a:endParaRPr lang="en-AU">
            <a:solidFill>
              <a:srgbClr val="FFFFFF"/>
            </a:solidFill>
            <a:latin typeface="Arial" panose="020B0604020202020204"/>
            <a:ea typeface="+mn-ea"/>
            <a:cs typeface="+mn-cs"/>
          </a:endParaRPr>
        </a:p>
      </dgm:t>
    </dgm:pt>
    <dgm:pt modelId="{2AB2DA10-9544-437F-A443-A0DD95EF3588}">
      <dgm:prSet phldrT="[Text]"/>
      <dgm:spPr>
        <a:xfrm>
          <a:off x="1966337" y="713364"/>
          <a:ext cx="1247772" cy="518400"/>
        </a:xfrm>
        <a:prstGeom prst="roundRect">
          <a:avLst>
            <a:gd name="adj" fmla="val 10000"/>
          </a:avLst>
        </a:prstGeom>
        <a:solidFill>
          <a:srgbClr val="FFFFFF">
            <a:alpha val="90000"/>
            <a:hueOff val="0"/>
            <a:satOff val="0"/>
            <a:lumOff val="0"/>
            <a:alphaOff val="0"/>
          </a:srgbClr>
        </a:solidFill>
        <a:ln w="25400" cap="flat" cmpd="sng" algn="ctr">
          <a:solidFill>
            <a:schemeClr val="accent1"/>
          </a:solidFill>
          <a:prstDash val="solid"/>
        </a:ln>
        <a:effectLst/>
      </dgm:spPr>
      <dgm:t>
        <a:bodyPr/>
        <a:lstStyle/>
        <a:p>
          <a:pPr>
            <a:buFont typeface="Arial" panose="020B0604020202020204" pitchFamily="34" charset="0"/>
            <a:buChar char="•"/>
          </a:pPr>
          <a:r>
            <a:rPr lang="en-AU" dirty="0">
              <a:solidFill>
                <a:srgbClr val="000000">
                  <a:hueOff val="0"/>
                  <a:satOff val="0"/>
                  <a:lumOff val="0"/>
                  <a:alphaOff val="0"/>
                </a:srgbClr>
              </a:solidFill>
              <a:latin typeface="Arial" panose="020B0604020202020204" pitchFamily="34" charset="0"/>
              <a:ea typeface="+mn-ea"/>
              <a:cs typeface="Arial" panose="020B0604020202020204" pitchFamily="34" charset="0"/>
            </a:rPr>
            <a:t>Sepsis hospitalisations</a:t>
          </a:r>
        </a:p>
      </dgm:t>
    </dgm:pt>
    <dgm:pt modelId="{7357C3CD-82E3-4748-BBF1-9FCF8DEA5EE7}" type="parTrans" cxnId="{402DCF0D-D3A0-428D-80A9-8ABC9DD64C9F}">
      <dgm:prSet/>
      <dgm:spPr/>
      <dgm:t>
        <a:bodyPr/>
        <a:lstStyle/>
        <a:p>
          <a:endParaRPr lang="en-AU"/>
        </a:p>
      </dgm:t>
    </dgm:pt>
    <dgm:pt modelId="{36391236-B826-4B8A-ABD7-407A33577E51}" type="sibTrans" cxnId="{402DCF0D-D3A0-428D-80A9-8ABC9DD64C9F}">
      <dgm:prSet/>
      <dgm:spPr/>
      <dgm:t>
        <a:bodyPr/>
        <a:lstStyle/>
        <a:p>
          <a:endParaRPr lang="en-AU"/>
        </a:p>
      </dgm:t>
    </dgm:pt>
    <dgm:pt modelId="{4B6E885E-CD73-46B5-AC89-1C7A33B7DAA0}">
      <dgm:prSet phldrT="[Text]" custT="1"/>
      <dgm:spPr>
        <a:xfrm>
          <a:off x="3629598" y="387487"/>
          <a:ext cx="1213055" cy="388799"/>
        </a:xfrm>
        <a:prstGeom prst="roundRect">
          <a:avLst>
            <a:gd name="adj" fmla="val 10000"/>
          </a:avLst>
        </a:prstGeom>
        <a:solidFill>
          <a:schemeClr val="accent1"/>
        </a:solidFill>
        <a:ln w="25400" cap="flat" cmpd="sng" algn="ctr">
          <a:solidFill>
            <a:srgbClr val="FFFFFF">
              <a:hueOff val="0"/>
              <a:satOff val="0"/>
              <a:lumOff val="0"/>
              <a:alphaOff val="0"/>
            </a:srgbClr>
          </a:solidFill>
          <a:prstDash val="solid"/>
        </a:ln>
        <a:effectLst/>
      </dgm:spPr>
      <dgm:t>
        <a:bodyPr/>
        <a:lstStyle/>
        <a:p>
          <a:pPr>
            <a:buNone/>
          </a:pPr>
          <a:r>
            <a:rPr lang="en-AU" sz="1000" b="1" dirty="0">
              <a:solidFill>
                <a:srgbClr val="FFFFFF"/>
              </a:solidFill>
              <a:latin typeface="Arial" panose="020B0604020202020204" pitchFamily="34" charset="0"/>
              <a:ea typeface="+mn-ea"/>
              <a:cs typeface="Arial" panose="020B0604020202020204" pitchFamily="34" charset="0"/>
            </a:rPr>
            <a:t>POST-SEPSIS</a:t>
          </a:r>
        </a:p>
      </dgm:t>
    </dgm:pt>
    <dgm:pt modelId="{14409219-4175-4EBE-8607-25D6018B57FC}" type="parTrans" cxnId="{14D9F694-7286-44C8-B9A4-B5F12D833A1F}">
      <dgm:prSet/>
      <dgm:spPr/>
      <dgm:t>
        <a:bodyPr/>
        <a:lstStyle/>
        <a:p>
          <a:endParaRPr lang="en-AU"/>
        </a:p>
      </dgm:t>
    </dgm:pt>
    <dgm:pt modelId="{9F193D77-1691-4651-90FF-82FFC0A7F941}" type="sibTrans" cxnId="{14D9F694-7286-44C8-B9A4-B5F12D833A1F}">
      <dgm:prSet/>
      <dgm:spPr/>
      <dgm:t>
        <a:bodyPr/>
        <a:lstStyle/>
        <a:p>
          <a:endParaRPr lang="en-AU"/>
        </a:p>
      </dgm:t>
    </dgm:pt>
    <dgm:pt modelId="{0A38A958-E2B8-45A0-A02A-DFF9B66171C8}">
      <dgm:prSet phldrT="[Text]"/>
      <dgm:spPr>
        <a:xfrm>
          <a:off x="3899815" y="703835"/>
          <a:ext cx="1106681" cy="518400"/>
        </a:xfrm>
        <a:prstGeom prst="roundRect">
          <a:avLst>
            <a:gd name="adj" fmla="val 10000"/>
          </a:avLst>
        </a:prstGeom>
        <a:solidFill>
          <a:srgbClr val="FFFFFF">
            <a:alpha val="90000"/>
            <a:hueOff val="0"/>
            <a:satOff val="0"/>
            <a:lumOff val="0"/>
            <a:alphaOff val="0"/>
          </a:srgbClr>
        </a:solidFill>
        <a:ln w="25400" cap="flat" cmpd="sng" algn="ctr">
          <a:solidFill>
            <a:schemeClr val="accent1"/>
          </a:solidFill>
          <a:prstDash val="solid"/>
        </a:ln>
        <a:effectLst/>
      </dgm:spPr>
      <dgm:t>
        <a:bodyPr/>
        <a:lstStyle/>
        <a:p>
          <a:pPr>
            <a:buFont typeface="Arial" panose="020B0604020202020204" pitchFamily="34" charset="0"/>
            <a:buChar char="•"/>
          </a:pPr>
          <a:r>
            <a:rPr lang="en-AU" dirty="0">
              <a:solidFill>
                <a:srgbClr val="000000">
                  <a:hueOff val="0"/>
                  <a:satOff val="0"/>
                  <a:lumOff val="0"/>
                  <a:alphaOff val="0"/>
                </a:srgbClr>
              </a:solidFill>
              <a:latin typeface="Arial" panose="020B0604020202020204" pitchFamily="34" charset="0"/>
              <a:ea typeface="+mn-ea"/>
              <a:cs typeface="Arial" panose="020B0604020202020204" pitchFamily="34" charset="0"/>
            </a:rPr>
            <a:t>readmissions </a:t>
          </a:r>
          <a:r>
            <a:rPr lang="en-AU" b="1" dirty="0">
              <a:solidFill>
                <a:srgbClr val="000000">
                  <a:hueOff val="0"/>
                  <a:satOff val="0"/>
                  <a:lumOff val="0"/>
                  <a:alphaOff val="0"/>
                </a:srgbClr>
              </a:solidFill>
              <a:latin typeface="Arial" panose="020B0604020202020204" pitchFamily="34" charset="0"/>
              <a:ea typeface="+mn-ea"/>
              <a:cs typeface="Arial" panose="020B0604020202020204" pitchFamily="34" charset="0"/>
            </a:rPr>
            <a:t>after</a:t>
          </a:r>
          <a:r>
            <a:rPr lang="en-AU" dirty="0">
              <a:solidFill>
                <a:srgbClr val="000000">
                  <a:hueOff val="0"/>
                  <a:satOff val="0"/>
                  <a:lumOff val="0"/>
                  <a:alphaOff val="0"/>
                </a:srgbClr>
              </a:solidFill>
              <a:latin typeface="Arial" panose="020B0604020202020204" pitchFamily="34" charset="0"/>
              <a:ea typeface="+mn-ea"/>
              <a:cs typeface="Arial" panose="020B0604020202020204" pitchFamily="34" charset="0"/>
            </a:rPr>
            <a:t> sepsis</a:t>
          </a:r>
        </a:p>
      </dgm:t>
    </dgm:pt>
    <dgm:pt modelId="{762A09BD-7544-4E48-8537-BB7065D033ED}" type="parTrans" cxnId="{BAC9E1F0-8205-4B9D-A3D8-77153D024D48}">
      <dgm:prSet/>
      <dgm:spPr/>
      <dgm:t>
        <a:bodyPr/>
        <a:lstStyle/>
        <a:p>
          <a:endParaRPr lang="en-AU"/>
        </a:p>
      </dgm:t>
    </dgm:pt>
    <dgm:pt modelId="{25BA18B0-83B3-4627-A641-B1CEF79B41F6}" type="sibTrans" cxnId="{BAC9E1F0-8205-4B9D-A3D8-77153D024D48}">
      <dgm:prSet/>
      <dgm:spPr/>
      <dgm:t>
        <a:bodyPr/>
        <a:lstStyle/>
        <a:p>
          <a:endParaRPr lang="en-AU"/>
        </a:p>
      </dgm:t>
    </dgm:pt>
    <dgm:pt modelId="{50CBAAA1-BE44-44F8-A2AD-8FF7A130153F}" type="pres">
      <dgm:prSet presAssocID="{C52388C1-DED0-4E44-A099-D3458AA39ECD}" presName="linearFlow" presStyleCnt="0">
        <dgm:presLayoutVars>
          <dgm:dir/>
          <dgm:animLvl val="lvl"/>
          <dgm:resizeHandles val="exact"/>
        </dgm:presLayoutVars>
      </dgm:prSet>
      <dgm:spPr/>
    </dgm:pt>
    <dgm:pt modelId="{D95069B4-375B-4D0D-B20A-85DB4E4A7C1F}" type="pres">
      <dgm:prSet presAssocID="{6EA6E741-4E09-4C55-9FDE-90DF9A70B9F3}" presName="composite" presStyleCnt="0"/>
      <dgm:spPr/>
    </dgm:pt>
    <dgm:pt modelId="{E1F9ADE1-FC3B-4D65-A7D7-41FBE6FF1E27}" type="pres">
      <dgm:prSet presAssocID="{6EA6E741-4E09-4C55-9FDE-90DF9A70B9F3}" presName="parTx" presStyleLbl="node1" presStyleIdx="0" presStyleCnt="3">
        <dgm:presLayoutVars>
          <dgm:chMax val="0"/>
          <dgm:chPref val="0"/>
          <dgm:bulletEnabled val="1"/>
        </dgm:presLayoutVars>
      </dgm:prSet>
      <dgm:spPr/>
    </dgm:pt>
    <dgm:pt modelId="{6D4D75F2-E716-4C9A-A0CA-F2233BCA68DC}" type="pres">
      <dgm:prSet presAssocID="{6EA6E741-4E09-4C55-9FDE-90DF9A70B9F3}" presName="parSh" presStyleLbl="node1" presStyleIdx="0" presStyleCnt="3"/>
      <dgm:spPr/>
    </dgm:pt>
    <dgm:pt modelId="{AA0703EC-120A-43CB-86BF-FCB96562A7C9}" type="pres">
      <dgm:prSet presAssocID="{6EA6E741-4E09-4C55-9FDE-90DF9A70B9F3}" presName="desTx" presStyleLbl="fgAcc1" presStyleIdx="0" presStyleCnt="3" custLinFactNeighborX="-871" custLinFactNeighborY="11024">
        <dgm:presLayoutVars>
          <dgm:bulletEnabled val="1"/>
        </dgm:presLayoutVars>
      </dgm:prSet>
      <dgm:spPr/>
    </dgm:pt>
    <dgm:pt modelId="{3C0FD95A-DA6B-475E-8F17-9705C52AE240}" type="pres">
      <dgm:prSet presAssocID="{ECBF8697-FA65-47E4-A8F5-8560F515E00C}" presName="sibTrans" presStyleLbl="sibTrans2D1" presStyleIdx="0" presStyleCnt="2"/>
      <dgm:spPr/>
    </dgm:pt>
    <dgm:pt modelId="{02B9CE0E-D570-4CFC-9BD4-98AD0F80D675}" type="pres">
      <dgm:prSet presAssocID="{ECBF8697-FA65-47E4-A8F5-8560F515E00C}" presName="connTx" presStyleLbl="sibTrans2D1" presStyleIdx="0" presStyleCnt="2"/>
      <dgm:spPr/>
    </dgm:pt>
    <dgm:pt modelId="{84DF950C-702C-4630-AF54-0D3D95D7BCA1}" type="pres">
      <dgm:prSet presAssocID="{8ECEC656-5D02-4F0C-84B7-9BA4A28D1DEB}" presName="composite" presStyleCnt="0"/>
      <dgm:spPr/>
    </dgm:pt>
    <dgm:pt modelId="{96DB4BFB-14F9-4545-ADB6-2DA141ED70B8}" type="pres">
      <dgm:prSet presAssocID="{8ECEC656-5D02-4F0C-84B7-9BA4A28D1DEB}" presName="parTx" presStyleLbl="node1" presStyleIdx="0" presStyleCnt="3">
        <dgm:presLayoutVars>
          <dgm:chMax val="0"/>
          <dgm:chPref val="0"/>
          <dgm:bulletEnabled val="1"/>
        </dgm:presLayoutVars>
      </dgm:prSet>
      <dgm:spPr/>
    </dgm:pt>
    <dgm:pt modelId="{00B40C5D-6BA9-4449-8E31-B2AB90476A06}" type="pres">
      <dgm:prSet presAssocID="{8ECEC656-5D02-4F0C-84B7-9BA4A28D1DEB}" presName="parSh" presStyleLbl="node1" presStyleIdx="1" presStyleCnt="3"/>
      <dgm:spPr/>
    </dgm:pt>
    <dgm:pt modelId="{C9B99B6D-66E2-4342-8DA7-BFFEDF36E584}" type="pres">
      <dgm:prSet presAssocID="{8ECEC656-5D02-4F0C-84B7-9BA4A28D1DEB}" presName="desTx" presStyleLbl="fgAcc1" presStyleIdx="1" presStyleCnt="3" custScaleX="112749" custLinFactNeighborX="2613" custLinFactNeighborY="12862">
        <dgm:presLayoutVars>
          <dgm:bulletEnabled val="1"/>
        </dgm:presLayoutVars>
      </dgm:prSet>
      <dgm:spPr/>
    </dgm:pt>
    <dgm:pt modelId="{3E051434-88E7-4E35-B713-CF7679AD5795}" type="pres">
      <dgm:prSet presAssocID="{277B05DB-D7CC-4EB0-9FD1-D19BEB45D2A6}" presName="sibTrans" presStyleLbl="sibTrans2D1" presStyleIdx="1" presStyleCnt="2"/>
      <dgm:spPr/>
    </dgm:pt>
    <dgm:pt modelId="{81D94F83-FBD9-4D2B-9F23-14A78295B9D9}" type="pres">
      <dgm:prSet presAssocID="{277B05DB-D7CC-4EB0-9FD1-D19BEB45D2A6}" presName="connTx" presStyleLbl="sibTrans2D1" presStyleIdx="1" presStyleCnt="2"/>
      <dgm:spPr/>
    </dgm:pt>
    <dgm:pt modelId="{C0086609-0D7C-4E29-AC2E-3FF050B0EC59}" type="pres">
      <dgm:prSet presAssocID="{4B6E885E-CD73-46B5-AC89-1C7A33B7DAA0}" presName="composite" presStyleCnt="0"/>
      <dgm:spPr/>
    </dgm:pt>
    <dgm:pt modelId="{5B532DBA-BA3D-4E8B-B52B-953AD61A81F0}" type="pres">
      <dgm:prSet presAssocID="{4B6E885E-CD73-46B5-AC89-1C7A33B7DAA0}" presName="parTx" presStyleLbl="node1" presStyleIdx="1" presStyleCnt="3">
        <dgm:presLayoutVars>
          <dgm:chMax val="0"/>
          <dgm:chPref val="0"/>
          <dgm:bulletEnabled val="1"/>
        </dgm:presLayoutVars>
      </dgm:prSet>
      <dgm:spPr/>
    </dgm:pt>
    <dgm:pt modelId="{3DBAF79F-E5D9-42F5-ACF5-F1B36319910B}" type="pres">
      <dgm:prSet presAssocID="{4B6E885E-CD73-46B5-AC89-1C7A33B7DAA0}" presName="parSh" presStyleLbl="node1" presStyleIdx="2" presStyleCnt="3" custScaleX="109612"/>
      <dgm:spPr/>
    </dgm:pt>
    <dgm:pt modelId="{0E17CE7E-F8BD-45FF-B56D-ED8123104AFC}" type="pres">
      <dgm:prSet presAssocID="{4B6E885E-CD73-46B5-AC89-1C7A33B7DAA0}" presName="desTx" presStyleLbl="fgAcc1" presStyleIdx="2" presStyleCnt="3" custLinFactNeighborX="-871" custLinFactNeighborY="11024">
        <dgm:presLayoutVars>
          <dgm:bulletEnabled val="1"/>
        </dgm:presLayoutVars>
      </dgm:prSet>
      <dgm:spPr/>
    </dgm:pt>
  </dgm:ptLst>
  <dgm:cxnLst>
    <dgm:cxn modelId="{612A190B-1FCB-4058-A008-CBCAD6A1BF06}" type="presOf" srcId="{0BCE1A8B-C711-454A-9D14-4549F868A1E2}" destId="{AA0703EC-120A-43CB-86BF-FCB96562A7C9}" srcOrd="0" destOrd="0" presId="urn:microsoft.com/office/officeart/2005/8/layout/process3"/>
    <dgm:cxn modelId="{BDF7170D-B34C-4408-A40B-F8B696F93694}" type="presOf" srcId="{4B6E885E-CD73-46B5-AC89-1C7A33B7DAA0}" destId="{3DBAF79F-E5D9-42F5-ACF5-F1B36319910B}" srcOrd="1" destOrd="0" presId="urn:microsoft.com/office/officeart/2005/8/layout/process3"/>
    <dgm:cxn modelId="{402DCF0D-D3A0-428D-80A9-8ABC9DD64C9F}" srcId="{8ECEC656-5D02-4F0C-84B7-9BA4A28D1DEB}" destId="{2AB2DA10-9544-437F-A443-A0DD95EF3588}" srcOrd="0" destOrd="0" parTransId="{7357C3CD-82E3-4748-BBF1-9FCF8DEA5EE7}" sibTransId="{36391236-B826-4B8A-ABD7-407A33577E51}"/>
    <dgm:cxn modelId="{CA0C3B20-393F-41FE-8932-B7A12A7DDE00}" type="presOf" srcId="{8ECEC656-5D02-4F0C-84B7-9BA4A28D1DEB}" destId="{96DB4BFB-14F9-4545-ADB6-2DA141ED70B8}" srcOrd="0" destOrd="0" presId="urn:microsoft.com/office/officeart/2005/8/layout/process3"/>
    <dgm:cxn modelId="{E02B8F45-76A8-47A5-A346-4C4BFBEDEB46}" type="presOf" srcId="{C52388C1-DED0-4E44-A099-D3458AA39ECD}" destId="{50CBAAA1-BE44-44F8-A2AD-8FF7A130153F}" srcOrd="0" destOrd="0" presId="urn:microsoft.com/office/officeart/2005/8/layout/process3"/>
    <dgm:cxn modelId="{9C41506D-1E59-4DBF-B3F5-71F834545C6F}" type="presOf" srcId="{6EA6E741-4E09-4C55-9FDE-90DF9A70B9F3}" destId="{6D4D75F2-E716-4C9A-A0CA-F2233BCA68DC}" srcOrd="1" destOrd="0" presId="urn:microsoft.com/office/officeart/2005/8/layout/process3"/>
    <dgm:cxn modelId="{85803875-1E74-498C-B409-7388F2F876D1}" type="presOf" srcId="{4B6E885E-CD73-46B5-AC89-1C7A33B7DAA0}" destId="{5B532DBA-BA3D-4E8B-B52B-953AD61A81F0}" srcOrd="0" destOrd="0" presId="urn:microsoft.com/office/officeart/2005/8/layout/process3"/>
    <dgm:cxn modelId="{513D8F76-D4F2-47E0-9636-8BE3F5B4D380}" type="presOf" srcId="{277B05DB-D7CC-4EB0-9FD1-D19BEB45D2A6}" destId="{81D94F83-FBD9-4D2B-9F23-14A78295B9D9}" srcOrd="1" destOrd="0" presId="urn:microsoft.com/office/officeart/2005/8/layout/process3"/>
    <dgm:cxn modelId="{FED4787B-90A2-4515-8113-D7B6E78FE206}" type="presOf" srcId="{2AB2DA10-9544-437F-A443-A0DD95EF3588}" destId="{C9B99B6D-66E2-4342-8DA7-BFFEDF36E584}" srcOrd="0" destOrd="0" presId="urn:microsoft.com/office/officeart/2005/8/layout/process3"/>
    <dgm:cxn modelId="{7C149B8D-31D5-4964-85D4-FC364D597476}" srcId="{C52388C1-DED0-4E44-A099-D3458AA39ECD}" destId="{8ECEC656-5D02-4F0C-84B7-9BA4A28D1DEB}" srcOrd="1" destOrd="0" parTransId="{DA1D121C-CA52-4F0A-A005-8E7712007A1B}" sibTransId="{277B05DB-D7CC-4EB0-9FD1-D19BEB45D2A6}"/>
    <dgm:cxn modelId="{14D9F694-7286-44C8-B9A4-B5F12D833A1F}" srcId="{C52388C1-DED0-4E44-A099-D3458AA39ECD}" destId="{4B6E885E-CD73-46B5-AC89-1C7A33B7DAA0}" srcOrd="2" destOrd="0" parTransId="{14409219-4175-4EBE-8607-25D6018B57FC}" sibTransId="{9F193D77-1691-4651-90FF-82FFC0A7F941}"/>
    <dgm:cxn modelId="{0224F59F-C2D6-4BF3-B5CF-3062F6958277}" type="presOf" srcId="{0A38A958-E2B8-45A0-A02A-DFF9B66171C8}" destId="{0E17CE7E-F8BD-45FF-B56D-ED8123104AFC}" srcOrd="0" destOrd="0" presId="urn:microsoft.com/office/officeart/2005/8/layout/process3"/>
    <dgm:cxn modelId="{D670B2A0-6192-4F1B-9D59-5DF5D2496F50}" type="presOf" srcId="{ECBF8697-FA65-47E4-A8F5-8560F515E00C}" destId="{02B9CE0E-D570-4CFC-9BD4-98AD0F80D675}" srcOrd="1" destOrd="0" presId="urn:microsoft.com/office/officeart/2005/8/layout/process3"/>
    <dgm:cxn modelId="{D5A851A1-2C6E-4A52-8AD9-27697E54B9EB}" type="presOf" srcId="{ECBF8697-FA65-47E4-A8F5-8560F515E00C}" destId="{3C0FD95A-DA6B-475E-8F17-9705C52AE240}" srcOrd="0" destOrd="0" presId="urn:microsoft.com/office/officeart/2005/8/layout/process3"/>
    <dgm:cxn modelId="{A6EAB5A7-B945-4A63-8996-73CB8F04ADA9}" type="presOf" srcId="{277B05DB-D7CC-4EB0-9FD1-D19BEB45D2A6}" destId="{3E051434-88E7-4E35-B713-CF7679AD5795}" srcOrd="0" destOrd="0" presId="urn:microsoft.com/office/officeart/2005/8/layout/process3"/>
    <dgm:cxn modelId="{811657A8-A522-4E69-962E-D7EBB651252A}" srcId="{6EA6E741-4E09-4C55-9FDE-90DF9A70B9F3}" destId="{0BCE1A8B-C711-454A-9D14-4549F868A1E2}" srcOrd="0" destOrd="0" parTransId="{8CE66143-DC1B-44AD-8ADE-5C4D5202A361}" sibTransId="{046DDE2F-C8EA-4B96-BB84-419ECF4C10D1}"/>
    <dgm:cxn modelId="{804229AA-C37F-47F7-BBDE-C87DA2BF51A1}" srcId="{C52388C1-DED0-4E44-A099-D3458AA39ECD}" destId="{6EA6E741-4E09-4C55-9FDE-90DF9A70B9F3}" srcOrd="0" destOrd="0" parTransId="{81C50A92-0EB2-4D88-87B4-55C5B793CAC0}" sibTransId="{ECBF8697-FA65-47E4-A8F5-8560F515E00C}"/>
    <dgm:cxn modelId="{1406A8E4-0949-4D9D-A377-4F4894E3E1EA}" type="presOf" srcId="{6EA6E741-4E09-4C55-9FDE-90DF9A70B9F3}" destId="{E1F9ADE1-FC3B-4D65-A7D7-41FBE6FF1E27}" srcOrd="0" destOrd="0" presId="urn:microsoft.com/office/officeart/2005/8/layout/process3"/>
    <dgm:cxn modelId="{BAC9E1F0-8205-4B9D-A3D8-77153D024D48}" srcId="{4B6E885E-CD73-46B5-AC89-1C7A33B7DAA0}" destId="{0A38A958-E2B8-45A0-A02A-DFF9B66171C8}" srcOrd="0" destOrd="0" parTransId="{762A09BD-7544-4E48-8537-BB7065D033ED}" sibTransId="{25BA18B0-83B3-4627-A641-B1CEF79B41F6}"/>
    <dgm:cxn modelId="{367C9AFD-8CC2-4BB8-BDEA-F878B84B7320}" type="presOf" srcId="{8ECEC656-5D02-4F0C-84B7-9BA4A28D1DEB}" destId="{00B40C5D-6BA9-4449-8E31-B2AB90476A06}" srcOrd="1" destOrd="0" presId="urn:microsoft.com/office/officeart/2005/8/layout/process3"/>
    <dgm:cxn modelId="{471A95A6-D969-460E-AD6E-D9C6CEE6494C}" type="presParOf" srcId="{50CBAAA1-BE44-44F8-A2AD-8FF7A130153F}" destId="{D95069B4-375B-4D0D-B20A-85DB4E4A7C1F}" srcOrd="0" destOrd="0" presId="urn:microsoft.com/office/officeart/2005/8/layout/process3"/>
    <dgm:cxn modelId="{67BF64D5-1F6C-4E02-A49A-C08FA5F67F04}" type="presParOf" srcId="{D95069B4-375B-4D0D-B20A-85DB4E4A7C1F}" destId="{E1F9ADE1-FC3B-4D65-A7D7-41FBE6FF1E27}" srcOrd="0" destOrd="0" presId="urn:microsoft.com/office/officeart/2005/8/layout/process3"/>
    <dgm:cxn modelId="{4546316F-F226-4190-82FA-25A73DFA5F17}" type="presParOf" srcId="{D95069B4-375B-4D0D-B20A-85DB4E4A7C1F}" destId="{6D4D75F2-E716-4C9A-A0CA-F2233BCA68DC}" srcOrd="1" destOrd="0" presId="urn:microsoft.com/office/officeart/2005/8/layout/process3"/>
    <dgm:cxn modelId="{3AB7D95A-F884-4699-9975-96D2A3A26C01}" type="presParOf" srcId="{D95069B4-375B-4D0D-B20A-85DB4E4A7C1F}" destId="{AA0703EC-120A-43CB-86BF-FCB96562A7C9}" srcOrd="2" destOrd="0" presId="urn:microsoft.com/office/officeart/2005/8/layout/process3"/>
    <dgm:cxn modelId="{4422DE85-49FF-430A-AE28-0FE3B151AEF5}" type="presParOf" srcId="{50CBAAA1-BE44-44F8-A2AD-8FF7A130153F}" destId="{3C0FD95A-DA6B-475E-8F17-9705C52AE240}" srcOrd="1" destOrd="0" presId="urn:microsoft.com/office/officeart/2005/8/layout/process3"/>
    <dgm:cxn modelId="{476AE00A-3679-4E14-AF8F-183EE89FE3BD}" type="presParOf" srcId="{3C0FD95A-DA6B-475E-8F17-9705C52AE240}" destId="{02B9CE0E-D570-4CFC-9BD4-98AD0F80D675}" srcOrd="0" destOrd="0" presId="urn:microsoft.com/office/officeart/2005/8/layout/process3"/>
    <dgm:cxn modelId="{EF6156BD-E6DD-4933-BD09-6E4BC6655CE7}" type="presParOf" srcId="{50CBAAA1-BE44-44F8-A2AD-8FF7A130153F}" destId="{84DF950C-702C-4630-AF54-0D3D95D7BCA1}" srcOrd="2" destOrd="0" presId="urn:microsoft.com/office/officeart/2005/8/layout/process3"/>
    <dgm:cxn modelId="{7F242D36-635C-4E30-9832-086CA2EEA44F}" type="presParOf" srcId="{84DF950C-702C-4630-AF54-0D3D95D7BCA1}" destId="{96DB4BFB-14F9-4545-ADB6-2DA141ED70B8}" srcOrd="0" destOrd="0" presId="urn:microsoft.com/office/officeart/2005/8/layout/process3"/>
    <dgm:cxn modelId="{5BC46FA7-D852-43A3-A7EB-8F16227CBA15}" type="presParOf" srcId="{84DF950C-702C-4630-AF54-0D3D95D7BCA1}" destId="{00B40C5D-6BA9-4449-8E31-B2AB90476A06}" srcOrd="1" destOrd="0" presId="urn:microsoft.com/office/officeart/2005/8/layout/process3"/>
    <dgm:cxn modelId="{A765A0F5-2996-49DA-99B3-8301310DA4D9}" type="presParOf" srcId="{84DF950C-702C-4630-AF54-0D3D95D7BCA1}" destId="{C9B99B6D-66E2-4342-8DA7-BFFEDF36E584}" srcOrd="2" destOrd="0" presId="urn:microsoft.com/office/officeart/2005/8/layout/process3"/>
    <dgm:cxn modelId="{8094D1CF-B9FE-424E-ACD8-603EFE8D60AA}" type="presParOf" srcId="{50CBAAA1-BE44-44F8-A2AD-8FF7A130153F}" destId="{3E051434-88E7-4E35-B713-CF7679AD5795}" srcOrd="3" destOrd="0" presId="urn:microsoft.com/office/officeart/2005/8/layout/process3"/>
    <dgm:cxn modelId="{71F3C5F8-C44E-4908-B9CF-E6381D94AB1E}" type="presParOf" srcId="{3E051434-88E7-4E35-B713-CF7679AD5795}" destId="{81D94F83-FBD9-4D2B-9F23-14A78295B9D9}" srcOrd="0" destOrd="0" presId="urn:microsoft.com/office/officeart/2005/8/layout/process3"/>
    <dgm:cxn modelId="{0D7DF01A-53E5-4B72-9CA2-4FF37187E97F}" type="presParOf" srcId="{50CBAAA1-BE44-44F8-A2AD-8FF7A130153F}" destId="{C0086609-0D7C-4E29-AC2E-3FF050B0EC59}" srcOrd="4" destOrd="0" presId="urn:microsoft.com/office/officeart/2005/8/layout/process3"/>
    <dgm:cxn modelId="{E8373247-8F69-4974-B846-9851B3ABCC14}" type="presParOf" srcId="{C0086609-0D7C-4E29-AC2E-3FF050B0EC59}" destId="{5B532DBA-BA3D-4E8B-B52B-953AD61A81F0}" srcOrd="0" destOrd="0" presId="urn:microsoft.com/office/officeart/2005/8/layout/process3"/>
    <dgm:cxn modelId="{ECA86575-7561-4B8A-BD43-32C5CED9A602}" type="presParOf" srcId="{C0086609-0D7C-4E29-AC2E-3FF050B0EC59}" destId="{3DBAF79F-E5D9-42F5-ACF5-F1B36319910B}" srcOrd="1" destOrd="0" presId="urn:microsoft.com/office/officeart/2005/8/layout/process3"/>
    <dgm:cxn modelId="{B7655972-5720-47B9-BC32-6453B56EF76C}" type="presParOf" srcId="{C0086609-0D7C-4E29-AC2E-3FF050B0EC59}" destId="{0E17CE7E-F8BD-45FF-B56D-ED8123104AFC}"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D75F2-E716-4C9A-A0CA-F2233BCA68DC}">
      <dsp:nvSpPr>
        <dsp:cNvPr id="0" name=""/>
        <dsp:cNvSpPr/>
      </dsp:nvSpPr>
      <dsp:spPr>
        <a:xfrm>
          <a:off x="4336" y="301087"/>
          <a:ext cx="1356195" cy="475200"/>
        </a:xfrm>
        <a:prstGeom prst="roundRect">
          <a:avLst>
            <a:gd name="adj" fmla="val 10000"/>
          </a:avLst>
        </a:prstGeom>
        <a:solidFill>
          <a:schemeClr val="accent1"/>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1" kern="1200" dirty="0">
              <a:solidFill>
                <a:srgbClr val="FFFFFF"/>
              </a:solidFill>
              <a:latin typeface="Arial" panose="020B0604020202020204" pitchFamily="34" charset="0"/>
              <a:ea typeface="+mn-ea"/>
              <a:cs typeface="Arial" panose="020B0604020202020204" pitchFamily="34" charset="0"/>
            </a:rPr>
            <a:t>PRE-SEPSIS</a:t>
          </a:r>
        </a:p>
      </dsp:txBody>
      <dsp:txXfrm>
        <a:off x="13615" y="310366"/>
        <a:ext cx="1337637" cy="298242"/>
      </dsp:txXfrm>
    </dsp:sp>
    <dsp:sp modelId="{AA0703EC-120A-43CB-86BF-FCB96562A7C9}">
      <dsp:nvSpPr>
        <dsp:cNvPr id="0" name=""/>
        <dsp:cNvSpPr/>
      </dsp:nvSpPr>
      <dsp:spPr>
        <a:xfrm>
          <a:off x="270298" y="687735"/>
          <a:ext cx="1356195" cy="633600"/>
        </a:xfrm>
        <a:prstGeom prst="roundRect">
          <a:avLst>
            <a:gd name="adj" fmla="val 10000"/>
          </a:avLst>
        </a:prstGeom>
        <a:solidFill>
          <a:srgbClr val="FFFFFF">
            <a:alpha val="90000"/>
            <a:hueOff val="0"/>
            <a:satOff val="0"/>
            <a:lumOff val="0"/>
            <a:alphaOff val="0"/>
          </a:srgb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AU" sz="1100"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Discharges </a:t>
          </a:r>
          <a:r>
            <a:rPr lang="en-AU" sz="1100" b="1"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before</a:t>
          </a:r>
          <a:r>
            <a:rPr lang="en-AU" sz="1100"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 a sepsis hospitalisation</a:t>
          </a:r>
        </a:p>
      </dsp:txBody>
      <dsp:txXfrm>
        <a:off x="288856" y="706293"/>
        <a:ext cx="1319079" cy="596484"/>
      </dsp:txXfrm>
    </dsp:sp>
    <dsp:sp modelId="{3C0FD95A-DA6B-475E-8F17-9705C52AE240}">
      <dsp:nvSpPr>
        <dsp:cNvPr id="0" name=""/>
        <dsp:cNvSpPr/>
      </dsp:nvSpPr>
      <dsp:spPr>
        <a:xfrm>
          <a:off x="1566126" y="290660"/>
          <a:ext cx="435859" cy="337653"/>
        </a:xfrm>
        <a:prstGeom prst="rightArrow">
          <a:avLst>
            <a:gd name="adj1" fmla="val 60000"/>
            <a:gd name="adj2" fmla="val 50000"/>
          </a:avLst>
        </a:prstGeom>
        <a:solidFill>
          <a:srgbClr val="B58EF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rgbClr val="FFFFFF"/>
            </a:solidFill>
            <a:latin typeface="Arial" panose="020B0604020202020204"/>
            <a:ea typeface="+mn-ea"/>
            <a:cs typeface="+mn-cs"/>
          </a:endParaRPr>
        </a:p>
      </dsp:txBody>
      <dsp:txXfrm>
        <a:off x="1566126" y="358191"/>
        <a:ext cx="334563" cy="202591"/>
      </dsp:txXfrm>
    </dsp:sp>
    <dsp:sp modelId="{00B40C5D-6BA9-4449-8E31-B2AB90476A06}">
      <dsp:nvSpPr>
        <dsp:cNvPr id="0" name=""/>
        <dsp:cNvSpPr/>
      </dsp:nvSpPr>
      <dsp:spPr>
        <a:xfrm>
          <a:off x="2182909" y="301087"/>
          <a:ext cx="1356195" cy="475200"/>
        </a:xfrm>
        <a:prstGeom prst="roundRect">
          <a:avLst>
            <a:gd name="adj" fmla="val 10000"/>
          </a:avLst>
        </a:prstGeom>
        <a:solidFill>
          <a:schemeClr val="accent1"/>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1" kern="1200" dirty="0">
              <a:solidFill>
                <a:srgbClr val="FFFFFF"/>
              </a:solidFill>
              <a:latin typeface="Arial" panose="020B0604020202020204" pitchFamily="34" charset="0"/>
              <a:ea typeface="+mn-ea"/>
              <a:cs typeface="Arial" panose="020B0604020202020204" pitchFamily="34" charset="0"/>
            </a:rPr>
            <a:t>SEPSIS</a:t>
          </a:r>
        </a:p>
      </dsp:txBody>
      <dsp:txXfrm>
        <a:off x="2192188" y="310366"/>
        <a:ext cx="1337637" cy="298242"/>
      </dsp:txXfrm>
    </dsp:sp>
    <dsp:sp modelId="{C9B99B6D-66E2-4342-8DA7-BFFEDF36E584}">
      <dsp:nvSpPr>
        <dsp:cNvPr id="0" name=""/>
        <dsp:cNvSpPr/>
      </dsp:nvSpPr>
      <dsp:spPr>
        <a:xfrm>
          <a:off x="2409670" y="699381"/>
          <a:ext cx="1529096" cy="633600"/>
        </a:xfrm>
        <a:prstGeom prst="roundRect">
          <a:avLst>
            <a:gd name="adj" fmla="val 10000"/>
          </a:avLst>
        </a:prstGeom>
        <a:solidFill>
          <a:srgbClr val="FFFFFF">
            <a:alpha val="90000"/>
            <a:hueOff val="0"/>
            <a:satOff val="0"/>
            <a:lumOff val="0"/>
            <a:alphaOff val="0"/>
          </a:srgb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AU" sz="1100"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Sepsis hospitalisations</a:t>
          </a:r>
        </a:p>
      </dsp:txBody>
      <dsp:txXfrm>
        <a:off x="2428228" y="717939"/>
        <a:ext cx="1491980" cy="596484"/>
      </dsp:txXfrm>
    </dsp:sp>
    <dsp:sp modelId="{3E051434-88E7-4E35-B713-CF7679AD5795}">
      <dsp:nvSpPr>
        <dsp:cNvPr id="0" name=""/>
        <dsp:cNvSpPr/>
      </dsp:nvSpPr>
      <dsp:spPr>
        <a:xfrm>
          <a:off x="3766311" y="290660"/>
          <a:ext cx="481678" cy="337653"/>
        </a:xfrm>
        <a:prstGeom prst="rightArrow">
          <a:avLst>
            <a:gd name="adj1" fmla="val 60000"/>
            <a:gd name="adj2" fmla="val 50000"/>
          </a:avLst>
        </a:prstGeom>
        <a:solidFill>
          <a:srgbClr val="B58EF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rgbClr val="FFFFFF"/>
            </a:solidFill>
            <a:latin typeface="Arial" panose="020B0604020202020204"/>
            <a:ea typeface="+mn-ea"/>
            <a:cs typeface="+mn-cs"/>
          </a:endParaRPr>
        </a:p>
      </dsp:txBody>
      <dsp:txXfrm>
        <a:off x="3766311" y="358191"/>
        <a:ext cx="380382" cy="202591"/>
      </dsp:txXfrm>
    </dsp:sp>
    <dsp:sp modelId="{3DBAF79F-E5D9-42F5-ACF5-F1B36319910B}">
      <dsp:nvSpPr>
        <dsp:cNvPr id="0" name=""/>
        <dsp:cNvSpPr/>
      </dsp:nvSpPr>
      <dsp:spPr>
        <a:xfrm>
          <a:off x="4447932" y="301087"/>
          <a:ext cx="1486552" cy="475200"/>
        </a:xfrm>
        <a:prstGeom prst="roundRect">
          <a:avLst>
            <a:gd name="adj" fmla="val 10000"/>
          </a:avLst>
        </a:prstGeom>
        <a:solidFill>
          <a:schemeClr val="accent1"/>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b="1" kern="1200" dirty="0">
              <a:solidFill>
                <a:srgbClr val="FFFFFF"/>
              </a:solidFill>
              <a:latin typeface="Arial" panose="020B0604020202020204" pitchFamily="34" charset="0"/>
              <a:ea typeface="+mn-ea"/>
              <a:cs typeface="Arial" panose="020B0604020202020204" pitchFamily="34" charset="0"/>
            </a:rPr>
            <a:t>POST-SEPSIS</a:t>
          </a:r>
        </a:p>
      </dsp:txBody>
      <dsp:txXfrm>
        <a:off x="4457211" y="310366"/>
        <a:ext cx="1467994" cy="298242"/>
      </dsp:txXfrm>
    </dsp:sp>
    <dsp:sp modelId="{0E17CE7E-F8BD-45FF-B56D-ED8123104AFC}">
      <dsp:nvSpPr>
        <dsp:cNvPr id="0" name=""/>
        <dsp:cNvSpPr/>
      </dsp:nvSpPr>
      <dsp:spPr>
        <a:xfrm>
          <a:off x="4779073" y="687735"/>
          <a:ext cx="1356195" cy="633600"/>
        </a:xfrm>
        <a:prstGeom prst="roundRect">
          <a:avLst>
            <a:gd name="adj" fmla="val 10000"/>
          </a:avLst>
        </a:prstGeom>
        <a:solidFill>
          <a:srgbClr val="FFFFFF">
            <a:alpha val="90000"/>
            <a:hueOff val="0"/>
            <a:satOff val="0"/>
            <a:lumOff val="0"/>
            <a:alphaOff val="0"/>
          </a:srgb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AU" sz="1100"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readmissions </a:t>
          </a:r>
          <a:r>
            <a:rPr lang="en-AU" sz="1100" b="1"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after</a:t>
          </a:r>
          <a:r>
            <a:rPr lang="en-AU" sz="1100" kern="1200" dirty="0">
              <a:solidFill>
                <a:srgbClr val="000000">
                  <a:hueOff val="0"/>
                  <a:satOff val="0"/>
                  <a:lumOff val="0"/>
                  <a:alphaOff val="0"/>
                </a:srgbClr>
              </a:solidFill>
              <a:latin typeface="Arial" panose="020B0604020202020204" pitchFamily="34" charset="0"/>
              <a:ea typeface="+mn-ea"/>
              <a:cs typeface="Arial" panose="020B0604020202020204" pitchFamily="34" charset="0"/>
            </a:rPr>
            <a:t> sepsis</a:t>
          </a:r>
        </a:p>
      </dsp:txBody>
      <dsp:txXfrm>
        <a:off x="4797631" y="706293"/>
        <a:ext cx="1319079" cy="5964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7A0F0047D14C0F8F2997B87F62CCDE"/>
        <w:category>
          <w:name w:val="General"/>
          <w:gallery w:val="placeholder"/>
        </w:category>
        <w:types>
          <w:type w:val="bbPlcHdr"/>
        </w:types>
        <w:behaviors>
          <w:behavior w:val="content"/>
        </w:behaviors>
        <w:guid w:val="{B8EDF6CC-CE4F-4901-A4CC-26A67FF7B8E2}"/>
      </w:docPartPr>
      <w:docPartBody>
        <w:p w:rsidR="00804239" w:rsidRDefault="00804239">
          <w:pPr>
            <w:pStyle w:val="237A0F0047D14C0F8F2997B87F62CCDE"/>
          </w:pPr>
          <w:r w:rsidRPr="00896871">
            <w:t>Date goes here</w:t>
          </w:r>
        </w:p>
      </w:docPartBody>
    </w:docPart>
    <w:docPart>
      <w:docPartPr>
        <w:name w:val="B8FDFFC571514B5281D60BBA613955CE"/>
        <w:category>
          <w:name w:val="General"/>
          <w:gallery w:val="placeholder"/>
        </w:category>
        <w:types>
          <w:type w:val="bbPlcHdr"/>
        </w:types>
        <w:behaviors>
          <w:behavior w:val="content"/>
        </w:behaviors>
        <w:guid w:val="{3F0E005E-6642-46E7-ACA4-2BCBA379FD52}"/>
      </w:docPartPr>
      <w:docPartBody>
        <w:p w:rsidR="00804239" w:rsidRDefault="00804239">
          <w:pPr>
            <w:pStyle w:val="B8FDFFC571514B5281D60BBA613955CE"/>
          </w:pPr>
          <w:r w:rsidRPr="00062BA3">
            <w:t>Best-practice care for people, clinicians,</w:t>
          </w:r>
          <w:r>
            <w:t xml:space="preserve"> </w:t>
          </w:r>
          <w:r w:rsidRPr="00062BA3">
            <w:t>and Healthcare 36 pt</w:t>
          </w:r>
        </w:p>
      </w:docPartBody>
    </w:docPart>
    <w:docPart>
      <w:docPartPr>
        <w:name w:val="58447B5B00F0439892AFE460989D2FF4"/>
        <w:category>
          <w:name w:val="General"/>
          <w:gallery w:val="placeholder"/>
        </w:category>
        <w:types>
          <w:type w:val="bbPlcHdr"/>
        </w:types>
        <w:behaviors>
          <w:behavior w:val="content"/>
        </w:behaviors>
        <w:guid w:val="{855BC51A-DBBD-4070-8E0E-7E107A93D8C1}"/>
      </w:docPartPr>
      <w:docPartBody>
        <w:p w:rsidR="00804239" w:rsidRDefault="00804239">
          <w:pPr>
            <w:pStyle w:val="58447B5B00F0439892AFE460989D2FF4"/>
          </w:pPr>
          <w:r w:rsidRPr="00896871">
            <w:t>Best-practice care for people, clinicians,</w:t>
          </w:r>
          <w:r>
            <w:t xml:space="preserve"> </w:t>
          </w:r>
          <w:r w:rsidRPr="00896871">
            <w:t>and Healthcare</w:t>
          </w:r>
        </w:p>
      </w:docPartBody>
    </w:docPart>
    <w:docPart>
      <w:docPartPr>
        <w:name w:val="2722291FDFAD4638B2EB53CEB2643DFE"/>
        <w:category>
          <w:name w:val="General"/>
          <w:gallery w:val="placeholder"/>
        </w:category>
        <w:types>
          <w:type w:val="bbPlcHdr"/>
        </w:types>
        <w:behaviors>
          <w:behavior w:val="content"/>
        </w:behaviors>
        <w:guid w:val="{B30AC7F1-8087-4C92-B2DA-BB6099C165A6}"/>
      </w:docPartPr>
      <w:docPartBody>
        <w:p w:rsidR="00804239" w:rsidRDefault="00804239" w:rsidP="00804239">
          <w:pPr>
            <w:pStyle w:val="2722291FDFAD4638B2EB53CEB2643DFE"/>
          </w:pPr>
          <w:r w:rsidRPr="007C13F1">
            <w:t>Document title goes here and may go over three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239"/>
    <w:rsid w:val="00035A26"/>
    <w:rsid w:val="000C4050"/>
    <w:rsid w:val="001742D9"/>
    <w:rsid w:val="001D46CD"/>
    <w:rsid w:val="00260D13"/>
    <w:rsid w:val="002C6669"/>
    <w:rsid w:val="00405E13"/>
    <w:rsid w:val="005806AB"/>
    <w:rsid w:val="00771098"/>
    <w:rsid w:val="0077540F"/>
    <w:rsid w:val="00804239"/>
    <w:rsid w:val="00851AB1"/>
    <w:rsid w:val="00913094"/>
    <w:rsid w:val="00963E17"/>
    <w:rsid w:val="00A841A3"/>
    <w:rsid w:val="00AF2B03"/>
    <w:rsid w:val="00B03A52"/>
    <w:rsid w:val="00C40D8F"/>
    <w:rsid w:val="00C44873"/>
    <w:rsid w:val="00CB2EA4"/>
    <w:rsid w:val="00E176E0"/>
    <w:rsid w:val="00F87231"/>
    <w:rsid w:val="00F97723"/>
    <w:rsid w:val="00FE1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7A0F0047D14C0F8F2997B87F62CCDE">
    <w:name w:val="237A0F0047D14C0F8F2997B87F62CCDE"/>
  </w:style>
  <w:style w:type="paragraph" w:customStyle="1" w:styleId="B8FDFFC571514B5281D60BBA613955CE">
    <w:name w:val="B8FDFFC571514B5281D60BBA613955CE"/>
  </w:style>
  <w:style w:type="paragraph" w:customStyle="1" w:styleId="58447B5B00F0439892AFE460989D2FF4">
    <w:name w:val="58447B5B00F0439892AFE460989D2FF4"/>
  </w:style>
  <w:style w:type="paragraph" w:customStyle="1" w:styleId="2722291FDFAD4638B2EB53CEB2643DFE">
    <w:name w:val="2722291FDFAD4638B2EB53CEB2643DFE"/>
    <w:rsid w:val="008042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3.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20730</Words>
  <Characters>118164</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QUIRK, Lisa</dc:creator>
  <cp:keywords/>
  <cp:lastModifiedBy>JESSOP, Tommy</cp:lastModifiedBy>
  <cp:revision>2</cp:revision>
  <cp:lastPrinted>2025-09-07T22:32:00Z</cp:lastPrinted>
  <dcterms:created xsi:type="dcterms:W3CDTF">2025-09-09T03:09:00Z</dcterms:created>
  <dcterms:modified xsi:type="dcterms:W3CDTF">2025-09-09T03:09:00Z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