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8844"/>
      </w:tblGrid>
      <w:tr w:rsidR="00C80AA9" w14:paraId="7F780C1B" w14:textId="77777777" w:rsidTr="00943208">
        <w:trPr>
          <w:trHeight w:hRule="exact" w:val="2552"/>
        </w:trPr>
        <w:tc>
          <w:tcPr>
            <w:tcW w:w="8844" w:type="dxa"/>
            <w:vAlign w:val="center"/>
          </w:tcPr>
          <w:p w14:paraId="3B1C1474" w14:textId="59B44D69" w:rsidR="00C80AA9" w:rsidRDefault="00943208" w:rsidP="0067290D">
            <w:pPr>
              <w:pStyle w:val="Title"/>
              <w:spacing w:before="240"/>
            </w:pPr>
            <w:r>
              <w:t>Credentialing and</w:t>
            </w:r>
            <w:r w:rsidR="0067290D">
              <w:t xml:space="preserve"> </w:t>
            </w:r>
            <w:r>
              <w:t>defining scope of</w:t>
            </w:r>
            <w:r w:rsidR="0067290D">
              <w:t xml:space="preserve"> </w:t>
            </w:r>
            <w:r>
              <w:t>practice - overview</w:t>
            </w:r>
          </w:p>
          <w:p w14:paraId="3F4970C5" w14:textId="50586797" w:rsidR="00F21464" w:rsidRDefault="00F21464" w:rsidP="005963C4">
            <w:pPr>
              <w:pStyle w:val="Subtitle"/>
            </w:pPr>
          </w:p>
        </w:tc>
      </w:tr>
    </w:tbl>
    <w:p w14:paraId="53EB15DF" w14:textId="4C2AD56F" w:rsidR="00226819" w:rsidRDefault="001738B8" w:rsidP="001738B8">
      <w:pPr>
        <w:pStyle w:val="IntroPara"/>
      </w:pPr>
      <w:r>
        <w:t xml:space="preserve">This fact sheet summarises the </w:t>
      </w:r>
      <w:hyperlink r:id="rId11" w:history="1">
        <w:r w:rsidRPr="001E0C43">
          <w:rPr>
            <w:rStyle w:val="Hyperlink"/>
          </w:rPr>
          <w:t>guidance</w:t>
        </w:r>
      </w:hyperlink>
      <w:r>
        <w:t xml:space="preserve"> </w:t>
      </w:r>
      <w:r w:rsidRPr="001738B8">
        <w:t xml:space="preserve">for health services and clinicians </w:t>
      </w:r>
      <w:r>
        <w:t xml:space="preserve">on credentialing and defining scope of practice. </w:t>
      </w:r>
    </w:p>
    <w:p w14:paraId="35C705D7" w14:textId="0C632E12" w:rsidR="00943208" w:rsidRDefault="00943208" w:rsidP="00943208">
      <w:pPr>
        <w:pStyle w:val="Heading1"/>
      </w:pPr>
      <w:r>
        <w:t>What is credentialing?</w:t>
      </w:r>
    </w:p>
    <w:p w14:paraId="6AD35031" w14:textId="77777777" w:rsidR="00226819" w:rsidRDefault="00226819" w:rsidP="00226819">
      <w:r>
        <w:t xml:space="preserve">Credentialing supports the </w:t>
      </w:r>
      <w:hyperlink r:id="rId12" w:history="1">
        <w:r w:rsidRPr="00862B19">
          <w:rPr>
            <w:rStyle w:val="Hyperlink"/>
          </w:rPr>
          <w:t>National Safety and Quality Health Service Standards Clinical Governance Standard</w:t>
        </w:r>
      </w:hyperlink>
      <w:r>
        <w:t xml:space="preserve"> and the </w:t>
      </w:r>
      <w:hyperlink r:id="rId13" w:history="1">
        <w:r w:rsidRPr="00B14CCB">
          <w:rPr>
            <w:rStyle w:val="Hyperlink"/>
          </w:rPr>
          <w:t>National Clinical Governance Model</w:t>
        </w:r>
      </w:hyperlink>
      <w:r>
        <w:t>.</w:t>
      </w:r>
    </w:p>
    <w:p w14:paraId="12381C63" w14:textId="6DA0B37A" w:rsidR="00943208" w:rsidRDefault="00943208" w:rsidP="00943208">
      <w:r w:rsidRPr="00943208">
        <w:rPr>
          <w:b/>
          <w:bCs/>
        </w:rPr>
        <w:t>Credentialing</w:t>
      </w:r>
      <w:r>
        <w:t xml:space="preserve"> is the formal process of assessing the suitability of a clinician to provide high quality care within a health service. This requires that the clinician’s qualifications, experience, professional performance and behaviour within their specialty area are assessed and verified.</w:t>
      </w:r>
    </w:p>
    <w:p w14:paraId="182EE0B6" w14:textId="6BBE0A25" w:rsidR="00943208" w:rsidRDefault="00943208" w:rsidP="00943208">
      <w:r>
        <w:t>Initial credentialing should be conducted before a clinician commences work in a health</w:t>
      </w:r>
      <w:r w:rsidR="00B14CCB">
        <w:t xml:space="preserve"> </w:t>
      </w:r>
      <w:r>
        <w:t>service. Colleges and specialty societies have a role in providing guidance on credentialing of</w:t>
      </w:r>
      <w:r w:rsidR="00B14CCB">
        <w:t xml:space="preserve"> </w:t>
      </w:r>
      <w:r>
        <w:t>clinicians for specific procedures and practices, in addition to their role in determining training</w:t>
      </w:r>
      <w:r w:rsidR="00B14CCB">
        <w:t xml:space="preserve"> </w:t>
      </w:r>
      <w:r>
        <w:t>and ongoing continuing professional development (CPD) requirements for specialist clinicians.</w:t>
      </w:r>
    </w:p>
    <w:p w14:paraId="3B38C6E3" w14:textId="420E0828" w:rsidR="00943208" w:rsidRDefault="00943208" w:rsidP="00943208">
      <w:r>
        <w:t xml:space="preserve">Defining </w:t>
      </w:r>
      <w:r w:rsidRPr="00B14CCB">
        <w:rPr>
          <w:b/>
          <w:bCs/>
        </w:rPr>
        <w:t>scope of practice</w:t>
      </w:r>
      <w:r>
        <w:t xml:space="preserve"> is an accompaniment to the credentialing process that specifies</w:t>
      </w:r>
      <w:r w:rsidR="00B14CCB">
        <w:t xml:space="preserve"> </w:t>
      </w:r>
      <w:r>
        <w:t>the extent and boundaries of a clinician’s approved clinical practice. A clinician has a</w:t>
      </w:r>
      <w:r w:rsidR="00B14CCB">
        <w:t xml:space="preserve"> </w:t>
      </w:r>
      <w:r>
        <w:t>profession-specific scope of practice, defined by the type of health professional education and</w:t>
      </w:r>
      <w:r w:rsidR="00B14CCB">
        <w:t xml:space="preserve"> </w:t>
      </w:r>
      <w:r>
        <w:t>training that they have completed.</w:t>
      </w:r>
    </w:p>
    <w:p w14:paraId="0231B857" w14:textId="305881A9" w:rsidR="00943208" w:rsidRDefault="00943208" w:rsidP="00943208">
      <w:r>
        <w:t xml:space="preserve">The credentialing process also includes defining </w:t>
      </w:r>
      <w:r w:rsidRPr="00B14CCB">
        <w:rPr>
          <w:b/>
          <w:bCs/>
        </w:rPr>
        <w:t>facility-specific scope of practice</w:t>
      </w:r>
      <w:r>
        <w:t xml:space="preserve"> for each</w:t>
      </w:r>
      <w:r w:rsidR="00B14CCB">
        <w:t xml:space="preserve"> </w:t>
      </w:r>
      <w:r>
        <w:t>clinician, which identifies the services that the clinician can provide within named facilities or</w:t>
      </w:r>
      <w:r w:rsidR="00B14CCB">
        <w:t xml:space="preserve"> </w:t>
      </w:r>
      <w:r>
        <w:t>settings based on the:</w:t>
      </w:r>
    </w:p>
    <w:p w14:paraId="487988B8" w14:textId="2D487DE3" w:rsidR="00943208" w:rsidRDefault="00943208" w:rsidP="00B14CCB">
      <w:pPr>
        <w:pStyle w:val="ListBullet"/>
      </w:pPr>
      <w:r>
        <w:t>service needs of the facility that the clinician will be working in</w:t>
      </w:r>
    </w:p>
    <w:p w14:paraId="797ECDA4" w14:textId="41413B4F" w:rsidR="00943208" w:rsidRDefault="00943208" w:rsidP="00B14CCB">
      <w:pPr>
        <w:pStyle w:val="ListBullet"/>
      </w:pPr>
      <w:r>
        <w:t>capacity of the facility or setting to support the clinician to provide high-quality care</w:t>
      </w:r>
    </w:p>
    <w:p w14:paraId="10A3F269" w14:textId="03CF678A" w:rsidR="00943208" w:rsidRDefault="00943208" w:rsidP="00B14CCB">
      <w:pPr>
        <w:pStyle w:val="ListBullet"/>
      </w:pPr>
      <w:r>
        <w:t>clinician’s credentials - their qualifications, experience and professional performance.</w:t>
      </w:r>
    </w:p>
    <w:p w14:paraId="218DDE2D" w14:textId="420B00F4" w:rsidR="00943208" w:rsidRDefault="00943208" w:rsidP="00943208">
      <w:r>
        <w:t>A clinician who works in multiple facilities across a health service may have a different agreed</w:t>
      </w:r>
      <w:r w:rsidR="00B14CCB">
        <w:t xml:space="preserve"> </w:t>
      </w:r>
      <w:r>
        <w:t>scope of practice for each facility, depending on the equipment, staffing, services and</w:t>
      </w:r>
      <w:r w:rsidR="00B14CCB">
        <w:t xml:space="preserve"> </w:t>
      </w:r>
      <w:r>
        <w:t>requirements at each facility.</w:t>
      </w:r>
    </w:p>
    <w:p w14:paraId="161F9BC6" w14:textId="08F711C8" w:rsidR="00943208" w:rsidRDefault="00943208" w:rsidP="00943208">
      <w:r w:rsidRPr="00B14CCB">
        <w:rPr>
          <w:b/>
          <w:bCs/>
        </w:rPr>
        <w:t>Re-credentialing</w:t>
      </w:r>
      <w:r>
        <w:t xml:space="preserve"> is the process of reviewing the professional standing, clinical practice and</w:t>
      </w:r>
      <w:r w:rsidR="00B14CCB">
        <w:t xml:space="preserve"> </w:t>
      </w:r>
      <w:r>
        <w:t>patient outcomes of a currently credentialed clinician for the purposes of renewing their</w:t>
      </w:r>
      <w:r w:rsidR="00B14CCB">
        <w:t xml:space="preserve"> </w:t>
      </w:r>
      <w:r>
        <w:t>credentialing or changing their scope of practice aligned to the facility and health service. The</w:t>
      </w:r>
      <w:r w:rsidR="00B14CCB">
        <w:t xml:space="preserve"> </w:t>
      </w:r>
      <w:r>
        <w:t>frequency of re-credentialing must be sufficient to:</w:t>
      </w:r>
    </w:p>
    <w:p w14:paraId="55A7C81B" w14:textId="6E1430FF" w:rsidR="00943208" w:rsidRDefault="00943208" w:rsidP="00B14CCB">
      <w:pPr>
        <w:pStyle w:val="ListBullet"/>
      </w:pPr>
      <w:r>
        <w:t>meet the requirements of the governing body</w:t>
      </w:r>
    </w:p>
    <w:p w14:paraId="20B49119" w14:textId="3B9F7D3B" w:rsidR="00943208" w:rsidRDefault="00943208" w:rsidP="00B14CCB">
      <w:pPr>
        <w:pStyle w:val="ListBullet"/>
      </w:pPr>
      <w:r>
        <w:lastRenderedPageBreak/>
        <w:t>meet the requirements of the relevant state or territory or health service policy</w:t>
      </w:r>
    </w:p>
    <w:p w14:paraId="69D200E2" w14:textId="1C595166" w:rsidR="00B14CCB" w:rsidRDefault="00943208" w:rsidP="00B14CCB">
      <w:pPr>
        <w:pStyle w:val="ListBullet"/>
      </w:pPr>
      <w:r>
        <w:t>provide assurance that the clinician’s practice is safe, of acceptable quality and that they</w:t>
      </w:r>
      <w:r w:rsidR="00B14CCB">
        <w:t xml:space="preserve"> </w:t>
      </w:r>
      <w:r>
        <w:t>have maintained their skills.</w:t>
      </w:r>
    </w:p>
    <w:p w14:paraId="0383AC0E" w14:textId="69366C31" w:rsidR="00B14CCB" w:rsidRDefault="00B14CCB" w:rsidP="00B14CCB">
      <w:pPr>
        <w:pStyle w:val="Heading1"/>
      </w:pPr>
      <w:r>
        <w:t>What outcome does credentialing and re-credentialing aim to achieve?</w:t>
      </w:r>
    </w:p>
    <w:p w14:paraId="40F711AB" w14:textId="040B0301" w:rsidR="00B14CCB" w:rsidRDefault="00B14CCB" w:rsidP="00B14CCB">
      <w:r>
        <w:t>Credentialing and re-credentialing processes help minimise risks for patients. They aim to ensure that clinicians providing care are qualified, competent and performing at the professional standard required to deliver high-quality care to patients. Delineation of facility-specific scope of practice aims to ensure both that the facilities in which the specified types of care are provided have the systems and infrastructure needed for patient safety and that the care provided aligns with best practice models of care and the requirements of the health service.</w:t>
      </w:r>
    </w:p>
    <w:p w14:paraId="7CCAF107" w14:textId="77777777" w:rsidR="00862B19" w:rsidRDefault="00862B19" w:rsidP="00862B19">
      <w:pPr>
        <w:pStyle w:val="Heading1"/>
      </w:pPr>
      <w:r>
        <w:t>Which clinicians should be credentialed?</w:t>
      </w:r>
    </w:p>
    <w:p w14:paraId="34CC0134" w14:textId="351F085C" w:rsidR="00862B19" w:rsidRDefault="00862B19" w:rsidP="0067290D">
      <w:pPr>
        <w:spacing w:before="240"/>
      </w:pPr>
      <w:r>
        <w:t>It is the responsibility of the health service to determine which clinicians should be credentialed and to define facility-specific scope of practice, noting that some credentialing requirements are mandated by the jurisdiction where a health service is based. The key considerations for health services when determining which clinicians should be credentialed are the need to reduce risk of harm to patients and the provision of high-quality care.</w:t>
      </w:r>
    </w:p>
    <w:p w14:paraId="52094CBB" w14:textId="77777777" w:rsidR="00862B19" w:rsidRDefault="00862B19" w:rsidP="00862B19">
      <w:r>
        <w:rPr>
          <w:noProof/>
        </w:rPr>
        <mc:AlternateContent>
          <mc:Choice Requires="wps">
            <w:drawing>
              <wp:inline distT="0" distB="0" distL="0" distR="0" wp14:anchorId="6DE387F5" wp14:editId="4CE3A176">
                <wp:extent cx="5616000" cy="1219835"/>
                <wp:effectExtent l="0" t="0" r="3810" b="4445"/>
                <wp:docPr id="625185073" name="Text Box 12"/>
                <wp:cNvGraphicFramePr/>
                <a:graphic xmlns:a="http://schemas.openxmlformats.org/drawingml/2006/main">
                  <a:graphicData uri="http://schemas.microsoft.com/office/word/2010/wordprocessingShape">
                    <wps:wsp>
                      <wps:cNvSpPr txBox="1"/>
                      <wps:spPr>
                        <a:xfrm>
                          <a:off x="0" y="0"/>
                          <a:ext cx="5616000" cy="1219835"/>
                        </a:xfrm>
                        <a:prstGeom prst="rect">
                          <a:avLst/>
                        </a:prstGeom>
                        <a:noFill/>
                        <a:ln w="6350">
                          <a:noFill/>
                        </a:ln>
                      </wps:spPr>
                      <wps:txbx>
                        <w:txbxContent>
                          <w:tbl>
                            <w:tblPr>
                              <w:tblW w:w="5000" w:type="pct"/>
                              <w:tblCellMar>
                                <w:top w:w="57" w:type="dxa"/>
                                <w:left w:w="170" w:type="dxa"/>
                                <w:bottom w:w="57" w:type="dxa"/>
                                <w:right w:w="170" w:type="dxa"/>
                              </w:tblCellMar>
                              <w:tblLook w:val="04A0" w:firstRow="1" w:lastRow="0" w:firstColumn="1" w:lastColumn="0" w:noHBand="0" w:noVBand="1"/>
                            </w:tblPr>
                            <w:tblGrid>
                              <w:gridCol w:w="8819"/>
                            </w:tblGrid>
                            <w:tr w:rsidR="00862B19" w14:paraId="239FCE87" w14:textId="77777777" w:rsidTr="006D16CC">
                              <w:tc>
                                <w:tcPr>
                                  <w:tcW w:w="9114" w:type="dxa"/>
                                  <w:tcBorders>
                                    <w:right w:val="single" w:sz="24" w:space="0" w:color="F0E8FE" w:themeColor="background2"/>
                                  </w:tcBorders>
                                  <w:shd w:val="clear" w:color="auto" w:fill="F0E8FE" w:themeFill="background2"/>
                                </w:tcPr>
                                <w:p w14:paraId="5A456FF4" w14:textId="77777777" w:rsidR="00862B19" w:rsidRPr="00862B19" w:rsidRDefault="00862B19" w:rsidP="00862B19">
                                  <w:pPr>
                                    <w:pStyle w:val="BoxHeading"/>
                                  </w:pPr>
                                  <w:r w:rsidRPr="00862B19">
                                    <w:t>Which clinicians should be credentialed?</w:t>
                                  </w:r>
                                </w:p>
                                <w:p w14:paraId="4BDCDB5D" w14:textId="3E1E1BF0" w:rsidR="00862B19" w:rsidRDefault="00862B19" w:rsidP="00862B19">
                                  <w:r>
                                    <w:t>Health services need to regularly assess the risks and potential for patient harm associated with different types of care delivered within their facilities and, based on these and the requirements of their jurisdiction, identify which clinicians should be credentialed and the frequency with which recredentialing is required.</w:t>
                                  </w:r>
                                </w:p>
                                <w:p w14:paraId="72D85CBE" w14:textId="77777777" w:rsidR="00862B19" w:rsidRDefault="00862B19" w:rsidP="00862B19">
                                  <w:r>
                                    <w:t>Clinicians who need to be credentialed include those who:</w:t>
                                  </w:r>
                                </w:p>
                                <w:p w14:paraId="2043547B" w14:textId="77777777" w:rsidR="00862B19" w:rsidRDefault="00862B19" w:rsidP="00862B19">
                                  <w:pPr>
                                    <w:pStyle w:val="ListBullet"/>
                                  </w:pPr>
                                  <w:r>
                                    <w:t>are working independently in an environment where there is no effective oversight or supervision from a senior colleague, and where the care provided could result in patient harm</w:t>
                                  </w:r>
                                </w:p>
                                <w:p w14:paraId="7F2F1E03" w14:textId="77777777" w:rsidR="00862B19" w:rsidRDefault="00862B19" w:rsidP="00862B19">
                                  <w:pPr>
                                    <w:pStyle w:val="ListBullet"/>
                                  </w:pPr>
                                  <w:r>
                                    <w:t>are performing specific high-risk procedures or interventions which extend beyond the skill sets covered in their basic training but for which they have had further specific specialty training</w:t>
                                  </w:r>
                                </w:p>
                                <w:p w14:paraId="5C221C2D" w14:textId="7A4D3675" w:rsidR="00862B19" w:rsidRPr="00862B19" w:rsidRDefault="00862B19" w:rsidP="00862B19">
                                  <w:pPr>
                                    <w:pStyle w:val="ListBullet"/>
                                  </w:pPr>
                                  <w:r>
                                    <w:t>may be required to perform tasks in emergency, temporary or specific contexts.</w:t>
                                  </w:r>
                                </w:p>
                              </w:tc>
                            </w:tr>
                          </w:tbl>
                          <w:p w14:paraId="44C2E543" w14:textId="77777777" w:rsidR="00862B19" w:rsidRPr="00402F1C" w:rsidRDefault="00862B19" w:rsidP="00862B19">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6DE387F5" id="_x0000_t202" coordsize="21600,21600" o:spt="202" path="m,l,21600r21600,l21600,xe">
                <v:stroke joinstyle="miter"/>
                <v:path gradientshapeok="t" o:connecttype="rect"/>
              </v:shapetype>
              <v:shape id="Text Box 12" o:spid="_x0000_s1026" type="#_x0000_t202" style="width:442.2pt;height:9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" filled="f" stroked="f" strokeweight=".5pt">
                <v:textbox style="mso-fit-shape-to-text:t" inset="0,0,0,0">
                  <w:txbxContent>
                    <w:tbl>
                      <w:tblPr>
                        <w:tblW w:w="5000" w:type="pct"/>
                        <w:tblCellMar>
                          <w:top w:w="57" w:type="dxa"/>
                          <w:left w:w="170" w:type="dxa"/>
                          <w:bottom w:w="57" w:type="dxa"/>
                          <w:right w:w="170" w:type="dxa"/>
                        </w:tblCellMar>
                        <w:tblLook w:val="04A0" w:firstRow="1" w:lastRow="0" w:firstColumn="1" w:lastColumn="0" w:noHBand="0" w:noVBand="1"/>
                      </w:tblPr>
                      <w:tblGrid>
                        <w:gridCol w:w="8819"/>
                      </w:tblGrid>
                      <w:tr w:rsidR="00862B19" w14:paraId="239FCE87" w14:textId="77777777" w:rsidTr="006D16CC">
                        <w:tc>
                          <w:tcPr>
                            <w:tcW w:w="9114" w:type="dxa"/>
                            <w:tcBorders>
                              <w:right w:val="single" w:sz="24" w:space="0" w:color="F0E8FE" w:themeColor="background2"/>
                            </w:tcBorders>
                            <w:shd w:val="clear" w:color="auto" w:fill="F0E8FE" w:themeFill="background2"/>
                          </w:tcPr>
                          <w:p w14:paraId="5A456FF4" w14:textId="77777777" w:rsidR="00862B19" w:rsidRPr="00862B19" w:rsidRDefault="00862B19" w:rsidP="00862B19">
                            <w:pPr>
                              <w:pStyle w:val="BoxHeading"/>
                            </w:pPr>
                            <w:r w:rsidRPr="00862B19">
                              <w:t>Which clinicians should be credentialed?</w:t>
                            </w:r>
                          </w:p>
                          <w:p w14:paraId="4BDCDB5D" w14:textId="3E1E1BF0" w:rsidR="00862B19" w:rsidRDefault="00862B19" w:rsidP="00862B19">
                            <w:r>
                              <w:t>Health services need to regularly assess the risks and potential for patient harm associated with different types of care delivered within their facilities and, based on these and the requirements of their jurisdiction, identify which clinicians should be credentialed and the frequency with which recredentialing is required.</w:t>
                            </w:r>
                          </w:p>
                          <w:p w14:paraId="72D85CBE" w14:textId="77777777" w:rsidR="00862B19" w:rsidRDefault="00862B19" w:rsidP="00862B19">
                            <w:r>
                              <w:t>Clinicians who need to be credentialed include those who:</w:t>
                            </w:r>
                          </w:p>
                          <w:p w14:paraId="2043547B" w14:textId="77777777" w:rsidR="00862B19" w:rsidRDefault="00862B19" w:rsidP="00862B19">
                            <w:pPr>
                              <w:pStyle w:val="ListBullet"/>
                            </w:pPr>
                            <w:r>
                              <w:t>are working independently in an environment where there is no effective oversight or supervision from a senior colleague, and where the care provided could result in patient harm</w:t>
                            </w:r>
                          </w:p>
                          <w:p w14:paraId="7F2F1E03" w14:textId="77777777" w:rsidR="00862B19" w:rsidRDefault="00862B19" w:rsidP="00862B19">
                            <w:pPr>
                              <w:pStyle w:val="ListBullet"/>
                            </w:pPr>
                            <w:r>
                              <w:t>are performing specific high-risk procedures or interventions which extend beyond the skill sets covered in their basic training but for which they have had further specific specialty training</w:t>
                            </w:r>
                          </w:p>
                          <w:p w14:paraId="5C221C2D" w14:textId="7A4D3675" w:rsidR="00862B19" w:rsidRPr="00862B19" w:rsidRDefault="00862B19" w:rsidP="00862B19">
                            <w:pPr>
                              <w:pStyle w:val="ListBullet"/>
                            </w:pPr>
                            <w:r>
                              <w:t>may be required to perform tasks in emergency, temporary or specific contexts.</w:t>
                            </w:r>
                          </w:p>
                        </w:tc>
                      </w:tr>
                    </w:tbl>
                    <w:p w14:paraId="44C2E543" w14:textId="77777777" w:rsidR="00862B19" w:rsidRPr="00402F1C" w:rsidRDefault="00862B19" w:rsidP="00862B19">
                      <w:pPr>
                        <w:pStyle w:val="NoSpacing"/>
                        <w:spacing w:line="240" w:lineRule="auto"/>
                        <w:rPr>
                          <w:sz w:val="2"/>
                          <w:szCs w:val="2"/>
                        </w:rPr>
                      </w:pPr>
                    </w:p>
                  </w:txbxContent>
                </v:textbox>
                <w10:anchorlock/>
              </v:shape>
            </w:pict>
          </mc:Fallback>
        </mc:AlternateContent>
      </w:r>
    </w:p>
    <w:p w14:paraId="74952ED4" w14:textId="1FDEEE35" w:rsidR="00862B19" w:rsidRDefault="00862B19" w:rsidP="0067290D">
      <w:pPr>
        <w:spacing w:before="240"/>
      </w:pPr>
      <w:r>
        <w:t>In general, jurisdictions have credentialing requirements in place for allied health professionals, endorsed midwives, nurse practitioners, paramedics and senior medical and dental practitioners. The number and type of clinicians who should be credentialed and have a defined scope of practice for the facilities where they work is growing because of changes to profession-specific scope of practice.</w:t>
      </w:r>
    </w:p>
    <w:p w14:paraId="02B464A5" w14:textId="12445A4A" w:rsidR="00862B19" w:rsidRDefault="00862B19" w:rsidP="00862B19">
      <w:pPr>
        <w:pStyle w:val="Heading1"/>
      </w:pPr>
      <w:r>
        <w:lastRenderedPageBreak/>
        <w:t>Who is responsible for credentialing, re-credentialing and defining facility-specific scope of practice?</w:t>
      </w:r>
    </w:p>
    <w:p w14:paraId="4F665193" w14:textId="63BA2CB0" w:rsidR="00862B19" w:rsidRDefault="00862B19" w:rsidP="00862B19">
      <w:r>
        <w:t>The credentialing process is based on the ethical requirements for a mutual commitment by the health service and the clinician to high-quality care for patients.</w:t>
      </w:r>
    </w:p>
    <w:p w14:paraId="2ED5B003" w14:textId="77777777" w:rsidR="00862B19" w:rsidRDefault="00862B19" w:rsidP="00862B19">
      <w:pPr>
        <w:pStyle w:val="Heading2"/>
      </w:pPr>
      <w:r>
        <w:t>Health service responsibilities</w:t>
      </w:r>
    </w:p>
    <w:p w14:paraId="264C4FA5" w14:textId="7C80FA6E" w:rsidR="00862B19" w:rsidRDefault="00862B19" w:rsidP="00862B19">
      <w:r>
        <w:t>Health services are responsible for the system for credentialing, defining a clinician’s facility-specific scope of practice and recredentialing, and for establishing a Credentialing Committee.</w:t>
      </w:r>
      <w:r w:rsidR="00CD4F84">
        <w:t xml:space="preserve"> </w:t>
      </w:r>
      <w:r>
        <w:t>To effectively support credentialing, they must be able to demonstrate that their processes are effective and transparent and that they incorporate the expertise and information required to make decisions about credentialing and re-credentialing.</w:t>
      </w:r>
    </w:p>
    <w:p w14:paraId="589831A6" w14:textId="77777777" w:rsidR="00862B19" w:rsidRDefault="00862B19" w:rsidP="00862B19">
      <w:r>
        <w:t>Health service credentialing policy should:</w:t>
      </w:r>
    </w:p>
    <w:p w14:paraId="6CEECD71" w14:textId="77777777" w:rsidR="00CD4F84" w:rsidRDefault="00862B19" w:rsidP="00862B19">
      <w:pPr>
        <w:pStyle w:val="ListBullet"/>
      </w:pPr>
      <w:r>
        <w:t>provide the framework for governance and organisational oversight of credentialing and</w:t>
      </w:r>
      <w:r w:rsidR="00CD4F84">
        <w:t xml:space="preserve"> </w:t>
      </w:r>
      <w:r>
        <w:t>re-credentialing</w:t>
      </w:r>
    </w:p>
    <w:p w14:paraId="4C638B84" w14:textId="77777777" w:rsidR="00CD4F84" w:rsidRDefault="00862B19" w:rsidP="00862B19">
      <w:pPr>
        <w:pStyle w:val="ListBullet"/>
      </w:pPr>
      <w:r>
        <w:t>clarify that performance appraisal and management is distinct from credentialing and</w:t>
      </w:r>
      <w:r w:rsidR="00CD4F84">
        <w:t xml:space="preserve"> </w:t>
      </w:r>
      <w:r>
        <w:t>specify how information from formal performance appraisal processes is evaluated as part</w:t>
      </w:r>
      <w:r w:rsidR="00CD4F84">
        <w:t xml:space="preserve"> </w:t>
      </w:r>
      <w:r>
        <w:t>of credentialing and re-credentialing of clinicians</w:t>
      </w:r>
    </w:p>
    <w:p w14:paraId="6B6F0C96" w14:textId="77777777" w:rsidR="00CD4F84" w:rsidRDefault="00862B19" w:rsidP="00862B19">
      <w:pPr>
        <w:pStyle w:val="ListBullet"/>
      </w:pPr>
      <w:r>
        <w:t>include a framework for determining scope of practice</w:t>
      </w:r>
    </w:p>
    <w:p w14:paraId="70CAB367" w14:textId="77777777" w:rsidR="00CD4F84" w:rsidRDefault="00862B19" w:rsidP="00862B19">
      <w:pPr>
        <w:pStyle w:val="ListBullet"/>
      </w:pPr>
      <w:r>
        <w:t>describe how information about credentialed clinicians will be made available for patients</w:t>
      </w:r>
      <w:r w:rsidR="00CD4F84">
        <w:t xml:space="preserve"> </w:t>
      </w:r>
      <w:r>
        <w:t>and consumers</w:t>
      </w:r>
    </w:p>
    <w:p w14:paraId="39793127" w14:textId="77777777" w:rsidR="00CD4F84" w:rsidRDefault="00862B19" w:rsidP="00862B19">
      <w:pPr>
        <w:pStyle w:val="ListBullet"/>
      </w:pPr>
      <w:r>
        <w:t>describe how known concerns and information about complaints and incidents will be</w:t>
      </w:r>
      <w:r w:rsidR="00CD4F84">
        <w:t xml:space="preserve"> </w:t>
      </w:r>
      <w:r>
        <w:t>communicated to the Credentialing Committee</w:t>
      </w:r>
    </w:p>
    <w:p w14:paraId="6182BE6E" w14:textId="6033ACCD" w:rsidR="00B14CCB" w:rsidRDefault="00862B19" w:rsidP="00862B19">
      <w:pPr>
        <w:pStyle w:val="ListBullet"/>
      </w:pPr>
      <w:r>
        <w:t>specify the relationship to other health service policies.</w:t>
      </w:r>
    </w:p>
    <w:p w14:paraId="00E560A8" w14:textId="77777777" w:rsidR="00CD4F84" w:rsidRDefault="00CD4F84" w:rsidP="00CD4F84">
      <w:pPr>
        <w:pStyle w:val="Heading2"/>
      </w:pPr>
      <w:r>
        <w:t>Credentialing Committee responsibilities</w:t>
      </w:r>
    </w:p>
    <w:p w14:paraId="6A435A52" w14:textId="525DCFF5" w:rsidR="00CD4F84" w:rsidRDefault="00CD4F84" w:rsidP="00CD4F84">
      <w:r>
        <w:t>Credentialing committees are responsible for ensuring that there is a rigorous process for credentialing, re-credentialing and defining the scope of practice of clinicians. The role of the Credentialing Committee includes:</w:t>
      </w:r>
    </w:p>
    <w:p w14:paraId="5570BB72" w14:textId="77777777" w:rsidR="00CD4F84" w:rsidRDefault="00CD4F84" w:rsidP="00CD4F84">
      <w:pPr>
        <w:pStyle w:val="ListBullet"/>
      </w:pPr>
      <w:r>
        <w:t>initial credentialing and defining facility-specific scope of practice, considering the relevant National Board’s standards for practice or professional capabilities; the formal qualifications, training and experience of the clinician; service needs; and the capacity of the facility or setting</w:t>
      </w:r>
    </w:p>
    <w:p w14:paraId="1CBCD05A" w14:textId="77777777" w:rsidR="00CD4F84" w:rsidRDefault="00CD4F84" w:rsidP="00CD4F84">
      <w:pPr>
        <w:pStyle w:val="ListBullet"/>
      </w:pPr>
      <w:r>
        <w:t>monitoring adherence by clinicians to credentialing and scope of practice requirements</w:t>
      </w:r>
    </w:p>
    <w:p w14:paraId="3AB6E88D" w14:textId="77777777" w:rsidR="00CD4F84" w:rsidRDefault="00CD4F84" w:rsidP="00CD4F84">
      <w:pPr>
        <w:pStyle w:val="ListBullet"/>
      </w:pPr>
      <w:r>
        <w:t>review of credentialing and facility-specific scope of practice, including re-credentialing</w:t>
      </w:r>
    </w:p>
    <w:p w14:paraId="6EFD5A82" w14:textId="77777777" w:rsidR="00CD4F84" w:rsidRDefault="00CD4F84" w:rsidP="00CD4F84">
      <w:pPr>
        <w:pStyle w:val="ListBullet"/>
      </w:pPr>
      <w:r>
        <w:t>assuring that practice is safe and appropriate when considering credentialing and recredentialing</w:t>
      </w:r>
    </w:p>
    <w:p w14:paraId="50F2112D" w14:textId="77777777" w:rsidR="00CD4F84" w:rsidRDefault="00CD4F84" w:rsidP="00CD4F84">
      <w:pPr>
        <w:pStyle w:val="ListBullet"/>
      </w:pPr>
      <w:r>
        <w:t>documenting decisions and key information required for effective management of credentialing, monitoring, review and re-credentialing</w:t>
      </w:r>
    </w:p>
    <w:p w14:paraId="2C49A080" w14:textId="6F43C934" w:rsidR="00B14CCB" w:rsidRDefault="00CD4F84" w:rsidP="00CD4F84">
      <w:pPr>
        <w:pStyle w:val="ListBullet"/>
      </w:pPr>
      <w:r>
        <w:t>obtaining information required for credentialing and re-credentialing from other organisational systems providing credentialed clinicians with clear terms of appointment</w:t>
      </w:r>
    </w:p>
    <w:p w14:paraId="5578807E" w14:textId="77777777" w:rsidR="00CD4F84" w:rsidRDefault="00CD4F84" w:rsidP="00CD4F84">
      <w:pPr>
        <w:pStyle w:val="ListBullet"/>
      </w:pPr>
      <w:r>
        <w:lastRenderedPageBreak/>
        <w:t>making recommendations to the health service governing body about initial appointment, reappointment or non-appointment of clinicians when issues are identified during the credentialing or re-credentialing process</w:t>
      </w:r>
    </w:p>
    <w:p w14:paraId="6219AB9C" w14:textId="016AB911" w:rsidR="00CD4F84" w:rsidRDefault="00CD4F84" w:rsidP="00CD4F84">
      <w:pPr>
        <w:pStyle w:val="ListBullet"/>
      </w:pPr>
      <w:r>
        <w:t>maintaining adequate records of credentialing and re-credentialing processes and decisions.</w:t>
      </w:r>
    </w:p>
    <w:p w14:paraId="7FD30D80" w14:textId="77777777" w:rsidR="00CD4F84" w:rsidRDefault="00CD4F84" w:rsidP="00CD4F84">
      <w:pPr>
        <w:pStyle w:val="Heading2"/>
      </w:pPr>
      <w:r>
        <w:t>Clinician responsibilities</w:t>
      </w:r>
    </w:p>
    <w:p w14:paraId="5EB9D4BE" w14:textId="77777777" w:rsidR="00CD4F84" w:rsidRDefault="00CD4F84" w:rsidP="00CD4F84">
      <w:pPr>
        <w:pStyle w:val="ListBullet"/>
        <w:numPr>
          <w:ilvl w:val="0"/>
          <w:numId w:val="0"/>
        </w:numPr>
        <w:ind w:left="360" w:hanging="360"/>
      </w:pPr>
      <w:r>
        <w:t>Clinicians are responsible for:</w:t>
      </w:r>
    </w:p>
    <w:p w14:paraId="5D96769B" w14:textId="08BBBA94" w:rsidR="00CD4F84" w:rsidRDefault="00CD4F84" w:rsidP="00CD4F84">
      <w:pPr>
        <w:pStyle w:val="ListBullet"/>
      </w:pPr>
      <w:r>
        <w:t>ensuring they are educated, competent, authorised and accountable for professional activities that they undertake</w:t>
      </w:r>
    </w:p>
    <w:p w14:paraId="4629360E" w14:textId="4281DC83" w:rsidR="00CD4F84" w:rsidRDefault="00CD4F84" w:rsidP="00CD4F84">
      <w:pPr>
        <w:pStyle w:val="ListBullet"/>
      </w:pPr>
      <w:r>
        <w:t>providing the information required for the credentialing and recredentialing processes and for disclosing any relevant information about their personal circumstances that could affect patient safety.</w:t>
      </w:r>
    </w:p>
    <w:p w14:paraId="232D480A" w14:textId="3AA6B839" w:rsidR="00CD4F84" w:rsidRDefault="00CD4F84" w:rsidP="00CD4F84">
      <w:pPr>
        <w:pStyle w:val="ListBullet"/>
        <w:numPr>
          <w:ilvl w:val="0"/>
          <w:numId w:val="0"/>
        </w:numPr>
      </w:pPr>
      <w:r>
        <w:t>Once they are credentialed, clinicians are responsible for maintaining their expertise and ability to deliver high-quality patient care and for meeting professional expectations and requirements. Clinicians should actively participate in the clinical governance systems of the health service, comply with health service policies and requirements, and work within their agreed facility-specific scope of practice.</w:t>
      </w:r>
    </w:p>
    <w:p w14:paraId="6FCBF867" w14:textId="77777777" w:rsidR="00CD4F84" w:rsidRDefault="00CD4F84" w:rsidP="00CD4F84">
      <w:pPr>
        <w:pStyle w:val="Heading1"/>
      </w:pPr>
      <w:r>
        <w:t>When should credentialing be reviewed?</w:t>
      </w:r>
    </w:p>
    <w:p w14:paraId="7F0570EA" w14:textId="77777777" w:rsidR="00CD4F84" w:rsidRDefault="00CD4F84" w:rsidP="00CD4F84">
      <w:pPr>
        <w:pStyle w:val="ListBullet"/>
        <w:numPr>
          <w:ilvl w:val="0"/>
          <w:numId w:val="0"/>
        </w:numPr>
        <w:ind w:left="360" w:hanging="360"/>
      </w:pPr>
      <w:r>
        <w:t>Review of credentialing should occur when:</w:t>
      </w:r>
    </w:p>
    <w:p w14:paraId="0EC9B79F" w14:textId="707E51F7" w:rsidR="00CD4F84" w:rsidRDefault="00CD4F84" w:rsidP="00CD4F84">
      <w:pPr>
        <w:pStyle w:val="ListBullet"/>
      </w:pPr>
      <w:r>
        <w:t>there is an organisational need</w:t>
      </w:r>
    </w:p>
    <w:p w14:paraId="77FA0C23" w14:textId="1D483CB5" w:rsidR="00CD4F84" w:rsidRDefault="00CD4F84" w:rsidP="00CD4F84">
      <w:pPr>
        <w:pStyle w:val="ListBullet"/>
      </w:pPr>
      <w:r>
        <w:t>a clinician requests to change their facility-specific scope of practice e.g. they would like to undertake a new procedure not included in their current scope of practice</w:t>
      </w:r>
    </w:p>
    <w:p w14:paraId="70CA92FE" w14:textId="1D41FC9D" w:rsidR="00CD4F84" w:rsidRDefault="00CD4F84" w:rsidP="00CD4F84">
      <w:pPr>
        <w:pStyle w:val="ListBullet"/>
      </w:pPr>
      <w:r>
        <w:t>concerns arise about aspects of a clinician’s professional performance e.g. through organisational clinical review processes such as morbidity and mortality meetings, because of an incident or complaint, or through formal performance appraisal processes</w:t>
      </w:r>
    </w:p>
    <w:p w14:paraId="2675FFF4" w14:textId="1015EF58" w:rsidR="00CD4F84" w:rsidRDefault="00CD4F84" w:rsidP="00CD4F84">
      <w:pPr>
        <w:pStyle w:val="ListBullet"/>
      </w:pPr>
      <w:r>
        <w:t>the specified period for credentialing has elapsed.</w:t>
      </w:r>
    </w:p>
    <w:p w14:paraId="5E3EE9E7" w14:textId="77777777" w:rsidR="00CD4F84" w:rsidRDefault="00CD4F84" w:rsidP="00CD4F84">
      <w:pPr>
        <w:pStyle w:val="ListBullet"/>
        <w:numPr>
          <w:ilvl w:val="0"/>
          <w:numId w:val="0"/>
        </w:numPr>
      </w:pPr>
      <w:r>
        <w:t xml:space="preserve">Re-credentialing should occur regularly at intervals of 3-5 years, as specified by the relevant jurisdiction. Health services that operate across jurisdictions, such as national private health service provider organisations, may also specify the frequency of re-credentialing. </w:t>
      </w:r>
    </w:p>
    <w:p w14:paraId="0B1011E5" w14:textId="612186D8" w:rsidR="00CD4F84" w:rsidRDefault="00CD4F84" w:rsidP="00CD4F84">
      <w:pPr>
        <w:pStyle w:val="ListBullet"/>
        <w:numPr>
          <w:ilvl w:val="0"/>
          <w:numId w:val="0"/>
        </w:numPr>
      </w:pPr>
      <w:r>
        <w:t>The review process should ensure that clinicians have maintained their skills and are participating in peer review and clinical audit activities and performance appraisals.</w:t>
      </w:r>
    </w:p>
    <w:p w14:paraId="4BF01F44" w14:textId="77777777" w:rsidR="004F4210" w:rsidRPr="004F4210" w:rsidRDefault="004F4210" w:rsidP="004F4210">
      <w:pPr>
        <w:rPr>
          <w:b/>
          <w:bCs/>
        </w:rPr>
      </w:pPr>
      <w:r w:rsidRPr="004F4210">
        <w:rPr>
          <w:b/>
          <w:bCs/>
        </w:rPr>
        <w:t>For more information</w:t>
      </w:r>
    </w:p>
    <w:p w14:paraId="55EC60CC" w14:textId="51ABA5A4" w:rsidR="004F4210" w:rsidRDefault="004F4210" w:rsidP="004F4210">
      <w:r>
        <w:t xml:space="preserve">Please visit: </w:t>
      </w:r>
      <w:hyperlink r:id="rId14" w:history="1">
        <w:r w:rsidR="00CD4F84" w:rsidRPr="00BF59DE">
          <w:rPr>
            <w:rStyle w:val="Hyperlink"/>
          </w:rPr>
          <w:t>www.safetyandquality.gov.au/clinical-topics/systems-and-governance/clinical-governance</w:t>
        </w:r>
      </w:hyperlink>
      <w:r w:rsidR="00C642C5">
        <w:t>.</w:t>
      </w:r>
    </w:p>
    <w:p w14:paraId="730C1E6B" w14:textId="77777777" w:rsidR="00CD4F84" w:rsidRDefault="00CD4F84" w:rsidP="004F4210"/>
    <w:p w14:paraId="5D8CDB6D" w14:textId="617CB0E8" w:rsidR="003734D9" w:rsidRPr="003734D9" w:rsidRDefault="004F4210" w:rsidP="00CD4F84">
      <w:pPr>
        <w:rPr>
          <w:color w:val="EE0000"/>
        </w:rPr>
      </w:pPr>
      <w:r>
        <w:t xml:space="preserve">© Australian Commission on Safety and Quality in Health Care </w:t>
      </w:r>
      <w:r w:rsidRPr="00CD4F84">
        <w:rPr>
          <w:color w:val="auto"/>
        </w:rPr>
        <w:t>20</w:t>
      </w:r>
      <w:r w:rsidR="00CD4F84" w:rsidRPr="00CD4F84">
        <w:rPr>
          <w:color w:val="auto"/>
        </w:rPr>
        <w:t>26</w:t>
      </w:r>
    </w:p>
    <w:sectPr w:rsidR="003734D9" w:rsidRPr="003734D9" w:rsidSect="00381281">
      <w:headerReference w:type="even" r:id="rId15"/>
      <w:headerReference w:type="default" r:id="rId16"/>
      <w:footerReference w:type="even" r:id="rId17"/>
      <w:footerReference w:type="default" r:id="rId18"/>
      <w:headerReference w:type="first" r:id="rId19"/>
      <w:footerReference w:type="first" r:id="rId20"/>
      <w:pgSz w:w="11906" w:h="16838" w:code="9"/>
      <w:pgMar w:top="2268" w:right="1531" w:bottom="1361" w:left="153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4ED67" w14:textId="77777777" w:rsidR="001C33D6" w:rsidRDefault="001C33D6" w:rsidP="001D0AFC">
      <w:r>
        <w:separator/>
      </w:r>
    </w:p>
    <w:p w14:paraId="75A453DE" w14:textId="77777777" w:rsidR="001C33D6" w:rsidRDefault="001C33D6"/>
    <w:p w14:paraId="3C32687B" w14:textId="77777777" w:rsidR="001C33D6" w:rsidRDefault="001C33D6"/>
    <w:p w14:paraId="74DF01D5" w14:textId="77777777" w:rsidR="001C33D6" w:rsidRDefault="001C33D6"/>
  </w:endnote>
  <w:endnote w:type="continuationSeparator" w:id="0">
    <w:p w14:paraId="4C3C61AA" w14:textId="77777777" w:rsidR="001C33D6" w:rsidRDefault="001C33D6" w:rsidP="001D0AFC">
      <w:r>
        <w:continuationSeparator/>
      </w:r>
    </w:p>
    <w:p w14:paraId="437B9637" w14:textId="77777777" w:rsidR="001C33D6" w:rsidRDefault="001C33D6"/>
    <w:p w14:paraId="773EA58D" w14:textId="77777777" w:rsidR="001C33D6" w:rsidRDefault="001C33D6"/>
    <w:p w14:paraId="39620FCE" w14:textId="77777777" w:rsidR="001C33D6" w:rsidRDefault="001C3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59BF" w14:textId="78C25D68" w:rsidR="00B14CCB" w:rsidRDefault="00B14CCB">
    <w:pPr>
      <w:pStyle w:val="Footer"/>
    </w:pPr>
    <w:r>
      <w:rPr>
        <w:noProof/>
      </w:rPr>
      <mc:AlternateContent>
        <mc:Choice Requires="wps">
          <w:drawing>
            <wp:anchor distT="0" distB="0" distL="0" distR="0" simplePos="0" relativeHeight="251660288" behindDoc="0" locked="0" layoutInCell="1" allowOverlap="1" wp14:anchorId="53864D3A" wp14:editId="385606D7">
              <wp:simplePos x="635" y="635"/>
              <wp:positionH relativeFrom="page">
                <wp:align>center</wp:align>
              </wp:positionH>
              <wp:positionV relativeFrom="page">
                <wp:align>bottom</wp:align>
              </wp:positionV>
              <wp:extent cx="622300" cy="452755"/>
              <wp:effectExtent l="0" t="0" r="6350" b="0"/>
              <wp:wrapNone/>
              <wp:docPr id="13214570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A9C8A3F" w14:textId="42707C63" w:rsidR="00B14CCB" w:rsidRPr="00B14CCB" w:rsidRDefault="00B14CCB" w:rsidP="00B14CCB">
                          <w:pPr>
                            <w:spacing w:after="0"/>
                            <w:rPr>
                              <w:rFonts w:ascii="Aptos" w:eastAsia="Aptos" w:hAnsi="Aptos" w:cs="Aptos"/>
                              <w:noProof/>
                              <w:color w:val="FF0000"/>
                              <w:sz w:val="24"/>
                              <w:szCs w:val="24"/>
                            </w:rPr>
                          </w:pPr>
                          <w:r w:rsidRPr="00B14CC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64D3A" id="_x0000_t202" coordsize="21600,21600" o:spt="202" path="m,l,21600r21600,l21600,xe">
              <v:stroke joinstyle="miter"/>
              <v:path gradientshapeok="t" o:connecttype="rect"/>
            </v:shapetype>
            <v:shape id="Text Box 5" o:spid="_x0000_s1029" type="#_x0000_t202" alt="OFFICIAL" style="position:absolute;margin-left:0;margin-top:0;width:49pt;height:35.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5A9C8A3F" w14:textId="42707C63" w:rsidR="00B14CCB" w:rsidRPr="00B14CCB" w:rsidRDefault="00B14CCB" w:rsidP="00B14CCB">
                    <w:pPr>
                      <w:spacing w:after="0"/>
                      <w:rPr>
                        <w:rFonts w:ascii="Aptos" w:eastAsia="Aptos" w:hAnsi="Aptos" w:cs="Aptos"/>
                        <w:noProof/>
                        <w:color w:val="FF0000"/>
                        <w:sz w:val="24"/>
                        <w:szCs w:val="24"/>
                      </w:rPr>
                    </w:pPr>
                    <w:r w:rsidRPr="00B14CCB">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B2A7" w14:textId="73CC0DC6" w:rsidR="00A2648F" w:rsidRPr="00A2648F" w:rsidRDefault="00C642C5" w:rsidP="00A2648F">
    <w:pPr>
      <w:pStyle w:val="Footer"/>
      <w:ind w:left="284"/>
      <w:rPr>
        <w:b/>
        <w:bCs/>
      </w:rPr>
    </w:pPr>
    <w:r>
      <w:t>Fact</w:t>
    </w:r>
    <w:r w:rsidR="00561030">
      <w:t xml:space="preserve"> </w:t>
    </w:r>
    <w:r>
      <w:t xml:space="preserve">sheet. </w:t>
    </w:r>
    <w:r w:rsidR="00CD4F84" w:rsidRPr="00CD4F84">
      <w:t xml:space="preserve">Credentialing and defining scope of practice - overview </w:t>
    </w:r>
    <w:r w:rsidR="00B14CCB">
      <w:rPr>
        <w:noProof/>
        <w:color w:val="FF0000"/>
      </w:rPr>
      <mc:AlternateContent>
        <mc:Choice Requires="wps">
          <w:drawing>
            <wp:anchor distT="0" distB="0" distL="0" distR="0" simplePos="0" relativeHeight="251661312" behindDoc="0" locked="0" layoutInCell="1" allowOverlap="1" wp14:anchorId="4AECF9E7" wp14:editId="13AC2C8D">
              <wp:simplePos x="971550" y="10201275"/>
              <wp:positionH relativeFrom="page">
                <wp:align>center</wp:align>
              </wp:positionH>
              <wp:positionV relativeFrom="page">
                <wp:align>bottom</wp:align>
              </wp:positionV>
              <wp:extent cx="622300" cy="452755"/>
              <wp:effectExtent l="0" t="0" r="6350" b="0"/>
              <wp:wrapNone/>
              <wp:docPr id="19889664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7F3AC4F" w14:textId="29F49672" w:rsidR="00B14CCB" w:rsidRPr="00B14CCB" w:rsidRDefault="00B14CCB" w:rsidP="00B14CCB">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ECF9E7" id="_x0000_t202" coordsize="21600,21600" o:spt="202" path="m,l,21600r21600,l21600,xe">
              <v:stroke joinstyle="miter"/>
              <v:path gradientshapeok="t" o:connecttype="rect"/>
            </v:shapetype>
            <v:shape id="Text Box 6" o:spid="_x0000_s1030" type="#_x0000_t202" alt="OFFICIAL" style="position:absolute;left:0;text-align:left;margin-left:0;margin-top:0;width:49pt;height:35.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77F3AC4F" w14:textId="29F49672" w:rsidR="00B14CCB" w:rsidRPr="00B14CCB" w:rsidRDefault="00B14CCB" w:rsidP="00B14CCB">
                    <w:pPr>
                      <w:spacing w:after="0"/>
                      <w:rPr>
                        <w:rFonts w:ascii="Aptos" w:eastAsia="Aptos" w:hAnsi="Aptos" w:cs="Aptos"/>
                        <w:noProof/>
                        <w:color w:val="FF0000"/>
                        <w:sz w:val="24"/>
                        <w:szCs w:val="24"/>
                      </w:rPr>
                    </w:pPr>
                  </w:p>
                </w:txbxContent>
              </v:textbox>
              <w10:wrap anchorx="page" anchory="page"/>
            </v:shape>
          </w:pict>
        </mc:Fallback>
      </mc:AlternateContent>
    </w:r>
    <w:r w:rsidR="00A2648F" w:rsidRPr="005F110C">
      <w:rPr>
        <w:noProof/>
        <w:color w:val="FF0000"/>
      </w:rPr>
      <w:drawing>
        <wp:anchor distT="0" distB="0" distL="114300" distR="114300" simplePos="0" relativeHeight="251653120" behindDoc="0" locked="0" layoutInCell="1" allowOverlap="1" wp14:anchorId="5C50E833" wp14:editId="1DC1C302">
          <wp:simplePos x="0" y="0"/>
          <wp:positionH relativeFrom="column">
            <wp:posOffset>0</wp:posOffset>
          </wp:positionH>
          <wp:positionV relativeFrom="paragraph">
            <wp:posOffset>-27432</wp:posOffset>
          </wp:positionV>
          <wp:extent cx="138948" cy="180000"/>
          <wp:effectExtent l="0" t="0" r="0" b="0"/>
          <wp:wrapNone/>
          <wp:docPr id="1441222773"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2277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648F" w:rsidRPr="00033439">
      <w:tab/>
    </w:r>
    <w:r w:rsidR="00A2648F" w:rsidRPr="00E74653">
      <w:rPr>
        <w:b/>
        <w:bCs/>
      </w:rPr>
      <w:fldChar w:fldCharType="begin"/>
    </w:r>
    <w:r w:rsidR="00A2648F" w:rsidRPr="00E74653">
      <w:rPr>
        <w:b/>
        <w:bCs/>
      </w:rPr>
      <w:instrText xml:space="preserve"> PAGE   \* MERGEFORMAT </w:instrText>
    </w:r>
    <w:r w:rsidR="00A2648F" w:rsidRPr="00E74653">
      <w:rPr>
        <w:b/>
        <w:bCs/>
      </w:rPr>
      <w:fldChar w:fldCharType="separate"/>
    </w:r>
    <w:r w:rsidR="00A2648F">
      <w:rPr>
        <w:b/>
        <w:bCs/>
      </w:rPr>
      <w:t>1</w:t>
    </w:r>
    <w:r w:rsidR="00A2648F" w:rsidRPr="00E74653">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1B76" w14:textId="77633F30" w:rsidR="00BB429E" w:rsidRPr="00BB429E" w:rsidRDefault="00B14CCB" w:rsidP="00BB429E">
    <w:pPr>
      <w:pStyle w:val="Footer"/>
      <w:ind w:left="284"/>
      <w:rPr>
        <w:b/>
        <w:bCs/>
      </w:rPr>
    </w:pPr>
    <w:r>
      <w:rPr>
        <w:noProof/>
        <w:color w:val="FF0000"/>
      </w:rPr>
      <mc:AlternateContent>
        <mc:Choice Requires="wps">
          <w:drawing>
            <wp:anchor distT="0" distB="0" distL="0" distR="0" simplePos="0" relativeHeight="251659264" behindDoc="0" locked="0" layoutInCell="1" allowOverlap="1" wp14:anchorId="174928CA" wp14:editId="78829BF2">
              <wp:simplePos x="971550" y="10201275"/>
              <wp:positionH relativeFrom="page">
                <wp:align>center</wp:align>
              </wp:positionH>
              <wp:positionV relativeFrom="page">
                <wp:align>bottom</wp:align>
              </wp:positionV>
              <wp:extent cx="622300" cy="452755"/>
              <wp:effectExtent l="0" t="0" r="6350" b="0"/>
              <wp:wrapNone/>
              <wp:docPr id="10326175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EDE4884" w14:textId="217F4130" w:rsidR="00B14CCB" w:rsidRPr="00B14CCB" w:rsidRDefault="00B14CCB" w:rsidP="00B14CCB">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4928CA"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35.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3EDE4884" w14:textId="217F4130" w:rsidR="00B14CCB" w:rsidRPr="00B14CCB" w:rsidRDefault="00B14CCB" w:rsidP="00B14CCB">
                    <w:pPr>
                      <w:spacing w:after="0"/>
                      <w:rPr>
                        <w:rFonts w:ascii="Aptos" w:eastAsia="Aptos" w:hAnsi="Aptos" w:cs="Aptos"/>
                        <w:noProof/>
                        <w:color w:val="FF0000"/>
                        <w:sz w:val="24"/>
                        <w:szCs w:val="24"/>
                      </w:rPr>
                    </w:pPr>
                  </w:p>
                </w:txbxContent>
              </v:textbox>
              <w10:wrap anchorx="page" anchory="page"/>
            </v:shape>
          </w:pict>
        </mc:Fallback>
      </mc:AlternateContent>
    </w:r>
    <w:r w:rsidR="00BB429E" w:rsidRPr="005F110C">
      <w:rPr>
        <w:noProof/>
        <w:color w:val="FF0000"/>
      </w:rPr>
      <w:drawing>
        <wp:anchor distT="0" distB="0" distL="114300" distR="114300" simplePos="0" relativeHeight="251655168" behindDoc="0" locked="0" layoutInCell="1" allowOverlap="1" wp14:anchorId="1E455855" wp14:editId="3A6561DA">
          <wp:simplePos x="0" y="0"/>
          <wp:positionH relativeFrom="column">
            <wp:posOffset>0</wp:posOffset>
          </wp:positionH>
          <wp:positionV relativeFrom="paragraph">
            <wp:posOffset>-27432</wp:posOffset>
          </wp:positionV>
          <wp:extent cx="138948" cy="180000"/>
          <wp:effectExtent l="0" t="0" r="0" b="0"/>
          <wp:wrapNone/>
          <wp:docPr id="61337974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79742"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42C5">
      <w:t>Fact</w:t>
    </w:r>
    <w:r w:rsidR="00561030">
      <w:t xml:space="preserve"> </w:t>
    </w:r>
    <w:r w:rsidR="00C642C5">
      <w:t xml:space="preserve">sheet. </w:t>
    </w:r>
    <w:r w:rsidR="00CD4F84">
      <w:t>Credentialing and defining scope of practice - overview</w:t>
    </w:r>
    <w:r w:rsidR="00BB429E" w:rsidRPr="00033439">
      <w:tab/>
    </w:r>
    <w:r w:rsidR="00BB429E" w:rsidRPr="00E74653">
      <w:rPr>
        <w:b/>
        <w:bCs/>
      </w:rPr>
      <w:fldChar w:fldCharType="begin"/>
    </w:r>
    <w:r w:rsidR="00BB429E" w:rsidRPr="00E74653">
      <w:rPr>
        <w:b/>
        <w:bCs/>
      </w:rPr>
      <w:instrText xml:space="preserve"> PAGE   \* MERGEFORMAT </w:instrText>
    </w:r>
    <w:r w:rsidR="00BB429E" w:rsidRPr="00E74653">
      <w:rPr>
        <w:b/>
        <w:bCs/>
      </w:rPr>
      <w:fldChar w:fldCharType="separate"/>
    </w:r>
    <w:r w:rsidR="00BB429E">
      <w:rPr>
        <w:b/>
        <w:bCs/>
      </w:rPr>
      <w:t>3</w:t>
    </w:r>
    <w:r w:rsidR="00BB429E" w:rsidRPr="00E74653">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59D1" w14:textId="77777777" w:rsidR="001C33D6" w:rsidRDefault="001C33D6" w:rsidP="001D0AFC">
      <w:r>
        <w:separator/>
      </w:r>
    </w:p>
    <w:p w14:paraId="0B6F83D7" w14:textId="77777777" w:rsidR="001C33D6" w:rsidRDefault="001C33D6"/>
  </w:footnote>
  <w:footnote w:type="continuationSeparator" w:id="0">
    <w:p w14:paraId="31F45048" w14:textId="77777777" w:rsidR="001C33D6" w:rsidRDefault="001C33D6" w:rsidP="001D0AFC">
      <w:r>
        <w:continuationSeparator/>
      </w:r>
    </w:p>
    <w:p w14:paraId="04B8B7BF" w14:textId="77777777" w:rsidR="001C33D6" w:rsidRDefault="001C33D6"/>
  </w:footnote>
  <w:footnote w:type="continuationNotice" w:id="1">
    <w:p w14:paraId="37BED19F" w14:textId="77777777" w:rsidR="001C33D6" w:rsidRDefault="001C33D6">
      <w:pPr>
        <w:spacing w:before="0" w:after="0"/>
      </w:pPr>
    </w:p>
    <w:p w14:paraId="2E7CA1B8" w14:textId="77777777" w:rsidR="001C33D6" w:rsidRDefault="001C33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676B" w14:textId="015141BE" w:rsidR="00B14CCB" w:rsidRDefault="00B14CCB">
    <w:pPr>
      <w:pStyle w:val="Header"/>
    </w:pPr>
    <w:r>
      <w:rPr>
        <w:noProof/>
      </w:rPr>
      <mc:AlternateContent>
        <mc:Choice Requires="wps">
          <w:drawing>
            <wp:anchor distT="0" distB="0" distL="0" distR="0" simplePos="0" relativeHeight="251657216" behindDoc="0" locked="0" layoutInCell="1" allowOverlap="1" wp14:anchorId="2553BCEA" wp14:editId="2E7DDE4C">
              <wp:simplePos x="635" y="635"/>
              <wp:positionH relativeFrom="page">
                <wp:align>center</wp:align>
              </wp:positionH>
              <wp:positionV relativeFrom="page">
                <wp:align>top</wp:align>
              </wp:positionV>
              <wp:extent cx="622300" cy="452755"/>
              <wp:effectExtent l="0" t="0" r="6350" b="4445"/>
              <wp:wrapNone/>
              <wp:docPr id="9993628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260C52E" w14:textId="05797877" w:rsidR="00B14CCB" w:rsidRPr="00B14CCB" w:rsidRDefault="00B14CCB" w:rsidP="00B14CCB">
                          <w:pPr>
                            <w:spacing w:after="0"/>
                            <w:rPr>
                              <w:rFonts w:ascii="Aptos" w:eastAsia="Aptos" w:hAnsi="Aptos" w:cs="Aptos"/>
                              <w:noProof/>
                              <w:color w:val="FF0000"/>
                              <w:sz w:val="24"/>
                              <w:szCs w:val="24"/>
                            </w:rPr>
                          </w:pPr>
                          <w:r w:rsidRPr="00B14CC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3BCEA" id="_x0000_t202" coordsize="21600,21600" o:spt="202" path="m,l,21600r21600,l21600,xe">
              <v:stroke joinstyle="miter"/>
              <v:path gradientshapeok="t" o:connecttype="rect"/>
            </v:shapetype>
            <v:shape id="Text Box 2" o:spid="_x0000_s1027" type="#_x0000_t202" alt="OFFICIAL" style="position:absolute;margin-left:0;margin-top:0;width:49pt;height:35.6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7260C52E" w14:textId="05797877" w:rsidR="00B14CCB" w:rsidRPr="00B14CCB" w:rsidRDefault="00B14CCB" w:rsidP="00B14CCB">
                    <w:pPr>
                      <w:spacing w:after="0"/>
                      <w:rPr>
                        <w:rFonts w:ascii="Aptos" w:eastAsia="Aptos" w:hAnsi="Aptos" w:cs="Aptos"/>
                        <w:noProof/>
                        <w:color w:val="FF0000"/>
                        <w:sz w:val="24"/>
                        <w:szCs w:val="24"/>
                      </w:rPr>
                    </w:pPr>
                    <w:r w:rsidRPr="00B14CC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625" w:tblpY="625"/>
      <w:tblOverlap w:val="never"/>
      <w:tblW w:w="10247" w:type="dxa"/>
      <w:tblCellMar>
        <w:left w:w="0" w:type="dxa"/>
        <w:right w:w="0" w:type="dxa"/>
      </w:tblCellMar>
      <w:tblLook w:val="04A0" w:firstRow="1" w:lastRow="0" w:firstColumn="1" w:lastColumn="0" w:noHBand="0" w:noVBand="1"/>
    </w:tblPr>
    <w:tblGrid>
      <w:gridCol w:w="8105"/>
      <w:gridCol w:w="2142"/>
    </w:tblGrid>
    <w:tr w:rsidR="00E6329D" w14:paraId="2291B4BA" w14:textId="77777777" w:rsidTr="00C642C5">
      <w:trPr>
        <w:trHeight w:hRule="exact" w:val="851"/>
      </w:trPr>
      <w:tc>
        <w:tcPr>
          <w:tcW w:w="8105" w:type="dxa"/>
        </w:tcPr>
        <w:p w14:paraId="53C7D81C" w14:textId="19D939CA" w:rsidR="00E6329D" w:rsidRDefault="00B14CCB" w:rsidP="008450A2">
          <w:pPr>
            <w:pStyle w:val="Header"/>
          </w:pPr>
          <w:r>
            <w:rPr>
              <w:noProof/>
              <w:color w:val="FFFFFF" w:themeColor="background1"/>
              <w:sz w:val="16"/>
              <w:szCs w:val="16"/>
            </w:rPr>
            <mc:AlternateContent>
              <mc:Choice Requires="wps">
                <w:drawing>
                  <wp:anchor distT="0" distB="0" distL="0" distR="0" simplePos="0" relativeHeight="251658240" behindDoc="0" locked="0" layoutInCell="1" allowOverlap="1" wp14:anchorId="3D8AC935" wp14:editId="15415FC3">
                    <wp:simplePos x="400050" y="400050"/>
                    <wp:positionH relativeFrom="page">
                      <wp:align>center</wp:align>
                    </wp:positionH>
                    <wp:positionV relativeFrom="page">
                      <wp:align>top</wp:align>
                    </wp:positionV>
                    <wp:extent cx="622300" cy="452755"/>
                    <wp:effectExtent l="0" t="0" r="6350" b="4445"/>
                    <wp:wrapNone/>
                    <wp:docPr id="16291035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1D8DAE8" w14:textId="4EE1B038" w:rsidR="00B14CCB" w:rsidRPr="00B14CCB" w:rsidRDefault="00B14CCB" w:rsidP="00B14CCB">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8AC935" id="_x0000_t202" coordsize="21600,21600" o:spt="202" path="m,l,21600r21600,l21600,xe">
                    <v:stroke joinstyle="miter"/>
                    <v:path gradientshapeok="t" o:connecttype="rect"/>
                  </v:shapetype>
                  <v:shape id="Text Box 3" o:spid="_x0000_s1028" type="#_x0000_t202" alt="OFFICIAL" style="position:absolute;margin-left:0;margin-top:0;width:49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31D8DAE8" w14:textId="4EE1B038" w:rsidR="00B14CCB" w:rsidRPr="00B14CCB" w:rsidRDefault="00B14CCB" w:rsidP="00B14CCB">
                          <w:pPr>
                            <w:spacing w:after="0"/>
                            <w:rPr>
                              <w:rFonts w:ascii="Aptos" w:eastAsia="Aptos" w:hAnsi="Aptos" w:cs="Aptos"/>
                              <w:noProof/>
                              <w:color w:val="FF0000"/>
                              <w:sz w:val="24"/>
                              <w:szCs w:val="24"/>
                            </w:rPr>
                          </w:pPr>
                        </w:p>
                      </w:txbxContent>
                    </v:textbox>
                    <w10:wrap anchorx="page" anchory="page"/>
                  </v:shape>
                </w:pict>
              </mc:Fallback>
            </mc:AlternateContent>
          </w:r>
          <w:r w:rsidR="00E6329D" w:rsidRPr="009527AE">
            <w:rPr>
              <w:noProof/>
              <w:color w:val="FFFFFF" w:themeColor="background1"/>
              <w:sz w:val="16"/>
              <w:szCs w:val="16"/>
            </w:rPr>
            <w:drawing>
              <wp:inline distT="0" distB="0" distL="0" distR="0" wp14:anchorId="24F90C3E" wp14:editId="783B9937">
                <wp:extent cx="1511250" cy="539305"/>
                <wp:effectExtent l="0" t="0" r="0" b="0"/>
                <wp:docPr id="971298621" name="Graphic 11">
                  <a:extLst xmlns:a="http://schemas.openxmlformats.org/drawingml/2006/main">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98621" name="Graphic 11">
                          <a:extLst>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1250" cy="539305"/>
                        </a:xfrm>
                        <a:prstGeom prst="rect">
                          <a:avLst/>
                        </a:prstGeom>
                      </pic:spPr>
                    </pic:pic>
                  </a:graphicData>
                </a:graphic>
              </wp:inline>
            </w:drawing>
          </w:r>
        </w:p>
      </w:tc>
      <w:tc>
        <w:tcPr>
          <w:tcW w:w="2142" w:type="dxa"/>
          <w:vAlign w:val="bottom"/>
        </w:tcPr>
        <w:p w14:paraId="2F66BBB3" w14:textId="77777777" w:rsidR="00C642C5" w:rsidRDefault="00C642C5" w:rsidP="00C642C5">
          <w:pPr>
            <w:pStyle w:val="Header"/>
            <w:rPr>
              <w:b/>
              <w:bCs/>
              <w:color w:val="auto"/>
            </w:rPr>
          </w:pPr>
          <w:r w:rsidRPr="00B14CCB">
            <w:rPr>
              <w:b/>
              <w:bCs/>
              <w:color w:val="auto"/>
            </w:rPr>
            <w:t>Fact sheet</w:t>
          </w:r>
          <w:r>
            <w:rPr>
              <w:b/>
              <w:bCs/>
              <w:color w:val="auto"/>
            </w:rPr>
            <w:t xml:space="preserve"> </w:t>
          </w:r>
        </w:p>
        <w:p w14:paraId="133B81F2" w14:textId="7E0DBB9E" w:rsidR="00C642C5" w:rsidRPr="00B14CCB" w:rsidRDefault="00C642C5" w:rsidP="00C642C5">
          <w:pPr>
            <w:pStyle w:val="Header"/>
            <w:rPr>
              <w:color w:val="auto"/>
            </w:rPr>
          </w:pPr>
          <w:r w:rsidRPr="00B14CCB">
            <w:rPr>
              <w:color w:val="auto"/>
            </w:rPr>
            <w:t xml:space="preserve">For health services </w:t>
          </w:r>
          <w:r w:rsidR="0067290D">
            <w:rPr>
              <w:color w:val="auto"/>
            </w:rPr>
            <w:br/>
          </w:r>
          <w:r w:rsidRPr="00B14CCB">
            <w:rPr>
              <w:color w:val="auto"/>
            </w:rPr>
            <w:t>and clinicians</w:t>
          </w:r>
        </w:p>
        <w:p w14:paraId="7153452D" w14:textId="19A32587" w:rsidR="00E6329D" w:rsidRDefault="00E6329D" w:rsidP="008450A2">
          <w:pPr>
            <w:pStyle w:val="Header"/>
          </w:pPr>
        </w:p>
      </w:tc>
    </w:tr>
  </w:tbl>
  <w:p w14:paraId="4ACF1445" w14:textId="12672623" w:rsidR="00E6329D" w:rsidRDefault="00E632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625" w:tblpY="625"/>
      <w:tblOverlap w:val="never"/>
      <w:tblW w:w="10247" w:type="dxa"/>
      <w:tblCellMar>
        <w:left w:w="0" w:type="dxa"/>
        <w:right w:w="0" w:type="dxa"/>
      </w:tblCellMar>
      <w:tblLook w:val="04A0" w:firstRow="1" w:lastRow="0" w:firstColumn="1" w:lastColumn="0" w:noHBand="0" w:noVBand="1"/>
    </w:tblPr>
    <w:tblGrid>
      <w:gridCol w:w="8105"/>
      <w:gridCol w:w="2142"/>
    </w:tblGrid>
    <w:tr w:rsidR="00BB429E" w14:paraId="2DA135CF" w14:textId="77777777" w:rsidTr="008450A2">
      <w:trPr>
        <w:trHeight w:hRule="exact" w:val="879"/>
      </w:trPr>
      <w:tc>
        <w:tcPr>
          <w:tcW w:w="8105" w:type="dxa"/>
        </w:tcPr>
        <w:p w14:paraId="1939ED8E" w14:textId="04C452EC" w:rsidR="00BB429E" w:rsidRDefault="00B14CCB" w:rsidP="008450A2">
          <w:pPr>
            <w:pStyle w:val="Header"/>
          </w:pPr>
          <w:r>
            <w:rPr>
              <w:noProof/>
              <w:color w:val="FFFFFF" w:themeColor="background1"/>
              <w:sz w:val="16"/>
              <w:szCs w:val="16"/>
            </w:rPr>
            <mc:AlternateContent>
              <mc:Choice Requires="wps">
                <w:drawing>
                  <wp:anchor distT="0" distB="0" distL="0" distR="0" simplePos="0" relativeHeight="251656192" behindDoc="0" locked="0" layoutInCell="1" allowOverlap="1" wp14:anchorId="7AADD48A" wp14:editId="4049EE87">
                    <wp:simplePos x="400050" y="400050"/>
                    <wp:positionH relativeFrom="page">
                      <wp:align>center</wp:align>
                    </wp:positionH>
                    <wp:positionV relativeFrom="page">
                      <wp:align>top</wp:align>
                    </wp:positionV>
                    <wp:extent cx="622300" cy="452755"/>
                    <wp:effectExtent l="0" t="0" r="6350" b="4445"/>
                    <wp:wrapNone/>
                    <wp:docPr id="5906416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ED1B18E" w14:textId="273C5C3F" w:rsidR="00B14CCB" w:rsidRPr="00CD4F84" w:rsidRDefault="00B14CCB" w:rsidP="00B14CCB">
                                <w:pPr>
                                  <w:spacing w:after="0"/>
                                  <w:rPr>
                                    <w:rFonts w:ascii="Aptos" w:eastAsia="Aptos" w:hAnsi="Aptos" w:cs="Aptos"/>
                                    <w:noProof/>
                                    <w:color w:val="auto"/>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ADD48A" id="_x0000_t202" coordsize="21600,21600" o:spt="202" path="m,l,21600r21600,l21600,xe">
                    <v:stroke joinstyle="miter"/>
                    <v:path gradientshapeok="t" o:connecttype="rect"/>
                  </v:shapetype>
                  <v:shape id="Text Box 1" o:spid="_x0000_s1031" type="#_x0000_t202" alt="OFFICIAL" style="position:absolute;margin-left:0;margin-top:0;width:49pt;height:35.6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1ED1B18E" w14:textId="273C5C3F" w:rsidR="00B14CCB" w:rsidRPr="00CD4F84" w:rsidRDefault="00B14CCB" w:rsidP="00B14CCB">
                          <w:pPr>
                            <w:spacing w:after="0"/>
                            <w:rPr>
                              <w:rFonts w:ascii="Aptos" w:eastAsia="Aptos" w:hAnsi="Aptos" w:cs="Aptos"/>
                              <w:noProof/>
                              <w:color w:val="auto"/>
                              <w:sz w:val="24"/>
                              <w:szCs w:val="24"/>
                            </w:rPr>
                          </w:pPr>
                        </w:p>
                      </w:txbxContent>
                    </v:textbox>
                    <w10:wrap anchorx="page" anchory="page"/>
                  </v:shape>
                </w:pict>
              </mc:Fallback>
            </mc:AlternateContent>
          </w:r>
          <w:r w:rsidR="00BB429E" w:rsidRPr="009527AE">
            <w:rPr>
              <w:noProof/>
              <w:color w:val="FFFFFF" w:themeColor="background1"/>
              <w:sz w:val="16"/>
              <w:szCs w:val="16"/>
            </w:rPr>
            <w:drawing>
              <wp:inline distT="0" distB="0" distL="0" distR="0" wp14:anchorId="5C52A5AC" wp14:editId="10859CA2">
                <wp:extent cx="1511250" cy="539305"/>
                <wp:effectExtent l="0" t="0" r="0" b="0"/>
                <wp:docPr id="1453594319" name="Graphic 11">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94319" name="Graphic 11">
                          <a:extLst>
                            <a:ext uri="{FF2B5EF4-FFF2-40B4-BE49-F238E27FC236}">
                              <a16:creationId xmlns:a16="http://schemas.microsoft.com/office/drawing/2014/main" id="{03A7763C-B648-1C2B-592F-16266CACB79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1250" cy="539305"/>
                        </a:xfrm>
                        <a:prstGeom prst="rect">
                          <a:avLst/>
                        </a:prstGeom>
                      </pic:spPr>
                    </pic:pic>
                  </a:graphicData>
                </a:graphic>
              </wp:inline>
            </w:drawing>
          </w:r>
        </w:p>
      </w:tc>
      <w:tc>
        <w:tcPr>
          <w:tcW w:w="2142" w:type="dxa"/>
          <w:vAlign w:val="bottom"/>
        </w:tcPr>
        <w:p w14:paraId="5E5B285E" w14:textId="23F41A73" w:rsidR="00BB429E" w:rsidRDefault="005F110C" w:rsidP="008450A2">
          <w:pPr>
            <w:pStyle w:val="Header"/>
            <w:rPr>
              <w:b/>
              <w:bCs/>
              <w:color w:val="auto"/>
            </w:rPr>
          </w:pPr>
          <w:r w:rsidRPr="00B14CCB">
            <w:rPr>
              <w:b/>
              <w:bCs/>
              <w:color w:val="auto"/>
            </w:rPr>
            <w:t>Fact sheet</w:t>
          </w:r>
          <w:r w:rsidR="00B14CCB">
            <w:rPr>
              <w:b/>
              <w:bCs/>
              <w:color w:val="auto"/>
            </w:rPr>
            <w:t xml:space="preserve"> </w:t>
          </w:r>
        </w:p>
        <w:p w14:paraId="3E6D4ABC" w14:textId="104C8BA3" w:rsidR="00B14CCB" w:rsidRPr="00B14CCB" w:rsidRDefault="00B14CCB" w:rsidP="008450A2">
          <w:pPr>
            <w:pStyle w:val="Header"/>
            <w:rPr>
              <w:color w:val="auto"/>
            </w:rPr>
          </w:pPr>
          <w:r w:rsidRPr="00B14CCB">
            <w:rPr>
              <w:color w:val="auto"/>
            </w:rPr>
            <w:t xml:space="preserve">For health services </w:t>
          </w:r>
          <w:r w:rsidR="0067290D">
            <w:rPr>
              <w:color w:val="auto"/>
            </w:rPr>
            <w:br/>
          </w:r>
          <w:r w:rsidRPr="00B14CCB">
            <w:rPr>
              <w:color w:val="auto"/>
            </w:rPr>
            <w:t>and clinicians</w:t>
          </w:r>
        </w:p>
        <w:p w14:paraId="6A28786F" w14:textId="2ACEC56F" w:rsidR="00BB429E" w:rsidRPr="005F110C" w:rsidRDefault="00BB429E" w:rsidP="008450A2">
          <w:pPr>
            <w:pStyle w:val="Header"/>
            <w:rPr>
              <w:color w:val="FF0000"/>
            </w:rPr>
          </w:pPr>
        </w:p>
      </w:tc>
    </w:tr>
  </w:tbl>
  <w:p w14:paraId="1C9A06DD" w14:textId="77777777" w:rsidR="00BB429E" w:rsidRPr="00BB429E" w:rsidRDefault="00BB429E" w:rsidP="00BB429E">
    <w:pPr>
      <w:pStyle w:val="Header"/>
    </w:pPr>
    <w:r>
      <w:rPr>
        <w:noProof/>
      </w:rPr>
      <w:drawing>
        <wp:anchor distT="0" distB="0" distL="114300" distR="114300" simplePos="0" relativeHeight="251654144" behindDoc="0" locked="0" layoutInCell="1" allowOverlap="1" wp14:anchorId="4FC6CCA0" wp14:editId="4B37F21A">
          <wp:simplePos x="0" y="0"/>
          <wp:positionH relativeFrom="page">
            <wp:align>left</wp:align>
          </wp:positionH>
          <wp:positionV relativeFrom="page">
            <wp:posOffset>1440180</wp:posOffset>
          </wp:positionV>
          <wp:extent cx="7560000" cy="1515600"/>
          <wp:effectExtent l="0" t="0" r="3175" b="8890"/>
          <wp:wrapNone/>
          <wp:docPr id="69882995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829952" name="Picture 2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5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D84F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2" w15:restartNumberingAfterBreak="0">
    <w:nsid w:val="661F7723"/>
    <w:multiLevelType w:val="multilevel"/>
    <w:tmpl w:val="50D0D142"/>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4" w15:restartNumberingAfterBreak="0">
    <w:nsid w:val="71F6279A"/>
    <w:multiLevelType w:val="hybridMultilevel"/>
    <w:tmpl w:val="BE428D4E"/>
    <w:lvl w:ilvl="0" w:tplc="70DE524C">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87E4D88"/>
    <w:multiLevelType w:val="multilevel"/>
    <w:tmpl w:val="CA804B26"/>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1"/>
  </w:num>
  <w:num w:numId="2" w16cid:durableId="1231190212">
    <w:abstractNumId w:val="3"/>
  </w:num>
  <w:num w:numId="3" w16cid:durableId="579215263">
    <w:abstractNumId w:val="2"/>
  </w:num>
  <w:num w:numId="4" w16cid:durableId="327100884">
    <w:abstractNumId w:val="5"/>
  </w:num>
  <w:num w:numId="5" w16cid:durableId="844396454">
    <w:abstractNumId w:val="0"/>
  </w:num>
  <w:num w:numId="6" w16cid:durableId="20699566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2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943208"/>
    <w:rsid w:val="00011EBE"/>
    <w:rsid w:val="000121BA"/>
    <w:rsid w:val="000134CB"/>
    <w:rsid w:val="000136A5"/>
    <w:rsid w:val="00013E33"/>
    <w:rsid w:val="00015555"/>
    <w:rsid w:val="0001627D"/>
    <w:rsid w:val="000164A5"/>
    <w:rsid w:val="00020CF3"/>
    <w:rsid w:val="0002234B"/>
    <w:rsid w:val="000237BA"/>
    <w:rsid w:val="00024813"/>
    <w:rsid w:val="0003148E"/>
    <w:rsid w:val="00032388"/>
    <w:rsid w:val="00033439"/>
    <w:rsid w:val="00034043"/>
    <w:rsid w:val="00035A79"/>
    <w:rsid w:val="000369EA"/>
    <w:rsid w:val="00036FE5"/>
    <w:rsid w:val="00037DE5"/>
    <w:rsid w:val="00041055"/>
    <w:rsid w:val="00046136"/>
    <w:rsid w:val="00053982"/>
    <w:rsid w:val="000555D8"/>
    <w:rsid w:val="00056BC0"/>
    <w:rsid w:val="00061B61"/>
    <w:rsid w:val="000635BC"/>
    <w:rsid w:val="0006369F"/>
    <w:rsid w:val="000658B5"/>
    <w:rsid w:val="00065F7E"/>
    <w:rsid w:val="00072AF5"/>
    <w:rsid w:val="000760F4"/>
    <w:rsid w:val="00080037"/>
    <w:rsid w:val="00081BFA"/>
    <w:rsid w:val="00083A58"/>
    <w:rsid w:val="00083FD2"/>
    <w:rsid w:val="0008584C"/>
    <w:rsid w:val="000872A3"/>
    <w:rsid w:val="00091A80"/>
    <w:rsid w:val="00096866"/>
    <w:rsid w:val="000A054F"/>
    <w:rsid w:val="000A1273"/>
    <w:rsid w:val="000A1738"/>
    <w:rsid w:val="000A1916"/>
    <w:rsid w:val="000A1EF9"/>
    <w:rsid w:val="000A2E7B"/>
    <w:rsid w:val="000A336E"/>
    <w:rsid w:val="000A3F90"/>
    <w:rsid w:val="000A4DA7"/>
    <w:rsid w:val="000A5B5A"/>
    <w:rsid w:val="000A66C9"/>
    <w:rsid w:val="000B19D3"/>
    <w:rsid w:val="000B3106"/>
    <w:rsid w:val="000B3336"/>
    <w:rsid w:val="000B40C2"/>
    <w:rsid w:val="000B5598"/>
    <w:rsid w:val="000B5729"/>
    <w:rsid w:val="000C0CA6"/>
    <w:rsid w:val="000C1B92"/>
    <w:rsid w:val="000C4291"/>
    <w:rsid w:val="000C5879"/>
    <w:rsid w:val="000D19FF"/>
    <w:rsid w:val="000D22A8"/>
    <w:rsid w:val="000D793D"/>
    <w:rsid w:val="000D7D92"/>
    <w:rsid w:val="000D7F92"/>
    <w:rsid w:val="000E552A"/>
    <w:rsid w:val="000E76FA"/>
    <w:rsid w:val="000F0455"/>
    <w:rsid w:val="000F2461"/>
    <w:rsid w:val="000F2EDC"/>
    <w:rsid w:val="000F5A29"/>
    <w:rsid w:val="000F5CB5"/>
    <w:rsid w:val="000F6463"/>
    <w:rsid w:val="000F6579"/>
    <w:rsid w:val="000F7990"/>
    <w:rsid w:val="00100584"/>
    <w:rsid w:val="001010A9"/>
    <w:rsid w:val="00103B28"/>
    <w:rsid w:val="0010640F"/>
    <w:rsid w:val="00106F60"/>
    <w:rsid w:val="00113EA9"/>
    <w:rsid w:val="001141D0"/>
    <w:rsid w:val="001175CB"/>
    <w:rsid w:val="00117894"/>
    <w:rsid w:val="001178D7"/>
    <w:rsid w:val="0012062F"/>
    <w:rsid w:val="00120E3D"/>
    <w:rsid w:val="001239E7"/>
    <w:rsid w:val="0012449A"/>
    <w:rsid w:val="001279BB"/>
    <w:rsid w:val="00131D34"/>
    <w:rsid w:val="00133783"/>
    <w:rsid w:val="001338BA"/>
    <w:rsid w:val="001368BE"/>
    <w:rsid w:val="00136B50"/>
    <w:rsid w:val="0014019A"/>
    <w:rsid w:val="001425A7"/>
    <w:rsid w:val="001432FE"/>
    <w:rsid w:val="00144282"/>
    <w:rsid w:val="00144718"/>
    <w:rsid w:val="00144E74"/>
    <w:rsid w:val="001457C0"/>
    <w:rsid w:val="00145B28"/>
    <w:rsid w:val="00151F47"/>
    <w:rsid w:val="00152AC1"/>
    <w:rsid w:val="00153AEF"/>
    <w:rsid w:val="001547CB"/>
    <w:rsid w:val="00154C1A"/>
    <w:rsid w:val="00156042"/>
    <w:rsid w:val="001567DD"/>
    <w:rsid w:val="00156D02"/>
    <w:rsid w:val="00157AB6"/>
    <w:rsid w:val="00157CE7"/>
    <w:rsid w:val="00165F83"/>
    <w:rsid w:val="001714D3"/>
    <w:rsid w:val="001738B8"/>
    <w:rsid w:val="00174708"/>
    <w:rsid w:val="00182D27"/>
    <w:rsid w:val="00187C93"/>
    <w:rsid w:val="00191178"/>
    <w:rsid w:val="00191513"/>
    <w:rsid w:val="00191CC2"/>
    <w:rsid w:val="00192329"/>
    <w:rsid w:val="00193699"/>
    <w:rsid w:val="00197290"/>
    <w:rsid w:val="0019759D"/>
    <w:rsid w:val="00197ADC"/>
    <w:rsid w:val="00197E66"/>
    <w:rsid w:val="001A03FE"/>
    <w:rsid w:val="001A0E88"/>
    <w:rsid w:val="001A2B7F"/>
    <w:rsid w:val="001A41EB"/>
    <w:rsid w:val="001A4611"/>
    <w:rsid w:val="001A5727"/>
    <w:rsid w:val="001A7D74"/>
    <w:rsid w:val="001B3928"/>
    <w:rsid w:val="001B709F"/>
    <w:rsid w:val="001B7FA1"/>
    <w:rsid w:val="001C28D3"/>
    <w:rsid w:val="001C33D6"/>
    <w:rsid w:val="001C3BEB"/>
    <w:rsid w:val="001C3FD0"/>
    <w:rsid w:val="001C48D8"/>
    <w:rsid w:val="001C4B8A"/>
    <w:rsid w:val="001C5149"/>
    <w:rsid w:val="001C52C2"/>
    <w:rsid w:val="001C6BB6"/>
    <w:rsid w:val="001D0AFC"/>
    <w:rsid w:val="001D1EF4"/>
    <w:rsid w:val="001D2019"/>
    <w:rsid w:val="001D3383"/>
    <w:rsid w:val="001D7528"/>
    <w:rsid w:val="001D76E4"/>
    <w:rsid w:val="001E0C43"/>
    <w:rsid w:val="001E3A54"/>
    <w:rsid w:val="001E41E5"/>
    <w:rsid w:val="001E49C9"/>
    <w:rsid w:val="001E50A1"/>
    <w:rsid w:val="001E5108"/>
    <w:rsid w:val="001E5F8E"/>
    <w:rsid w:val="001E6C1D"/>
    <w:rsid w:val="001F1430"/>
    <w:rsid w:val="001F25C8"/>
    <w:rsid w:val="001F3C12"/>
    <w:rsid w:val="001F40EE"/>
    <w:rsid w:val="00202C71"/>
    <w:rsid w:val="00202F7F"/>
    <w:rsid w:val="00207CBE"/>
    <w:rsid w:val="00210409"/>
    <w:rsid w:val="002105F2"/>
    <w:rsid w:val="00210E8D"/>
    <w:rsid w:val="0021123A"/>
    <w:rsid w:val="0021134B"/>
    <w:rsid w:val="00216854"/>
    <w:rsid w:val="00217D19"/>
    <w:rsid w:val="0022009C"/>
    <w:rsid w:val="00223F37"/>
    <w:rsid w:val="00226249"/>
    <w:rsid w:val="00226819"/>
    <w:rsid w:val="00227152"/>
    <w:rsid w:val="002307E1"/>
    <w:rsid w:val="00231BB5"/>
    <w:rsid w:val="002320CE"/>
    <w:rsid w:val="00233385"/>
    <w:rsid w:val="002333C5"/>
    <w:rsid w:val="002349BF"/>
    <w:rsid w:val="00242034"/>
    <w:rsid w:val="002422FD"/>
    <w:rsid w:val="00244887"/>
    <w:rsid w:val="00244E46"/>
    <w:rsid w:val="002468CF"/>
    <w:rsid w:val="00253E2B"/>
    <w:rsid w:val="002574B2"/>
    <w:rsid w:val="00257A55"/>
    <w:rsid w:val="00260209"/>
    <w:rsid w:val="00262769"/>
    <w:rsid w:val="002632B7"/>
    <w:rsid w:val="00264464"/>
    <w:rsid w:val="0026489B"/>
    <w:rsid w:val="00264F4D"/>
    <w:rsid w:val="002669C7"/>
    <w:rsid w:val="00272AAC"/>
    <w:rsid w:val="00274521"/>
    <w:rsid w:val="00275504"/>
    <w:rsid w:val="002776FA"/>
    <w:rsid w:val="00277E47"/>
    <w:rsid w:val="0028070D"/>
    <w:rsid w:val="002871D8"/>
    <w:rsid w:val="00291082"/>
    <w:rsid w:val="002934C0"/>
    <w:rsid w:val="00295234"/>
    <w:rsid w:val="00296ADC"/>
    <w:rsid w:val="00297206"/>
    <w:rsid w:val="00297CB5"/>
    <w:rsid w:val="002A02B1"/>
    <w:rsid w:val="002A1211"/>
    <w:rsid w:val="002A12DA"/>
    <w:rsid w:val="002A1929"/>
    <w:rsid w:val="002A50AE"/>
    <w:rsid w:val="002A521B"/>
    <w:rsid w:val="002A66E5"/>
    <w:rsid w:val="002B0323"/>
    <w:rsid w:val="002B1417"/>
    <w:rsid w:val="002B161A"/>
    <w:rsid w:val="002B16A7"/>
    <w:rsid w:val="002B38C1"/>
    <w:rsid w:val="002B3C79"/>
    <w:rsid w:val="002C0BE4"/>
    <w:rsid w:val="002C147F"/>
    <w:rsid w:val="002C1E4B"/>
    <w:rsid w:val="002C2769"/>
    <w:rsid w:val="002C2E1B"/>
    <w:rsid w:val="002C3AFC"/>
    <w:rsid w:val="002C4209"/>
    <w:rsid w:val="002D291F"/>
    <w:rsid w:val="002D374F"/>
    <w:rsid w:val="002D521E"/>
    <w:rsid w:val="002D5552"/>
    <w:rsid w:val="002D62CE"/>
    <w:rsid w:val="002D67D3"/>
    <w:rsid w:val="002D7462"/>
    <w:rsid w:val="002E001E"/>
    <w:rsid w:val="002E038B"/>
    <w:rsid w:val="002E1998"/>
    <w:rsid w:val="002E2CB1"/>
    <w:rsid w:val="002E2F01"/>
    <w:rsid w:val="002E41A9"/>
    <w:rsid w:val="002E6D7C"/>
    <w:rsid w:val="002E7E37"/>
    <w:rsid w:val="002F0E89"/>
    <w:rsid w:val="002F208B"/>
    <w:rsid w:val="002F2926"/>
    <w:rsid w:val="002F2993"/>
    <w:rsid w:val="002F52F7"/>
    <w:rsid w:val="002F6F32"/>
    <w:rsid w:val="003004FA"/>
    <w:rsid w:val="00303CD4"/>
    <w:rsid w:val="0030669E"/>
    <w:rsid w:val="0030795C"/>
    <w:rsid w:val="00313F81"/>
    <w:rsid w:val="00320667"/>
    <w:rsid w:val="003233EA"/>
    <w:rsid w:val="003262C4"/>
    <w:rsid w:val="00327466"/>
    <w:rsid w:val="003300BD"/>
    <w:rsid w:val="00336E8A"/>
    <w:rsid w:val="00337255"/>
    <w:rsid w:val="00337769"/>
    <w:rsid w:val="0033785B"/>
    <w:rsid w:val="0034210B"/>
    <w:rsid w:val="00342671"/>
    <w:rsid w:val="00342B0C"/>
    <w:rsid w:val="00343C87"/>
    <w:rsid w:val="003450AC"/>
    <w:rsid w:val="00351CED"/>
    <w:rsid w:val="0035330E"/>
    <w:rsid w:val="00353DC5"/>
    <w:rsid w:val="00360BC0"/>
    <w:rsid w:val="0036434E"/>
    <w:rsid w:val="003734D9"/>
    <w:rsid w:val="00375370"/>
    <w:rsid w:val="00380AA5"/>
    <w:rsid w:val="00381281"/>
    <w:rsid w:val="0038259F"/>
    <w:rsid w:val="00383855"/>
    <w:rsid w:val="00384233"/>
    <w:rsid w:val="003845DF"/>
    <w:rsid w:val="00387AAC"/>
    <w:rsid w:val="00397A3B"/>
    <w:rsid w:val="003A0533"/>
    <w:rsid w:val="003A1D88"/>
    <w:rsid w:val="003A5810"/>
    <w:rsid w:val="003A5F1D"/>
    <w:rsid w:val="003A67D8"/>
    <w:rsid w:val="003A68CB"/>
    <w:rsid w:val="003B3D1A"/>
    <w:rsid w:val="003B551F"/>
    <w:rsid w:val="003B5C68"/>
    <w:rsid w:val="003C1731"/>
    <w:rsid w:val="003C17BB"/>
    <w:rsid w:val="003C27E2"/>
    <w:rsid w:val="003C3CC4"/>
    <w:rsid w:val="003C469B"/>
    <w:rsid w:val="003C7C1B"/>
    <w:rsid w:val="003D0D9C"/>
    <w:rsid w:val="003D17FB"/>
    <w:rsid w:val="003D2652"/>
    <w:rsid w:val="003D2B5A"/>
    <w:rsid w:val="003D3C6D"/>
    <w:rsid w:val="003D5D9E"/>
    <w:rsid w:val="003D70C7"/>
    <w:rsid w:val="003E0987"/>
    <w:rsid w:val="003E0F3F"/>
    <w:rsid w:val="003E14DC"/>
    <w:rsid w:val="003E19F9"/>
    <w:rsid w:val="003E1AC6"/>
    <w:rsid w:val="003E37B6"/>
    <w:rsid w:val="003E3CF0"/>
    <w:rsid w:val="003E4D00"/>
    <w:rsid w:val="003E7795"/>
    <w:rsid w:val="003F0176"/>
    <w:rsid w:val="003F0791"/>
    <w:rsid w:val="003F0DE2"/>
    <w:rsid w:val="003F4615"/>
    <w:rsid w:val="003F4678"/>
    <w:rsid w:val="004003DB"/>
    <w:rsid w:val="00401788"/>
    <w:rsid w:val="00402E02"/>
    <w:rsid w:val="00402F1C"/>
    <w:rsid w:val="00407E7F"/>
    <w:rsid w:val="00411636"/>
    <w:rsid w:val="00411B7D"/>
    <w:rsid w:val="00416267"/>
    <w:rsid w:val="00416788"/>
    <w:rsid w:val="0042039D"/>
    <w:rsid w:val="00421E99"/>
    <w:rsid w:val="004223ED"/>
    <w:rsid w:val="00424406"/>
    <w:rsid w:val="004252F4"/>
    <w:rsid w:val="00425C5C"/>
    <w:rsid w:val="004265BE"/>
    <w:rsid w:val="00431975"/>
    <w:rsid w:val="00433093"/>
    <w:rsid w:val="004339D6"/>
    <w:rsid w:val="00435303"/>
    <w:rsid w:val="0044217F"/>
    <w:rsid w:val="004438AC"/>
    <w:rsid w:val="00444B74"/>
    <w:rsid w:val="00445F6A"/>
    <w:rsid w:val="0044750A"/>
    <w:rsid w:val="00447F86"/>
    <w:rsid w:val="00450AEF"/>
    <w:rsid w:val="0045454F"/>
    <w:rsid w:val="0045567D"/>
    <w:rsid w:val="004562F3"/>
    <w:rsid w:val="004622D6"/>
    <w:rsid w:val="004624F7"/>
    <w:rsid w:val="00462C1E"/>
    <w:rsid w:val="004642D9"/>
    <w:rsid w:val="00466AF8"/>
    <w:rsid w:val="00467B74"/>
    <w:rsid w:val="00467CE7"/>
    <w:rsid w:val="0047130C"/>
    <w:rsid w:val="00473D7E"/>
    <w:rsid w:val="004753EA"/>
    <w:rsid w:val="0048437F"/>
    <w:rsid w:val="0048744E"/>
    <w:rsid w:val="00495969"/>
    <w:rsid w:val="00497959"/>
    <w:rsid w:val="004A0ED4"/>
    <w:rsid w:val="004A1736"/>
    <w:rsid w:val="004A1BC5"/>
    <w:rsid w:val="004A3278"/>
    <w:rsid w:val="004A4B45"/>
    <w:rsid w:val="004A58E5"/>
    <w:rsid w:val="004A6A7C"/>
    <w:rsid w:val="004A6D7F"/>
    <w:rsid w:val="004A7DA8"/>
    <w:rsid w:val="004B17FB"/>
    <w:rsid w:val="004B3359"/>
    <w:rsid w:val="004B38F6"/>
    <w:rsid w:val="004C26DA"/>
    <w:rsid w:val="004C2CBD"/>
    <w:rsid w:val="004C2D38"/>
    <w:rsid w:val="004C6084"/>
    <w:rsid w:val="004C6C62"/>
    <w:rsid w:val="004D0DC8"/>
    <w:rsid w:val="004D181B"/>
    <w:rsid w:val="004D1D34"/>
    <w:rsid w:val="004D1FE3"/>
    <w:rsid w:val="004D3380"/>
    <w:rsid w:val="004D7430"/>
    <w:rsid w:val="004E0042"/>
    <w:rsid w:val="004E06CD"/>
    <w:rsid w:val="004E0750"/>
    <w:rsid w:val="004E169F"/>
    <w:rsid w:val="004E18F2"/>
    <w:rsid w:val="004E2765"/>
    <w:rsid w:val="004E38D4"/>
    <w:rsid w:val="004E5861"/>
    <w:rsid w:val="004E5EEB"/>
    <w:rsid w:val="004F16FA"/>
    <w:rsid w:val="004F4210"/>
    <w:rsid w:val="004F6546"/>
    <w:rsid w:val="00504AE4"/>
    <w:rsid w:val="00505381"/>
    <w:rsid w:val="005062D4"/>
    <w:rsid w:val="0050706D"/>
    <w:rsid w:val="005071B9"/>
    <w:rsid w:val="00507D3A"/>
    <w:rsid w:val="00507DED"/>
    <w:rsid w:val="00510A99"/>
    <w:rsid w:val="00512BE7"/>
    <w:rsid w:val="005138A5"/>
    <w:rsid w:val="00515751"/>
    <w:rsid w:val="00520281"/>
    <w:rsid w:val="005219FC"/>
    <w:rsid w:val="00521C5A"/>
    <w:rsid w:val="00521CCB"/>
    <w:rsid w:val="005234AB"/>
    <w:rsid w:val="005266C3"/>
    <w:rsid w:val="00527D0A"/>
    <w:rsid w:val="005316C5"/>
    <w:rsid w:val="00537ECB"/>
    <w:rsid w:val="005410C1"/>
    <w:rsid w:val="005520BC"/>
    <w:rsid w:val="00552F86"/>
    <w:rsid w:val="005532C6"/>
    <w:rsid w:val="005559C1"/>
    <w:rsid w:val="00561030"/>
    <w:rsid w:val="00562DF0"/>
    <w:rsid w:val="005634B4"/>
    <w:rsid w:val="0056463F"/>
    <w:rsid w:val="005646CD"/>
    <w:rsid w:val="0056489B"/>
    <w:rsid w:val="00570151"/>
    <w:rsid w:val="005743DF"/>
    <w:rsid w:val="00582037"/>
    <w:rsid w:val="00583BF3"/>
    <w:rsid w:val="00584EA0"/>
    <w:rsid w:val="00585314"/>
    <w:rsid w:val="00585FC6"/>
    <w:rsid w:val="00586756"/>
    <w:rsid w:val="005915AE"/>
    <w:rsid w:val="0059331F"/>
    <w:rsid w:val="00593C4E"/>
    <w:rsid w:val="005943E4"/>
    <w:rsid w:val="00594996"/>
    <w:rsid w:val="00595909"/>
    <w:rsid w:val="005963C4"/>
    <w:rsid w:val="005A22A5"/>
    <w:rsid w:val="005A647D"/>
    <w:rsid w:val="005B158F"/>
    <w:rsid w:val="005B1BD1"/>
    <w:rsid w:val="005B3A1A"/>
    <w:rsid w:val="005B4808"/>
    <w:rsid w:val="005B5231"/>
    <w:rsid w:val="005C317B"/>
    <w:rsid w:val="005C3BCC"/>
    <w:rsid w:val="005C3C53"/>
    <w:rsid w:val="005C3D26"/>
    <w:rsid w:val="005C76E3"/>
    <w:rsid w:val="005D1997"/>
    <w:rsid w:val="005D32BE"/>
    <w:rsid w:val="005D65FE"/>
    <w:rsid w:val="005D7DCC"/>
    <w:rsid w:val="005E3C4D"/>
    <w:rsid w:val="005E3E4E"/>
    <w:rsid w:val="005F08D9"/>
    <w:rsid w:val="005F110C"/>
    <w:rsid w:val="005F36C3"/>
    <w:rsid w:val="005F4740"/>
    <w:rsid w:val="005F59AA"/>
    <w:rsid w:val="0060327D"/>
    <w:rsid w:val="00603D3A"/>
    <w:rsid w:val="00606ED1"/>
    <w:rsid w:val="0060777F"/>
    <w:rsid w:val="00607D8E"/>
    <w:rsid w:val="00610149"/>
    <w:rsid w:val="0061259C"/>
    <w:rsid w:val="00616063"/>
    <w:rsid w:val="00616A8F"/>
    <w:rsid w:val="0062006A"/>
    <w:rsid w:val="00620692"/>
    <w:rsid w:val="00622A8D"/>
    <w:rsid w:val="0062348C"/>
    <w:rsid w:val="006330DA"/>
    <w:rsid w:val="006367D6"/>
    <w:rsid w:val="00640006"/>
    <w:rsid w:val="0064041E"/>
    <w:rsid w:val="00640B02"/>
    <w:rsid w:val="00644F41"/>
    <w:rsid w:val="006454C7"/>
    <w:rsid w:val="006458A1"/>
    <w:rsid w:val="0064638E"/>
    <w:rsid w:val="00647F38"/>
    <w:rsid w:val="00652DDC"/>
    <w:rsid w:val="00656D2E"/>
    <w:rsid w:val="0065754D"/>
    <w:rsid w:val="00662B82"/>
    <w:rsid w:val="00663A07"/>
    <w:rsid w:val="00663EB2"/>
    <w:rsid w:val="00664625"/>
    <w:rsid w:val="00665F53"/>
    <w:rsid w:val="006666F0"/>
    <w:rsid w:val="0067290D"/>
    <w:rsid w:val="006761D1"/>
    <w:rsid w:val="00677B63"/>
    <w:rsid w:val="0068065E"/>
    <w:rsid w:val="006818CB"/>
    <w:rsid w:val="00681DC4"/>
    <w:rsid w:val="00682690"/>
    <w:rsid w:val="00686747"/>
    <w:rsid w:val="006869E7"/>
    <w:rsid w:val="00687FC3"/>
    <w:rsid w:val="006909B3"/>
    <w:rsid w:val="006910B9"/>
    <w:rsid w:val="00691B1E"/>
    <w:rsid w:val="00693793"/>
    <w:rsid w:val="00693A71"/>
    <w:rsid w:val="00693D43"/>
    <w:rsid w:val="006A0D5B"/>
    <w:rsid w:val="006A261D"/>
    <w:rsid w:val="006A35DD"/>
    <w:rsid w:val="006A3CDA"/>
    <w:rsid w:val="006A3D01"/>
    <w:rsid w:val="006A780A"/>
    <w:rsid w:val="006A7FC2"/>
    <w:rsid w:val="006B0C33"/>
    <w:rsid w:val="006B3A4B"/>
    <w:rsid w:val="006B6CB3"/>
    <w:rsid w:val="006C1340"/>
    <w:rsid w:val="006C1E76"/>
    <w:rsid w:val="006C2813"/>
    <w:rsid w:val="006C2EEC"/>
    <w:rsid w:val="006C3EE5"/>
    <w:rsid w:val="006C3FCD"/>
    <w:rsid w:val="006C4497"/>
    <w:rsid w:val="006C5560"/>
    <w:rsid w:val="006C5BC4"/>
    <w:rsid w:val="006C643E"/>
    <w:rsid w:val="006D0E06"/>
    <w:rsid w:val="006D118B"/>
    <w:rsid w:val="006D16CC"/>
    <w:rsid w:val="006D2526"/>
    <w:rsid w:val="006D33CC"/>
    <w:rsid w:val="006D41CA"/>
    <w:rsid w:val="006D6392"/>
    <w:rsid w:val="006E0022"/>
    <w:rsid w:val="006E281A"/>
    <w:rsid w:val="006E362E"/>
    <w:rsid w:val="006E546F"/>
    <w:rsid w:val="006E5981"/>
    <w:rsid w:val="006E6195"/>
    <w:rsid w:val="006E777C"/>
    <w:rsid w:val="006E7EA8"/>
    <w:rsid w:val="006F0D69"/>
    <w:rsid w:val="006F169C"/>
    <w:rsid w:val="006F297E"/>
    <w:rsid w:val="006F3439"/>
    <w:rsid w:val="006F50F5"/>
    <w:rsid w:val="006F5C6F"/>
    <w:rsid w:val="006F7CB3"/>
    <w:rsid w:val="007023B2"/>
    <w:rsid w:val="0070784B"/>
    <w:rsid w:val="00707B0F"/>
    <w:rsid w:val="00710AEE"/>
    <w:rsid w:val="00711370"/>
    <w:rsid w:val="00716958"/>
    <w:rsid w:val="007175A9"/>
    <w:rsid w:val="0072344E"/>
    <w:rsid w:val="00724799"/>
    <w:rsid w:val="00732675"/>
    <w:rsid w:val="00732F33"/>
    <w:rsid w:val="00733BB6"/>
    <w:rsid w:val="00734448"/>
    <w:rsid w:val="007345C6"/>
    <w:rsid w:val="0073698E"/>
    <w:rsid w:val="007369FD"/>
    <w:rsid w:val="00740F95"/>
    <w:rsid w:val="00742A2A"/>
    <w:rsid w:val="00742D15"/>
    <w:rsid w:val="00743223"/>
    <w:rsid w:val="00743F2B"/>
    <w:rsid w:val="007454B9"/>
    <w:rsid w:val="007467E3"/>
    <w:rsid w:val="00751B97"/>
    <w:rsid w:val="00752D37"/>
    <w:rsid w:val="007531C4"/>
    <w:rsid w:val="00754945"/>
    <w:rsid w:val="00755A69"/>
    <w:rsid w:val="00756E38"/>
    <w:rsid w:val="007577DB"/>
    <w:rsid w:val="00760E66"/>
    <w:rsid w:val="00762818"/>
    <w:rsid w:val="00763211"/>
    <w:rsid w:val="007641A7"/>
    <w:rsid w:val="0076540B"/>
    <w:rsid w:val="0077172B"/>
    <w:rsid w:val="00772BCA"/>
    <w:rsid w:val="0077668B"/>
    <w:rsid w:val="007776CE"/>
    <w:rsid w:val="00780046"/>
    <w:rsid w:val="00780A83"/>
    <w:rsid w:val="007819DD"/>
    <w:rsid w:val="00781D4D"/>
    <w:rsid w:val="00794B20"/>
    <w:rsid w:val="00796DE6"/>
    <w:rsid w:val="007A049D"/>
    <w:rsid w:val="007A63DD"/>
    <w:rsid w:val="007B03B8"/>
    <w:rsid w:val="007B20FE"/>
    <w:rsid w:val="007B3904"/>
    <w:rsid w:val="007B5FB6"/>
    <w:rsid w:val="007B730B"/>
    <w:rsid w:val="007C0D01"/>
    <w:rsid w:val="007C13F1"/>
    <w:rsid w:val="007C5286"/>
    <w:rsid w:val="007C5B4F"/>
    <w:rsid w:val="007C5FAE"/>
    <w:rsid w:val="007C68A4"/>
    <w:rsid w:val="007D0359"/>
    <w:rsid w:val="007D1CC1"/>
    <w:rsid w:val="007D302D"/>
    <w:rsid w:val="007E4792"/>
    <w:rsid w:val="007E6C0C"/>
    <w:rsid w:val="007F1006"/>
    <w:rsid w:val="007F15BC"/>
    <w:rsid w:val="007F6088"/>
    <w:rsid w:val="007F7683"/>
    <w:rsid w:val="007F7F9B"/>
    <w:rsid w:val="00800F49"/>
    <w:rsid w:val="00802574"/>
    <w:rsid w:val="00803042"/>
    <w:rsid w:val="008043C0"/>
    <w:rsid w:val="008044C2"/>
    <w:rsid w:val="00806A1D"/>
    <w:rsid w:val="00807516"/>
    <w:rsid w:val="0080756E"/>
    <w:rsid w:val="00807B89"/>
    <w:rsid w:val="008106C1"/>
    <w:rsid w:val="00810F2C"/>
    <w:rsid w:val="00813D71"/>
    <w:rsid w:val="00814EB6"/>
    <w:rsid w:val="00814EEE"/>
    <w:rsid w:val="00815B59"/>
    <w:rsid w:val="00823B41"/>
    <w:rsid w:val="008254F9"/>
    <w:rsid w:val="00825F78"/>
    <w:rsid w:val="00826D89"/>
    <w:rsid w:val="0082700C"/>
    <w:rsid w:val="00831855"/>
    <w:rsid w:val="008326EB"/>
    <w:rsid w:val="008327AB"/>
    <w:rsid w:val="00834459"/>
    <w:rsid w:val="00835736"/>
    <w:rsid w:val="00835D56"/>
    <w:rsid w:val="008375B1"/>
    <w:rsid w:val="008450A2"/>
    <w:rsid w:val="008520E2"/>
    <w:rsid w:val="00853537"/>
    <w:rsid w:val="0086000C"/>
    <w:rsid w:val="008603FF"/>
    <w:rsid w:val="00862B19"/>
    <w:rsid w:val="00862CD1"/>
    <w:rsid w:val="00862D9B"/>
    <w:rsid w:val="0086323A"/>
    <w:rsid w:val="00864F9E"/>
    <w:rsid w:val="00867C7F"/>
    <w:rsid w:val="00867FD1"/>
    <w:rsid w:val="0087248E"/>
    <w:rsid w:val="00872DBB"/>
    <w:rsid w:val="00873EEA"/>
    <w:rsid w:val="00875B30"/>
    <w:rsid w:val="00880FAF"/>
    <w:rsid w:val="008877E5"/>
    <w:rsid w:val="0088797B"/>
    <w:rsid w:val="00894893"/>
    <w:rsid w:val="008969F7"/>
    <w:rsid w:val="00896BFF"/>
    <w:rsid w:val="00897C17"/>
    <w:rsid w:val="008A0298"/>
    <w:rsid w:val="008A1F47"/>
    <w:rsid w:val="008A6F64"/>
    <w:rsid w:val="008B0557"/>
    <w:rsid w:val="008B1EDB"/>
    <w:rsid w:val="008B4110"/>
    <w:rsid w:val="008B41E5"/>
    <w:rsid w:val="008B4594"/>
    <w:rsid w:val="008B513E"/>
    <w:rsid w:val="008B6BA7"/>
    <w:rsid w:val="008C20AC"/>
    <w:rsid w:val="008C3C5D"/>
    <w:rsid w:val="008D1C45"/>
    <w:rsid w:val="008D1DE2"/>
    <w:rsid w:val="008D5EA6"/>
    <w:rsid w:val="008D6976"/>
    <w:rsid w:val="008D7966"/>
    <w:rsid w:val="008E0BDC"/>
    <w:rsid w:val="008E2748"/>
    <w:rsid w:val="008E37C3"/>
    <w:rsid w:val="008E6310"/>
    <w:rsid w:val="008E76B2"/>
    <w:rsid w:val="008F22DF"/>
    <w:rsid w:val="008F348D"/>
    <w:rsid w:val="008F68E6"/>
    <w:rsid w:val="009042B2"/>
    <w:rsid w:val="00905EE7"/>
    <w:rsid w:val="00907414"/>
    <w:rsid w:val="009078A0"/>
    <w:rsid w:val="00907D31"/>
    <w:rsid w:val="009148B4"/>
    <w:rsid w:val="009173AC"/>
    <w:rsid w:val="00924284"/>
    <w:rsid w:val="00930132"/>
    <w:rsid w:val="00930D4E"/>
    <w:rsid w:val="00932857"/>
    <w:rsid w:val="00934F89"/>
    <w:rsid w:val="009363FF"/>
    <w:rsid w:val="0093688A"/>
    <w:rsid w:val="00943208"/>
    <w:rsid w:val="00943667"/>
    <w:rsid w:val="00944B83"/>
    <w:rsid w:val="00944E01"/>
    <w:rsid w:val="00950CB7"/>
    <w:rsid w:val="00951EA7"/>
    <w:rsid w:val="009527AE"/>
    <w:rsid w:val="0095289A"/>
    <w:rsid w:val="00953AB2"/>
    <w:rsid w:val="0095480D"/>
    <w:rsid w:val="00957C0B"/>
    <w:rsid w:val="009643B7"/>
    <w:rsid w:val="0096683E"/>
    <w:rsid w:val="009673AA"/>
    <w:rsid w:val="009720E5"/>
    <w:rsid w:val="00973C07"/>
    <w:rsid w:val="0097559E"/>
    <w:rsid w:val="009805D1"/>
    <w:rsid w:val="00983A0C"/>
    <w:rsid w:val="0098562A"/>
    <w:rsid w:val="00985941"/>
    <w:rsid w:val="009875F1"/>
    <w:rsid w:val="009939C2"/>
    <w:rsid w:val="009949CF"/>
    <w:rsid w:val="009951D1"/>
    <w:rsid w:val="009967DA"/>
    <w:rsid w:val="00996A28"/>
    <w:rsid w:val="009A1343"/>
    <w:rsid w:val="009A244B"/>
    <w:rsid w:val="009A3301"/>
    <w:rsid w:val="009A4CF8"/>
    <w:rsid w:val="009A7E7C"/>
    <w:rsid w:val="009B08C9"/>
    <w:rsid w:val="009B2BD5"/>
    <w:rsid w:val="009B626A"/>
    <w:rsid w:val="009B6A74"/>
    <w:rsid w:val="009B6FC8"/>
    <w:rsid w:val="009C0985"/>
    <w:rsid w:val="009C6862"/>
    <w:rsid w:val="009C69D1"/>
    <w:rsid w:val="009D04F8"/>
    <w:rsid w:val="009D18FC"/>
    <w:rsid w:val="009D27F9"/>
    <w:rsid w:val="009D5542"/>
    <w:rsid w:val="009D5614"/>
    <w:rsid w:val="009D6BAB"/>
    <w:rsid w:val="009D7365"/>
    <w:rsid w:val="009E0D5D"/>
    <w:rsid w:val="009E0E0C"/>
    <w:rsid w:val="009E3ABE"/>
    <w:rsid w:val="009E5530"/>
    <w:rsid w:val="009F1238"/>
    <w:rsid w:val="009F1578"/>
    <w:rsid w:val="009F3EB9"/>
    <w:rsid w:val="009F4403"/>
    <w:rsid w:val="009F5E32"/>
    <w:rsid w:val="00A002B2"/>
    <w:rsid w:val="00A0390D"/>
    <w:rsid w:val="00A040B2"/>
    <w:rsid w:val="00A049AD"/>
    <w:rsid w:val="00A05877"/>
    <w:rsid w:val="00A05B14"/>
    <w:rsid w:val="00A05CB3"/>
    <w:rsid w:val="00A10C8D"/>
    <w:rsid w:val="00A11010"/>
    <w:rsid w:val="00A121BE"/>
    <w:rsid w:val="00A124BD"/>
    <w:rsid w:val="00A169E0"/>
    <w:rsid w:val="00A1740D"/>
    <w:rsid w:val="00A2102A"/>
    <w:rsid w:val="00A21250"/>
    <w:rsid w:val="00A237CC"/>
    <w:rsid w:val="00A239E9"/>
    <w:rsid w:val="00A23CEE"/>
    <w:rsid w:val="00A24E7E"/>
    <w:rsid w:val="00A26237"/>
    <w:rsid w:val="00A263AC"/>
    <w:rsid w:val="00A2648F"/>
    <w:rsid w:val="00A270F4"/>
    <w:rsid w:val="00A27D1A"/>
    <w:rsid w:val="00A305C0"/>
    <w:rsid w:val="00A30B24"/>
    <w:rsid w:val="00A30B2F"/>
    <w:rsid w:val="00A30CA2"/>
    <w:rsid w:val="00A311EC"/>
    <w:rsid w:val="00A31F47"/>
    <w:rsid w:val="00A3271C"/>
    <w:rsid w:val="00A3563F"/>
    <w:rsid w:val="00A36F6E"/>
    <w:rsid w:val="00A37834"/>
    <w:rsid w:val="00A379D0"/>
    <w:rsid w:val="00A406C2"/>
    <w:rsid w:val="00A40702"/>
    <w:rsid w:val="00A40E79"/>
    <w:rsid w:val="00A41D2C"/>
    <w:rsid w:val="00A438DA"/>
    <w:rsid w:val="00A45CA9"/>
    <w:rsid w:val="00A549C7"/>
    <w:rsid w:val="00A54B77"/>
    <w:rsid w:val="00A554CC"/>
    <w:rsid w:val="00A57BEE"/>
    <w:rsid w:val="00A60798"/>
    <w:rsid w:val="00A608A2"/>
    <w:rsid w:val="00A61580"/>
    <w:rsid w:val="00A62057"/>
    <w:rsid w:val="00A62BBD"/>
    <w:rsid w:val="00A6586C"/>
    <w:rsid w:val="00A6719F"/>
    <w:rsid w:val="00A72917"/>
    <w:rsid w:val="00A738DB"/>
    <w:rsid w:val="00A76331"/>
    <w:rsid w:val="00A80C22"/>
    <w:rsid w:val="00A8239E"/>
    <w:rsid w:val="00A82C5F"/>
    <w:rsid w:val="00A857C9"/>
    <w:rsid w:val="00A866B8"/>
    <w:rsid w:val="00A91389"/>
    <w:rsid w:val="00A9727D"/>
    <w:rsid w:val="00A97298"/>
    <w:rsid w:val="00A97EE7"/>
    <w:rsid w:val="00AB0BBD"/>
    <w:rsid w:val="00AB0D0F"/>
    <w:rsid w:val="00AB3114"/>
    <w:rsid w:val="00AB3259"/>
    <w:rsid w:val="00AB396A"/>
    <w:rsid w:val="00AB3C56"/>
    <w:rsid w:val="00AB3E03"/>
    <w:rsid w:val="00AB6449"/>
    <w:rsid w:val="00AB64A7"/>
    <w:rsid w:val="00AC04BB"/>
    <w:rsid w:val="00AC2041"/>
    <w:rsid w:val="00AC2C84"/>
    <w:rsid w:val="00AC4303"/>
    <w:rsid w:val="00AC4B47"/>
    <w:rsid w:val="00AC4CF0"/>
    <w:rsid w:val="00AC6350"/>
    <w:rsid w:val="00AC75DC"/>
    <w:rsid w:val="00AD10B5"/>
    <w:rsid w:val="00AD374F"/>
    <w:rsid w:val="00AD3B5E"/>
    <w:rsid w:val="00AD54DB"/>
    <w:rsid w:val="00AD587F"/>
    <w:rsid w:val="00AD5C27"/>
    <w:rsid w:val="00AE0D1B"/>
    <w:rsid w:val="00AE2702"/>
    <w:rsid w:val="00AE5580"/>
    <w:rsid w:val="00AE5EDF"/>
    <w:rsid w:val="00AE6670"/>
    <w:rsid w:val="00AE7D1E"/>
    <w:rsid w:val="00AF1121"/>
    <w:rsid w:val="00AF72A3"/>
    <w:rsid w:val="00AF74B0"/>
    <w:rsid w:val="00B014AA"/>
    <w:rsid w:val="00B01D4F"/>
    <w:rsid w:val="00B0201E"/>
    <w:rsid w:val="00B03FC2"/>
    <w:rsid w:val="00B044AE"/>
    <w:rsid w:val="00B0751F"/>
    <w:rsid w:val="00B10760"/>
    <w:rsid w:val="00B12ADD"/>
    <w:rsid w:val="00B146CB"/>
    <w:rsid w:val="00B14CCB"/>
    <w:rsid w:val="00B22EE5"/>
    <w:rsid w:val="00B232F6"/>
    <w:rsid w:val="00B23442"/>
    <w:rsid w:val="00B3112C"/>
    <w:rsid w:val="00B33686"/>
    <w:rsid w:val="00B36484"/>
    <w:rsid w:val="00B36C02"/>
    <w:rsid w:val="00B41440"/>
    <w:rsid w:val="00B41C57"/>
    <w:rsid w:val="00B42F1B"/>
    <w:rsid w:val="00B46E65"/>
    <w:rsid w:val="00B52143"/>
    <w:rsid w:val="00B543B5"/>
    <w:rsid w:val="00B57046"/>
    <w:rsid w:val="00B5778A"/>
    <w:rsid w:val="00B6203C"/>
    <w:rsid w:val="00B62340"/>
    <w:rsid w:val="00B64364"/>
    <w:rsid w:val="00B67DE1"/>
    <w:rsid w:val="00B71030"/>
    <w:rsid w:val="00B715FF"/>
    <w:rsid w:val="00B72F90"/>
    <w:rsid w:val="00B761FF"/>
    <w:rsid w:val="00B81FB3"/>
    <w:rsid w:val="00B846A2"/>
    <w:rsid w:val="00B848DC"/>
    <w:rsid w:val="00B9092E"/>
    <w:rsid w:val="00B93D2E"/>
    <w:rsid w:val="00B94743"/>
    <w:rsid w:val="00B949E0"/>
    <w:rsid w:val="00B94A36"/>
    <w:rsid w:val="00BA0249"/>
    <w:rsid w:val="00BA28F9"/>
    <w:rsid w:val="00BA2B7C"/>
    <w:rsid w:val="00BA2D5F"/>
    <w:rsid w:val="00BA2E9D"/>
    <w:rsid w:val="00BA32F1"/>
    <w:rsid w:val="00BA39FF"/>
    <w:rsid w:val="00BA6AD7"/>
    <w:rsid w:val="00BA7EF2"/>
    <w:rsid w:val="00BB03F1"/>
    <w:rsid w:val="00BB1DCF"/>
    <w:rsid w:val="00BB3E60"/>
    <w:rsid w:val="00BB4210"/>
    <w:rsid w:val="00BB429E"/>
    <w:rsid w:val="00BB7373"/>
    <w:rsid w:val="00BC05DE"/>
    <w:rsid w:val="00BC2986"/>
    <w:rsid w:val="00BC4040"/>
    <w:rsid w:val="00BC4754"/>
    <w:rsid w:val="00BC488E"/>
    <w:rsid w:val="00BC4E55"/>
    <w:rsid w:val="00BD37B2"/>
    <w:rsid w:val="00BD5153"/>
    <w:rsid w:val="00BD68A2"/>
    <w:rsid w:val="00BE29D9"/>
    <w:rsid w:val="00BE2A20"/>
    <w:rsid w:val="00BE2DF2"/>
    <w:rsid w:val="00BE55DC"/>
    <w:rsid w:val="00BE5DF1"/>
    <w:rsid w:val="00BE6AD3"/>
    <w:rsid w:val="00BF4B63"/>
    <w:rsid w:val="00BF5F0E"/>
    <w:rsid w:val="00BF6B6C"/>
    <w:rsid w:val="00BF6D6A"/>
    <w:rsid w:val="00C02412"/>
    <w:rsid w:val="00C02EA8"/>
    <w:rsid w:val="00C05C65"/>
    <w:rsid w:val="00C064C8"/>
    <w:rsid w:val="00C10D9D"/>
    <w:rsid w:val="00C115C2"/>
    <w:rsid w:val="00C11AB0"/>
    <w:rsid w:val="00C11EC4"/>
    <w:rsid w:val="00C1216D"/>
    <w:rsid w:val="00C1257C"/>
    <w:rsid w:val="00C127FA"/>
    <w:rsid w:val="00C162F2"/>
    <w:rsid w:val="00C16318"/>
    <w:rsid w:val="00C17953"/>
    <w:rsid w:val="00C2062C"/>
    <w:rsid w:val="00C207DA"/>
    <w:rsid w:val="00C213C2"/>
    <w:rsid w:val="00C215D4"/>
    <w:rsid w:val="00C217DF"/>
    <w:rsid w:val="00C21834"/>
    <w:rsid w:val="00C227EC"/>
    <w:rsid w:val="00C238D8"/>
    <w:rsid w:val="00C24FE9"/>
    <w:rsid w:val="00C31329"/>
    <w:rsid w:val="00C31441"/>
    <w:rsid w:val="00C328CC"/>
    <w:rsid w:val="00C34E35"/>
    <w:rsid w:val="00C409A5"/>
    <w:rsid w:val="00C45B5E"/>
    <w:rsid w:val="00C46294"/>
    <w:rsid w:val="00C46F97"/>
    <w:rsid w:val="00C471C4"/>
    <w:rsid w:val="00C50FF3"/>
    <w:rsid w:val="00C51F57"/>
    <w:rsid w:val="00C5647F"/>
    <w:rsid w:val="00C56A46"/>
    <w:rsid w:val="00C57E87"/>
    <w:rsid w:val="00C642C5"/>
    <w:rsid w:val="00C646A8"/>
    <w:rsid w:val="00C6547C"/>
    <w:rsid w:val="00C66147"/>
    <w:rsid w:val="00C663C0"/>
    <w:rsid w:val="00C671BA"/>
    <w:rsid w:val="00C72800"/>
    <w:rsid w:val="00C76B8E"/>
    <w:rsid w:val="00C77E67"/>
    <w:rsid w:val="00C80AA9"/>
    <w:rsid w:val="00C80B2D"/>
    <w:rsid w:val="00C80DDE"/>
    <w:rsid w:val="00C8199C"/>
    <w:rsid w:val="00C840D8"/>
    <w:rsid w:val="00C84E10"/>
    <w:rsid w:val="00C85349"/>
    <w:rsid w:val="00C86AF1"/>
    <w:rsid w:val="00C87D99"/>
    <w:rsid w:val="00C9029F"/>
    <w:rsid w:val="00C9039F"/>
    <w:rsid w:val="00C92477"/>
    <w:rsid w:val="00C92562"/>
    <w:rsid w:val="00C92A32"/>
    <w:rsid w:val="00C9668B"/>
    <w:rsid w:val="00C96C49"/>
    <w:rsid w:val="00CA27B7"/>
    <w:rsid w:val="00CA2E95"/>
    <w:rsid w:val="00CA7572"/>
    <w:rsid w:val="00CA7F74"/>
    <w:rsid w:val="00CB0C32"/>
    <w:rsid w:val="00CB1248"/>
    <w:rsid w:val="00CB16D2"/>
    <w:rsid w:val="00CB1DFC"/>
    <w:rsid w:val="00CB2A32"/>
    <w:rsid w:val="00CB2D65"/>
    <w:rsid w:val="00CB6246"/>
    <w:rsid w:val="00CC0759"/>
    <w:rsid w:val="00CC3160"/>
    <w:rsid w:val="00CC4243"/>
    <w:rsid w:val="00CD2DBF"/>
    <w:rsid w:val="00CD4E24"/>
    <w:rsid w:val="00CD4F84"/>
    <w:rsid w:val="00CD6207"/>
    <w:rsid w:val="00CD72A6"/>
    <w:rsid w:val="00CE39B8"/>
    <w:rsid w:val="00CE4A83"/>
    <w:rsid w:val="00CE525E"/>
    <w:rsid w:val="00CF1591"/>
    <w:rsid w:val="00CF1689"/>
    <w:rsid w:val="00CF4344"/>
    <w:rsid w:val="00CF5164"/>
    <w:rsid w:val="00CF55E6"/>
    <w:rsid w:val="00CF5B88"/>
    <w:rsid w:val="00CF72D7"/>
    <w:rsid w:val="00D00689"/>
    <w:rsid w:val="00D014A6"/>
    <w:rsid w:val="00D015A4"/>
    <w:rsid w:val="00D02F69"/>
    <w:rsid w:val="00D044FB"/>
    <w:rsid w:val="00D108BF"/>
    <w:rsid w:val="00D1092B"/>
    <w:rsid w:val="00D11DB8"/>
    <w:rsid w:val="00D1423F"/>
    <w:rsid w:val="00D167D0"/>
    <w:rsid w:val="00D177A0"/>
    <w:rsid w:val="00D20092"/>
    <w:rsid w:val="00D2069B"/>
    <w:rsid w:val="00D2293A"/>
    <w:rsid w:val="00D22E65"/>
    <w:rsid w:val="00D22EAF"/>
    <w:rsid w:val="00D2430E"/>
    <w:rsid w:val="00D251B7"/>
    <w:rsid w:val="00D2717B"/>
    <w:rsid w:val="00D3078B"/>
    <w:rsid w:val="00D3118E"/>
    <w:rsid w:val="00D34BC5"/>
    <w:rsid w:val="00D36BA1"/>
    <w:rsid w:val="00D36C76"/>
    <w:rsid w:val="00D37F07"/>
    <w:rsid w:val="00D41BB8"/>
    <w:rsid w:val="00D432BC"/>
    <w:rsid w:val="00D444E3"/>
    <w:rsid w:val="00D52AFA"/>
    <w:rsid w:val="00D5566B"/>
    <w:rsid w:val="00D57CA5"/>
    <w:rsid w:val="00D605D2"/>
    <w:rsid w:val="00D6102D"/>
    <w:rsid w:val="00D63381"/>
    <w:rsid w:val="00D643F8"/>
    <w:rsid w:val="00D67892"/>
    <w:rsid w:val="00D7119E"/>
    <w:rsid w:val="00D71BF6"/>
    <w:rsid w:val="00D7590F"/>
    <w:rsid w:val="00D75ED8"/>
    <w:rsid w:val="00D85001"/>
    <w:rsid w:val="00D85656"/>
    <w:rsid w:val="00DA0143"/>
    <w:rsid w:val="00DA0378"/>
    <w:rsid w:val="00DA0EA5"/>
    <w:rsid w:val="00DA1664"/>
    <w:rsid w:val="00DA258B"/>
    <w:rsid w:val="00DA33AC"/>
    <w:rsid w:val="00DA4D73"/>
    <w:rsid w:val="00DB13D3"/>
    <w:rsid w:val="00DB2247"/>
    <w:rsid w:val="00DB62E8"/>
    <w:rsid w:val="00DB65A3"/>
    <w:rsid w:val="00DB78FC"/>
    <w:rsid w:val="00DB7E4B"/>
    <w:rsid w:val="00DC0F37"/>
    <w:rsid w:val="00DC18AE"/>
    <w:rsid w:val="00DC57CD"/>
    <w:rsid w:val="00DC58F4"/>
    <w:rsid w:val="00DC5BFB"/>
    <w:rsid w:val="00DC6912"/>
    <w:rsid w:val="00DD3EA6"/>
    <w:rsid w:val="00DD588C"/>
    <w:rsid w:val="00DD5CF9"/>
    <w:rsid w:val="00DD7706"/>
    <w:rsid w:val="00DE0022"/>
    <w:rsid w:val="00DE019E"/>
    <w:rsid w:val="00DE08B3"/>
    <w:rsid w:val="00DE1D8B"/>
    <w:rsid w:val="00DE251A"/>
    <w:rsid w:val="00DE29A8"/>
    <w:rsid w:val="00DE2C1D"/>
    <w:rsid w:val="00DE4533"/>
    <w:rsid w:val="00DE49E1"/>
    <w:rsid w:val="00DE596C"/>
    <w:rsid w:val="00DE7206"/>
    <w:rsid w:val="00DF0CB9"/>
    <w:rsid w:val="00DF172C"/>
    <w:rsid w:val="00DF5286"/>
    <w:rsid w:val="00DF7FFC"/>
    <w:rsid w:val="00E01D1F"/>
    <w:rsid w:val="00E055E6"/>
    <w:rsid w:val="00E05B3F"/>
    <w:rsid w:val="00E06A9D"/>
    <w:rsid w:val="00E07146"/>
    <w:rsid w:val="00E0783E"/>
    <w:rsid w:val="00E15F80"/>
    <w:rsid w:val="00E206B7"/>
    <w:rsid w:val="00E23775"/>
    <w:rsid w:val="00E238C6"/>
    <w:rsid w:val="00E26DB0"/>
    <w:rsid w:val="00E277FE"/>
    <w:rsid w:val="00E315FC"/>
    <w:rsid w:val="00E345A7"/>
    <w:rsid w:val="00E352A5"/>
    <w:rsid w:val="00E364A7"/>
    <w:rsid w:val="00E36B78"/>
    <w:rsid w:val="00E40C21"/>
    <w:rsid w:val="00E40DD3"/>
    <w:rsid w:val="00E410F8"/>
    <w:rsid w:val="00E41313"/>
    <w:rsid w:val="00E433F1"/>
    <w:rsid w:val="00E442CC"/>
    <w:rsid w:val="00E46236"/>
    <w:rsid w:val="00E47469"/>
    <w:rsid w:val="00E5573E"/>
    <w:rsid w:val="00E570B7"/>
    <w:rsid w:val="00E573AC"/>
    <w:rsid w:val="00E579E2"/>
    <w:rsid w:val="00E6120F"/>
    <w:rsid w:val="00E63092"/>
    <w:rsid w:val="00E6329D"/>
    <w:rsid w:val="00E65AC2"/>
    <w:rsid w:val="00E66116"/>
    <w:rsid w:val="00E74653"/>
    <w:rsid w:val="00E7489D"/>
    <w:rsid w:val="00E753E2"/>
    <w:rsid w:val="00E7548B"/>
    <w:rsid w:val="00E75C04"/>
    <w:rsid w:val="00E768ED"/>
    <w:rsid w:val="00E76C1B"/>
    <w:rsid w:val="00E7711C"/>
    <w:rsid w:val="00E773FF"/>
    <w:rsid w:val="00E77A3D"/>
    <w:rsid w:val="00E80627"/>
    <w:rsid w:val="00E817BE"/>
    <w:rsid w:val="00E82472"/>
    <w:rsid w:val="00E93EE9"/>
    <w:rsid w:val="00E956CF"/>
    <w:rsid w:val="00EA114E"/>
    <w:rsid w:val="00EA1341"/>
    <w:rsid w:val="00EA1B2E"/>
    <w:rsid w:val="00EA1C66"/>
    <w:rsid w:val="00EA73F8"/>
    <w:rsid w:val="00EB09A8"/>
    <w:rsid w:val="00EB4D1D"/>
    <w:rsid w:val="00EC21BE"/>
    <w:rsid w:val="00EC3938"/>
    <w:rsid w:val="00EC4D13"/>
    <w:rsid w:val="00EC4F17"/>
    <w:rsid w:val="00EC643A"/>
    <w:rsid w:val="00EC6B5C"/>
    <w:rsid w:val="00ED244D"/>
    <w:rsid w:val="00ED7ED8"/>
    <w:rsid w:val="00EE0E86"/>
    <w:rsid w:val="00EE36E8"/>
    <w:rsid w:val="00EE49E7"/>
    <w:rsid w:val="00EE54B9"/>
    <w:rsid w:val="00EE5A67"/>
    <w:rsid w:val="00EF11B5"/>
    <w:rsid w:val="00EF4E2A"/>
    <w:rsid w:val="00EF53BF"/>
    <w:rsid w:val="00EF5E63"/>
    <w:rsid w:val="00F0134F"/>
    <w:rsid w:val="00F0366B"/>
    <w:rsid w:val="00F05DDD"/>
    <w:rsid w:val="00F06546"/>
    <w:rsid w:val="00F07DC3"/>
    <w:rsid w:val="00F07E01"/>
    <w:rsid w:val="00F1198E"/>
    <w:rsid w:val="00F12B0C"/>
    <w:rsid w:val="00F138F0"/>
    <w:rsid w:val="00F13AC6"/>
    <w:rsid w:val="00F14231"/>
    <w:rsid w:val="00F15CD5"/>
    <w:rsid w:val="00F16059"/>
    <w:rsid w:val="00F16393"/>
    <w:rsid w:val="00F20C42"/>
    <w:rsid w:val="00F210BE"/>
    <w:rsid w:val="00F21464"/>
    <w:rsid w:val="00F2533F"/>
    <w:rsid w:val="00F306EF"/>
    <w:rsid w:val="00F30EEE"/>
    <w:rsid w:val="00F3483C"/>
    <w:rsid w:val="00F348CF"/>
    <w:rsid w:val="00F35E47"/>
    <w:rsid w:val="00F36D7A"/>
    <w:rsid w:val="00F37592"/>
    <w:rsid w:val="00F400A4"/>
    <w:rsid w:val="00F400EF"/>
    <w:rsid w:val="00F41EF2"/>
    <w:rsid w:val="00F42218"/>
    <w:rsid w:val="00F43D14"/>
    <w:rsid w:val="00F4572A"/>
    <w:rsid w:val="00F45ABD"/>
    <w:rsid w:val="00F46CFF"/>
    <w:rsid w:val="00F47F82"/>
    <w:rsid w:val="00F515E6"/>
    <w:rsid w:val="00F52BFF"/>
    <w:rsid w:val="00F538A1"/>
    <w:rsid w:val="00F53E64"/>
    <w:rsid w:val="00F540B3"/>
    <w:rsid w:val="00F545EB"/>
    <w:rsid w:val="00F56218"/>
    <w:rsid w:val="00F56615"/>
    <w:rsid w:val="00F601E2"/>
    <w:rsid w:val="00F676E2"/>
    <w:rsid w:val="00F71556"/>
    <w:rsid w:val="00F72E68"/>
    <w:rsid w:val="00F73845"/>
    <w:rsid w:val="00F76366"/>
    <w:rsid w:val="00F82439"/>
    <w:rsid w:val="00F834B3"/>
    <w:rsid w:val="00F85300"/>
    <w:rsid w:val="00F85356"/>
    <w:rsid w:val="00F866F9"/>
    <w:rsid w:val="00F87AFD"/>
    <w:rsid w:val="00F90A25"/>
    <w:rsid w:val="00F90B8D"/>
    <w:rsid w:val="00F92588"/>
    <w:rsid w:val="00F92885"/>
    <w:rsid w:val="00F93B56"/>
    <w:rsid w:val="00F95BEA"/>
    <w:rsid w:val="00FA1B12"/>
    <w:rsid w:val="00FA1ED8"/>
    <w:rsid w:val="00FA35D8"/>
    <w:rsid w:val="00FB0353"/>
    <w:rsid w:val="00FB5748"/>
    <w:rsid w:val="00FB5DAB"/>
    <w:rsid w:val="00FB67B6"/>
    <w:rsid w:val="00FB6ACA"/>
    <w:rsid w:val="00FC2C83"/>
    <w:rsid w:val="00FC3883"/>
    <w:rsid w:val="00FC3E07"/>
    <w:rsid w:val="00FC6061"/>
    <w:rsid w:val="00FD0EEF"/>
    <w:rsid w:val="00FD2908"/>
    <w:rsid w:val="00FD3AC0"/>
    <w:rsid w:val="00FD59F8"/>
    <w:rsid w:val="00FD662D"/>
    <w:rsid w:val="00FD7896"/>
    <w:rsid w:val="00FE0D43"/>
    <w:rsid w:val="00FE13CD"/>
    <w:rsid w:val="00FE19A6"/>
    <w:rsid w:val="00FE1E79"/>
    <w:rsid w:val="00FE5BFC"/>
    <w:rsid w:val="00FF2332"/>
    <w:rsid w:val="00FF302B"/>
    <w:rsid w:val="00FF4975"/>
    <w:rsid w:val="00FF4A25"/>
    <w:rsid w:val="00FF4D6B"/>
    <w:rsid w:val="00FF52CA"/>
    <w:rsid w:val="00FF5897"/>
    <w:rsid w:val="00FF5FE1"/>
    <w:rsid w:val="00FF6A46"/>
    <w:rsid w:val="00FF7A53"/>
    <w:rsid w:val="00FF7B07"/>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BFC79"/>
  <w15:docId w15:val="{A0BD648C-0CC4-4C8E-96B4-FFEBEDCB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EC4"/>
  </w:style>
  <w:style w:type="paragraph" w:styleId="Heading1">
    <w:name w:val="heading 1"/>
    <w:basedOn w:val="Normal"/>
    <w:next w:val="Normal"/>
    <w:link w:val="Heading1Char"/>
    <w:autoRedefine/>
    <w:uiPriority w:val="9"/>
    <w:qFormat/>
    <w:rsid w:val="007D302D"/>
    <w:pPr>
      <w:keepNext/>
      <w:keepLines/>
      <w:spacing w:before="360"/>
      <w:contextualSpacing/>
      <w:outlineLvl w:val="0"/>
    </w:pPr>
    <w:rPr>
      <w:rFonts w:asciiTheme="majorHAnsi" w:hAnsiTheme="majorHAnsi"/>
      <w:b/>
      <w:sz w:val="30"/>
      <w:szCs w:val="44"/>
    </w:rPr>
  </w:style>
  <w:style w:type="paragraph" w:styleId="Heading2">
    <w:name w:val="heading 2"/>
    <w:basedOn w:val="Normal"/>
    <w:next w:val="Normal"/>
    <w:link w:val="Heading2Char"/>
    <w:autoRedefine/>
    <w:uiPriority w:val="9"/>
    <w:qFormat/>
    <w:rsid w:val="007D302D"/>
    <w:pPr>
      <w:keepNext/>
      <w:keepLines/>
      <w:spacing w:before="240"/>
      <w:contextualSpacing/>
      <w:outlineLvl w:val="1"/>
    </w:pPr>
    <w:rPr>
      <w:rFonts w:asciiTheme="majorHAnsi" w:hAnsiTheme="majorHAnsi"/>
      <w:b/>
      <w:sz w:val="26"/>
      <w:szCs w:val="28"/>
    </w:rPr>
  </w:style>
  <w:style w:type="paragraph" w:styleId="Heading3">
    <w:name w:val="heading 3"/>
    <w:basedOn w:val="Normal"/>
    <w:next w:val="Normal"/>
    <w:link w:val="Heading3Char"/>
    <w:uiPriority w:val="9"/>
    <w:qFormat/>
    <w:rsid w:val="00A2648F"/>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7D302D"/>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rsid w:val="00A2648F"/>
    <w:pPr>
      <w:keepNext/>
      <w:keepLines/>
      <w:spacing w:before="240"/>
      <w:contextualSpacing/>
      <w:outlineLvl w:val="4"/>
    </w:pPr>
    <w:rPr>
      <w:rFonts w:asciiTheme="majorHAnsi" w:eastAsiaTheme="majorEastAsia" w:hAnsiTheme="majorHAnsi" w:cstheme="majorBidi"/>
      <w:b/>
      <w:i/>
      <w:color w:val="auto"/>
    </w:rPr>
  </w:style>
  <w:style w:type="paragraph" w:styleId="Heading6">
    <w:name w:val="heading 6"/>
    <w:basedOn w:val="Normal"/>
    <w:next w:val="Normal"/>
    <w:link w:val="Heading6Char"/>
    <w:uiPriority w:val="9"/>
    <w:rsid w:val="00A2648F"/>
    <w:pPr>
      <w:keepNext/>
      <w:keepLines/>
      <w:spacing w:before="240"/>
      <w:contextualSpacing/>
      <w:outlineLvl w:val="5"/>
    </w:pPr>
    <w:rPr>
      <w:rFonts w:asciiTheme="majorHAnsi" w:eastAsiaTheme="majorEastAsia" w:hAnsiTheme="majorHAnsi" w:cstheme="majorBidi"/>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77172B"/>
    <w:pPr>
      <w:spacing w:before="0" w:after="0" w:line="240" w:lineRule="auto"/>
      <w:ind w:right="567"/>
    </w:pPr>
    <w:rPr>
      <w:b/>
      <w:sz w:val="28"/>
      <w:szCs w:val="24"/>
    </w:rPr>
  </w:style>
  <w:style w:type="character" w:customStyle="1" w:styleId="SubtitleChar">
    <w:name w:val="Subtitle Char"/>
    <w:basedOn w:val="DefaultParagraphFont"/>
    <w:link w:val="Subtitle"/>
    <w:uiPriority w:val="18"/>
    <w:rsid w:val="0077172B"/>
    <w:rPr>
      <w:b/>
      <w:sz w:val="28"/>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C11EC4"/>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C11EC4"/>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uiPriority w:val="17"/>
    <w:rsid w:val="0077172B"/>
    <w:pPr>
      <w:spacing w:before="0" w:after="240" w:line="240" w:lineRule="auto"/>
      <w:ind w:right="567"/>
      <w:contextualSpacing/>
    </w:pPr>
    <w:rPr>
      <w:sz w:val="56"/>
      <w:szCs w:val="82"/>
    </w:rPr>
  </w:style>
  <w:style w:type="character" w:customStyle="1" w:styleId="TitleChar">
    <w:name w:val="Title Char"/>
    <w:basedOn w:val="DefaultParagraphFont"/>
    <w:link w:val="Title"/>
    <w:uiPriority w:val="17"/>
    <w:rsid w:val="0077172B"/>
    <w:rPr>
      <w:sz w:val="56"/>
      <w:szCs w:val="82"/>
    </w:rPr>
  </w:style>
  <w:style w:type="paragraph" w:customStyle="1" w:styleId="Address">
    <w:name w:val="Address"/>
    <w:basedOn w:val="Normal"/>
    <w:semiHidden/>
    <w:rsid w:val="00191178"/>
    <w:pPr>
      <w:spacing w:before="0" w:after="0"/>
    </w:pPr>
    <w:rPr>
      <w:b/>
      <w:color w:val="421A75" w:themeColor="accent1"/>
    </w:rPr>
  </w:style>
  <w:style w:type="character" w:customStyle="1" w:styleId="Heading1Char">
    <w:name w:val="Heading 1 Char"/>
    <w:basedOn w:val="DefaultParagraphFont"/>
    <w:link w:val="Heading1"/>
    <w:uiPriority w:val="9"/>
    <w:rsid w:val="007D302D"/>
    <w:rPr>
      <w:rFonts w:asciiTheme="majorHAnsi" w:hAnsiTheme="majorHAnsi"/>
      <w:b/>
      <w:sz w:val="30"/>
      <w:szCs w:val="44"/>
    </w:rPr>
  </w:style>
  <w:style w:type="character" w:customStyle="1" w:styleId="Heading2Char">
    <w:name w:val="Heading 2 Char"/>
    <w:basedOn w:val="DefaultParagraphFont"/>
    <w:link w:val="Heading2"/>
    <w:uiPriority w:val="9"/>
    <w:rsid w:val="007D302D"/>
    <w:rPr>
      <w:rFonts w:asciiTheme="majorHAnsi" w:hAnsiTheme="majorHAnsi"/>
      <w:b/>
      <w:sz w:val="26"/>
      <w:szCs w:val="28"/>
    </w:rPr>
  </w:style>
  <w:style w:type="character" w:customStyle="1" w:styleId="Heading3Char">
    <w:name w:val="Heading 3 Char"/>
    <w:basedOn w:val="DefaultParagraphFont"/>
    <w:link w:val="Heading3"/>
    <w:uiPriority w:val="9"/>
    <w:rsid w:val="00A2648F"/>
    <w:rPr>
      <w:rFonts w:asciiTheme="majorHAnsi" w:hAnsiTheme="majorHAnsi"/>
      <w:b/>
      <w:color w:val="auto"/>
      <w:sz w:val="22"/>
    </w:rPr>
  </w:style>
  <w:style w:type="paragraph" w:styleId="TOCHeading">
    <w:name w:val="TOC Heading"/>
    <w:basedOn w:val="Heading1"/>
    <w:next w:val="Normal"/>
    <w:uiPriority w:val="39"/>
    <w:rsid w:val="00FF52CA"/>
    <w:pPr>
      <w:spacing w:after="1080"/>
      <w:outlineLvl w:val="9"/>
    </w:pPr>
    <w:rPr>
      <w:rFonts w:eastAsiaTheme="majorEastAsia" w:cstheme="majorBidi"/>
      <w:bCs/>
      <w:sz w:val="64"/>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5F110C"/>
    <w:rPr>
      <w:b w:val="0"/>
      <w:color w:val="282EA0"/>
      <w:u w:val="single"/>
    </w:rPr>
  </w:style>
  <w:style w:type="paragraph" w:styleId="ListBullet">
    <w:name w:val="List Bullet"/>
    <w:basedOn w:val="Normal"/>
    <w:uiPriority w:val="2"/>
    <w:qFormat/>
    <w:rsid w:val="008B1EDB"/>
    <w:pPr>
      <w:numPr>
        <w:numId w:val="4"/>
      </w:numPr>
    </w:pPr>
    <w:rPr>
      <w:rFonts w:eastAsia="Times New Roman"/>
      <w:lang w:eastAsia="en-AU"/>
    </w:rPr>
  </w:style>
  <w:style w:type="paragraph" w:styleId="ListNumber">
    <w:name w:val="List Number"/>
    <w:basedOn w:val="Normal"/>
    <w:uiPriority w:val="2"/>
    <w:qFormat/>
    <w:rsid w:val="00F71556"/>
    <w:pPr>
      <w:numPr>
        <w:numId w:val="2"/>
      </w:numPr>
    </w:pPr>
    <w:rPr>
      <w:rFonts w:eastAsia="Times New Roman"/>
      <w:lang w:eastAsia="en-AU"/>
    </w:rPr>
  </w:style>
  <w:style w:type="table" w:customStyle="1" w:styleId="SQHTable">
    <w:name w:val="SQH Table"/>
    <w:basedOn w:val="TableNormal"/>
    <w:uiPriority w:val="99"/>
    <w:rsid w:val="00BA2E9D"/>
    <w:pPr>
      <w:spacing w:line="240" w:lineRule="auto"/>
    </w:pPr>
    <w:rPr>
      <w:sz w:val="20"/>
    </w:rPr>
    <w:tblPr>
      <w:tblStyleRowBandSize w:val="1"/>
      <w:tblBorders>
        <w:top w:val="single" w:sz="4" w:space="0" w:color="F0E8FE" w:themeColor="background2"/>
        <w:bottom w:val="single" w:sz="4" w:space="0" w:color="F0E8FE" w:themeColor="background2"/>
        <w:insideH w:val="single" w:sz="4" w:space="0" w:color="F0E8FE"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421A75" w:themeFill="accent1"/>
      </w:tcPr>
    </w:tblStylePr>
    <w:tblStylePr w:type="band2Horz">
      <w:tblPr/>
      <w:tcPr>
        <w:shd w:val="clear" w:color="auto" w:fill="F0E8FE"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311357" w:themeColor="accent1" w:themeShade="BF"/>
    </w:rPr>
    <w:tblPr>
      <w:tblStyleRowBandSize w:val="1"/>
      <w:tblStyleColBandSize w:val="1"/>
      <w:tblBorders>
        <w:top w:val="single" w:sz="8" w:space="0" w:color="421A75" w:themeColor="accent1"/>
        <w:bottom w:val="single" w:sz="8" w:space="0" w:color="421A75" w:themeColor="accent1"/>
      </w:tblBorders>
    </w:tblPr>
    <w:tblStylePr w:type="fir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la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B4EE" w:themeFill="accent1" w:themeFillTint="3F"/>
      </w:tcPr>
    </w:tblStylePr>
    <w:tblStylePr w:type="band1Horz">
      <w:tblPr/>
      <w:tcPr>
        <w:tcBorders>
          <w:left w:val="nil"/>
          <w:right w:val="nil"/>
          <w:insideH w:val="nil"/>
          <w:insideV w:val="nil"/>
        </w:tcBorders>
        <w:shd w:val="clear" w:color="auto" w:fill="CDB4EE"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1A7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1A75" w:themeFill="accent1"/>
      </w:tcPr>
    </w:tblStylePr>
    <w:tblStylePr w:type="lastCol">
      <w:rPr>
        <w:b/>
        <w:bCs/>
        <w:color w:val="FFFFFF" w:themeColor="background1"/>
      </w:rPr>
      <w:tblPr/>
      <w:tcPr>
        <w:tcBorders>
          <w:left w:val="nil"/>
          <w:right w:val="nil"/>
          <w:insideH w:val="nil"/>
          <w:insideV w:val="nil"/>
        </w:tcBorders>
        <w:shd w:val="clear" w:color="auto" w:fill="421A7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D3BBFD" w:themeColor="text2"/>
        <w:between w:val="single" w:sz="4" w:space="4" w:color="D3BBFD" w:themeColor="text2"/>
      </w:pBdr>
      <w:tabs>
        <w:tab w:val="right" w:pos="9174"/>
      </w:tabs>
      <w:spacing w:before="0" w:after="0" w:line="240" w:lineRule="auto"/>
    </w:pPr>
    <w:rPr>
      <w:noProof/>
    </w:rPr>
  </w:style>
  <w:style w:type="paragraph" w:styleId="ListBullet2">
    <w:name w:val="List Bullet 2"/>
    <w:basedOn w:val="Normal"/>
    <w:uiPriority w:val="2"/>
    <w:semiHidden/>
    <w:qFormat/>
    <w:rsid w:val="008B1EDB"/>
    <w:pPr>
      <w:numPr>
        <w:ilvl w:val="1"/>
        <w:numId w:val="4"/>
      </w:numPr>
    </w:pPr>
    <w:rPr>
      <w:rFonts w:eastAsia="Times New Roman"/>
      <w:lang w:eastAsia="en-AU"/>
    </w:rPr>
  </w:style>
  <w:style w:type="character" w:customStyle="1" w:styleId="Heading4Char">
    <w:name w:val="Heading 4 Char"/>
    <w:basedOn w:val="DefaultParagraphFont"/>
    <w:link w:val="Heading4"/>
    <w:uiPriority w:val="9"/>
    <w:rsid w:val="007D302D"/>
    <w:rPr>
      <w:rFonts w:asciiTheme="majorHAnsi" w:eastAsiaTheme="majorEastAsia" w:hAnsiTheme="majorHAnsi" w:cstheme="majorBidi"/>
      <w:b/>
      <w:i/>
      <w:iCs/>
    </w:rPr>
  </w:style>
  <w:style w:type="paragraph" w:styleId="ListBullet3">
    <w:name w:val="List Bullet 3"/>
    <w:basedOn w:val="Normal"/>
    <w:uiPriority w:val="2"/>
    <w:semiHidden/>
    <w:rsid w:val="008B1EDB"/>
    <w:pPr>
      <w:numPr>
        <w:ilvl w:val="2"/>
        <w:numId w:val="4"/>
      </w:numPr>
    </w:pPr>
    <w:rPr>
      <w:rFonts w:eastAsia="Times New Roman"/>
      <w:lang w:eastAsia="en-AU"/>
    </w:rPr>
  </w:style>
  <w:style w:type="paragraph" w:styleId="ListBullet4">
    <w:name w:val="List Bullet 4"/>
    <w:basedOn w:val="Normal"/>
    <w:uiPriority w:val="2"/>
    <w:semiHidden/>
    <w:rsid w:val="008B1EDB"/>
    <w:pPr>
      <w:numPr>
        <w:ilvl w:val="3"/>
        <w:numId w:val="4"/>
      </w:numPr>
    </w:pPr>
    <w:rPr>
      <w:rFonts w:eastAsia="Times New Roman"/>
      <w:lang w:eastAsia="en-AU"/>
    </w:rPr>
  </w:style>
  <w:style w:type="paragraph" w:styleId="ListBullet5">
    <w:name w:val="List Bullet 5"/>
    <w:basedOn w:val="Normal"/>
    <w:uiPriority w:val="2"/>
    <w:semiHidden/>
    <w:rsid w:val="008B1EDB"/>
    <w:pPr>
      <w:numPr>
        <w:ilvl w:val="4"/>
        <w:numId w:val="4"/>
      </w:numPr>
    </w:pPr>
    <w:rPr>
      <w:rFonts w:eastAsia="Times New Roman"/>
      <w:lang w:eastAsia="en-AU"/>
    </w:rPr>
  </w:style>
  <w:style w:type="paragraph" w:styleId="ListNumber2">
    <w:name w:val="List Number 2"/>
    <w:basedOn w:val="Normal"/>
    <w:uiPriority w:val="2"/>
    <w:semiHidden/>
    <w:rsid w:val="00F71556"/>
    <w:pPr>
      <w:numPr>
        <w:ilvl w:val="1"/>
        <w:numId w:val="2"/>
      </w:numPr>
    </w:pPr>
    <w:rPr>
      <w:rFonts w:eastAsia="Times New Roman"/>
      <w:lang w:eastAsia="en-AU"/>
    </w:rPr>
  </w:style>
  <w:style w:type="paragraph" w:styleId="ListNumber3">
    <w:name w:val="List Number 3"/>
    <w:basedOn w:val="Normal"/>
    <w:uiPriority w:val="2"/>
    <w:semiHidden/>
    <w:rsid w:val="00F71556"/>
    <w:pPr>
      <w:numPr>
        <w:ilvl w:val="2"/>
        <w:numId w:val="2"/>
      </w:numPr>
    </w:pPr>
    <w:rPr>
      <w:rFonts w:eastAsia="Times New Roman"/>
      <w:lang w:eastAsia="en-AU"/>
    </w:rPr>
  </w:style>
  <w:style w:type="paragraph" w:styleId="ListNumber4">
    <w:name w:val="List Number 4"/>
    <w:basedOn w:val="Normal"/>
    <w:uiPriority w:val="2"/>
    <w:semiHidden/>
    <w:rsid w:val="00F71556"/>
    <w:pPr>
      <w:numPr>
        <w:ilvl w:val="3"/>
        <w:numId w:val="2"/>
      </w:numPr>
    </w:pPr>
    <w:rPr>
      <w:rFonts w:eastAsia="Times New Roman"/>
      <w:lang w:eastAsia="en-AU"/>
    </w:rPr>
  </w:style>
  <w:style w:type="paragraph" w:styleId="ListNumber5">
    <w:name w:val="List Number 5"/>
    <w:basedOn w:val="Normal"/>
    <w:uiPriority w:val="2"/>
    <w:semiHidden/>
    <w:rsid w:val="00F71556"/>
    <w:pPr>
      <w:numPr>
        <w:ilvl w:val="4"/>
        <w:numId w:val="2"/>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4438AC"/>
    <w:pPr>
      <w:keepNext/>
      <w:keepLines/>
      <w:numPr>
        <w:numId w:val="3"/>
      </w:numPr>
      <w:spacing w:before="360" w:line="240" w:lineRule="auto"/>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D2BBFC" w:themeColor="accent4" w:themeTint="99"/>
        <w:bottom w:val="single" w:sz="4" w:space="0" w:color="D2BBFC" w:themeColor="accent4" w:themeTint="99"/>
        <w:insideH w:val="single" w:sz="4" w:space="0" w:color="D2BB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A2648F"/>
    <w:rPr>
      <w:rFonts w:asciiTheme="majorHAnsi" w:eastAsiaTheme="majorEastAsia" w:hAnsiTheme="majorHAnsi" w:cstheme="majorBidi"/>
      <w:b/>
      <w:i/>
      <w:color w:val="auto"/>
    </w:rPr>
  </w:style>
  <w:style w:type="character" w:customStyle="1" w:styleId="Heading6Char">
    <w:name w:val="Heading 6 Char"/>
    <w:basedOn w:val="DefaultParagraphFont"/>
    <w:link w:val="Heading6"/>
    <w:uiPriority w:val="9"/>
    <w:rsid w:val="00A2648F"/>
    <w:rPr>
      <w:rFonts w:asciiTheme="majorHAnsi" w:eastAsiaTheme="majorEastAsia" w:hAnsiTheme="majorHAnsi" w:cstheme="majorBidi"/>
      <w:i/>
      <w:color w:val="auto"/>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D2BBFC" w:themeColor="accent4" w:themeTint="99"/>
        <w:left w:val="single" w:sz="4" w:space="0" w:color="D2BBFC" w:themeColor="accent4" w:themeTint="99"/>
        <w:bottom w:val="single" w:sz="4" w:space="0" w:color="D2BBFC" w:themeColor="accent4" w:themeTint="99"/>
        <w:right w:val="single" w:sz="4" w:space="0" w:color="D2BBFC" w:themeColor="accent4" w:themeTint="99"/>
        <w:insideH w:val="single" w:sz="4" w:space="0" w:color="D2BBFC" w:themeColor="accent4" w:themeTint="99"/>
        <w:insideV w:val="single" w:sz="4" w:space="0" w:color="D2BBFC" w:themeColor="accent4" w:themeTint="99"/>
      </w:tblBorders>
    </w:tblPr>
    <w:tblStylePr w:type="firstRow">
      <w:rPr>
        <w:b/>
        <w:bCs/>
        <w:color w:val="FFFFFF" w:themeColor="background1"/>
      </w:rPr>
      <w:tblPr/>
      <w:tcPr>
        <w:tcBorders>
          <w:top w:val="single" w:sz="4" w:space="0" w:color="B58EFB" w:themeColor="accent4"/>
          <w:left w:val="single" w:sz="4" w:space="0" w:color="B58EFB" w:themeColor="accent4"/>
          <w:bottom w:val="single" w:sz="4" w:space="0" w:color="B58EFB" w:themeColor="accent4"/>
          <w:right w:val="single" w:sz="4" w:space="0" w:color="B58EFB" w:themeColor="accent4"/>
          <w:insideH w:val="nil"/>
          <w:insideV w:val="nil"/>
        </w:tcBorders>
        <w:shd w:val="clear" w:color="auto" w:fill="B58EFB" w:themeFill="accent4"/>
      </w:tcPr>
    </w:tblStylePr>
    <w:tblStylePr w:type="lastRow">
      <w:rPr>
        <w:b/>
        <w:bCs/>
      </w:rPr>
      <w:tblPr/>
      <w:tcPr>
        <w:tcBorders>
          <w:top w:val="double" w:sz="4" w:space="0" w:color="B58EFB" w:themeColor="accent4"/>
        </w:tcBorders>
      </w:tc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uiPriority w:val="11"/>
    <w:qFormat/>
    <w:rsid w:val="00BD5153"/>
    <w:pPr>
      <w:spacing w:before="360" w:after="360"/>
      <w:contextualSpacing/>
    </w:pPr>
    <w:rPr>
      <w:sz w:val="26"/>
      <w:szCs w:val="26"/>
    </w:rPr>
  </w:style>
  <w:style w:type="paragraph" w:customStyle="1" w:styleId="Tablecaption">
    <w:name w:val="Table caption"/>
    <w:basedOn w:val="Caption"/>
    <w:link w:val="TablecaptionChar"/>
    <w:autoRedefine/>
    <w:qFormat/>
    <w:rsid w:val="004438AC"/>
    <w:pPr>
      <w:numPr>
        <w:numId w:val="6"/>
      </w:numPr>
      <w:ind w:left="0" w:firstLine="0"/>
    </w:pPr>
  </w:style>
  <w:style w:type="character" w:customStyle="1" w:styleId="CaptionChar">
    <w:name w:val="Caption Char"/>
    <w:basedOn w:val="DefaultParagraphFont"/>
    <w:link w:val="Caption"/>
    <w:uiPriority w:val="12"/>
    <w:rsid w:val="004438AC"/>
    <w:rPr>
      <w:iCs/>
      <w:sz w:val="20"/>
    </w:rPr>
  </w:style>
  <w:style w:type="character" w:customStyle="1" w:styleId="TablecaptionChar">
    <w:name w:val="Table caption Char"/>
    <w:basedOn w:val="CaptionChar"/>
    <w:link w:val="Tablecaption"/>
    <w:rsid w:val="004438AC"/>
    <w:rPr>
      <w:iCs/>
      <w:sz w:val="20"/>
    </w:rPr>
  </w:style>
  <w:style w:type="character" w:styleId="CommentReference">
    <w:name w:val="annotation reference"/>
    <w:basedOn w:val="DefaultParagraphFont"/>
    <w:uiPriority w:val="99"/>
    <w:semiHidden/>
    <w:unhideWhenUsed/>
    <w:rsid w:val="0067290D"/>
    <w:rPr>
      <w:sz w:val="16"/>
      <w:szCs w:val="16"/>
    </w:rPr>
  </w:style>
  <w:style w:type="paragraph" w:styleId="CommentText">
    <w:name w:val="annotation text"/>
    <w:basedOn w:val="Normal"/>
    <w:link w:val="CommentTextChar"/>
    <w:uiPriority w:val="99"/>
    <w:unhideWhenUsed/>
    <w:rsid w:val="0067290D"/>
    <w:pPr>
      <w:spacing w:line="240" w:lineRule="auto"/>
    </w:pPr>
    <w:rPr>
      <w:sz w:val="20"/>
      <w:szCs w:val="20"/>
    </w:rPr>
  </w:style>
  <w:style w:type="character" w:customStyle="1" w:styleId="CommentTextChar">
    <w:name w:val="Comment Text Char"/>
    <w:basedOn w:val="DefaultParagraphFont"/>
    <w:link w:val="CommentText"/>
    <w:uiPriority w:val="99"/>
    <w:rsid w:val="0067290D"/>
    <w:rPr>
      <w:sz w:val="20"/>
      <w:szCs w:val="20"/>
    </w:rPr>
  </w:style>
  <w:style w:type="paragraph" w:styleId="CommentSubject">
    <w:name w:val="annotation subject"/>
    <w:basedOn w:val="CommentText"/>
    <w:next w:val="CommentText"/>
    <w:link w:val="CommentSubjectChar"/>
    <w:uiPriority w:val="99"/>
    <w:semiHidden/>
    <w:unhideWhenUsed/>
    <w:rsid w:val="0067290D"/>
    <w:rPr>
      <w:b/>
      <w:bCs/>
    </w:rPr>
  </w:style>
  <w:style w:type="character" w:customStyle="1" w:styleId="CommentSubjectChar">
    <w:name w:val="Comment Subject Char"/>
    <w:basedOn w:val="CommentTextChar"/>
    <w:link w:val="CommentSubject"/>
    <w:uiPriority w:val="99"/>
    <w:semiHidden/>
    <w:rsid w:val="006729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clinical-topics/systems-and-governance/clinical-governan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afetyandquality.gov.au/national-standards/nsqhs-standards/clinical-governance-standa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resources/credentialing-health-practitioners-and-defining-their-scope-clinical-practice-guide-managers-and-practitioner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tyandquality.gov.au/clinical-topics/systems-and-governance/clinical-governanc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WKI\AppData\Roaming\Micro%20Focus\Content%20Manager\TRIM\TEMP\HPTRIM.21716\D25-28526%20%20Template%20-%20ACSQHC%20-%20Fact%20sheet%20-%20Corporate%20-%204%20page%20max%20-%20July%202025.DOTX" TargetMode="External"/></Relationships>
</file>

<file path=word/theme/theme1.xml><?xml version="1.0" encoding="utf-8"?>
<a:theme xmlns:a="http://schemas.openxmlformats.org/drawingml/2006/main" name="Office Theme">
  <a:themeElements>
    <a:clrScheme name="SQH">
      <a:dk1>
        <a:srgbClr val="000000"/>
      </a:dk1>
      <a:lt1>
        <a:srgbClr val="FFFFFF"/>
      </a:lt1>
      <a:dk2>
        <a:srgbClr val="D3BBFD"/>
      </a:dk2>
      <a:lt2>
        <a:srgbClr val="F0E8FE"/>
      </a:lt2>
      <a:accent1>
        <a:srgbClr val="421A75"/>
      </a:accent1>
      <a:accent2>
        <a:srgbClr val="890014"/>
      </a:accent2>
      <a:accent3>
        <a:srgbClr val="004C6E"/>
      </a:accent3>
      <a:accent4>
        <a:srgbClr val="B58EFB"/>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95A4E-0D56-41A7-9EDA-F2E6ABAB7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F60A6-171E-40CD-A237-6262928436ED}">
  <ds:schemaRefs>
    <ds:schemaRef ds:uri="http://schemas.microsoft.com/sharepoint/v3/contenttype/forms"/>
  </ds:schemaRefs>
</ds:datastoreItem>
</file>

<file path=customXml/itemProps3.xml><?xml version="1.0" encoding="utf-8"?>
<ds:datastoreItem xmlns:ds="http://schemas.openxmlformats.org/officeDocument/2006/customXml" ds:itemID="{38B132FD-DB8A-4E73-99EF-46D0D2A817A1}">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4.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D25-28526  Template - ACSQHC - Fact sheet - Corporate - 4 page max - July 2025.DOTX</Template>
  <TotalTime>0</TotalTime>
  <Pages>4</Pages>
  <Words>1426</Words>
  <Characters>8131</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STEWART, Kim</dc:creator>
  <cp:keywords/>
  <cp:lastModifiedBy>BROWN, Taila</cp:lastModifiedBy>
  <cp:revision>2</cp:revision>
  <cp:lastPrinted>2025-05-27T01:51:00Z</cp:lastPrinted>
  <dcterms:created xsi:type="dcterms:W3CDTF">2026-05-26T02:55:00Z</dcterms:created>
  <dcterms:modified xsi:type="dcterms:W3CDTF">2026-05-26T02:55:00Z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y fmtid="{D5CDD505-2E9C-101B-9397-08002B2CF9AE}" pid="3" name="ClassificationContentMarkingHeaderShapeIds">
    <vt:lpwstr>233479f6,3b9110f4,611a25bd</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3d8c7e75,4ec3d5b0,768d3813</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2026-05-12T04:50:28Z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2051dcb7-f025-4508-b0ce-76052cc1d650</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