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C80AA9" w14:paraId="26848BAB" w14:textId="77777777" w:rsidTr="00381281">
        <w:trPr>
          <w:trHeight w:hRule="exact" w:val="2387"/>
        </w:trPr>
        <w:tc>
          <w:tcPr>
            <w:tcW w:w="8844" w:type="dxa"/>
            <w:vAlign w:val="center"/>
          </w:tcPr>
          <w:p w14:paraId="21B13680" w14:textId="2C478B44" w:rsidR="00F21464" w:rsidRPr="00DA2FE7" w:rsidRDefault="00BF7DF4" w:rsidP="00BF7DF4">
            <w:pPr>
              <w:pStyle w:val="Title"/>
              <w:rPr>
                <w:sz w:val="54"/>
                <w:szCs w:val="54"/>
              </w:rPr>
            </w:pPr>
            <w:r w:rsidRPr="00DA2FE7">
              <w:rPr>
                <w:sz w:val="54"/>
                <w:szCs w:val="54"/>
              </w:rPr>
              <w:t>Access to Therapeutic Guidelines</w:t>
            </w:r>
          </w:p>
        </w:tc>
      </w:tr>
    </w:tbl>
    <w:p w14:paraId="76C7211A" w14:textId="6AC07BE6" w:rsidR="00595909" w:rsidRDefault="00BF7DF4" w:rsidP="002A1211">
      <w:pPr>
        <w:pStyle w:val="Heading1"/>
      </w:pPr>
      <w:r>
        <w:t>About the Therapeutic Guidelines</w:t>
      </w:r>
    </w:p>
    <w:p w14:paraId="755E27CE" w14:textId="77777777" w:rsidR="00BF7DF4" w:rsidRDefault="00BF7DF4" w:rsidP="00BF7DF4">
      <w:pPr>
        <w:spacing w:before="0" w:after="0"/>
        <w:rPr>
          <w:rFonts w:cs="Arial"/>
        </w:rPr>
      </w:pPr>
      <w:r w:rsidRPr="00C13926">
        <w:rPr>
          <w:rFonts w:cs="Arial"/>
          <w:bCs/>
          <w:i/>
          <w:iCs/>
        </w:rPr>
        <w:t xml:space="preserve">Therapeutic Guidelines </w:t>
      </w:r>
      <w:r w:rsidRPr="00C13926">
        <w:rPr>
          <w:rFonts w:cs="Arial"/>
        </w:rPr>
        <w:t>is the leading source of independent, evidence-based, practical treatment advice to assist Australian health practitioners with decision making at the point-of-care. It is regularly updated, based on the latest literature,</w:t>
      </w:r>
      <w:r>
        <w:rPr>
          <w:rFonts w:cs="Arial"/>
        </w:rPr>
        <w:t xml:space="preserve"> and </w:t>
      </w:r>
      <w:r w:rsidRPr="00C13926">
        <w:rPr>
          <w:rFonts w:cs="Arial"/>
        </w:rPr>
        <w:t>interpreted by Australia’s most respected experts with input from an extensive network of general practitioners, pharmacists, and other users.</w:t>
      </w:r>
    </w:p>
    <w:p w14:paraId="3829F057" w14:textId="77777777" w:rsidR="00BF7DF4" w:rsidRDefault="00BF7DF4" w:rsidP="00BF7DF4">
      <w:pPr>
        <w:spacing w:before="0" w:after="0"/>
        <w:rPr>
          <w:rFonts w:cs="Arial"/>
        </w:rPr>
      </w:pPr>
    </w:p>
    <w:p w14:paraId="3BF5FFAA" w14:textId="77777777" w:rsidR="00BF7DF4" w:rsidRDefault="00BF7DF4" w:rsidP="00BF7DF4">
      <w:pPr>
        <w:spacing w:before="0" w:after="200"/>
        <w:rPr>
          <w:rFonts w:cstheme="minorBidi"/>
        </w:rPr>
      </w:pPr>
      <w:r w:rsidRPr="164CC1BB">
        <w:rPr>
          <w:rFonts w:cstheme="minorBidi"/>
          <w:i/>
          <w:iCs/>
        </w:rPr>
        <w:t>Therapeutic Guidelines</w:t>
      </w:r>
      <w:r w:rsidRPr="164CC1BB">
        <w:rPr>
          <w:rFonts w:cstheme="minorBidi"/>
        </w:rPr>
        <w:t xml:space="preserve"> is published by Therapeutic Guidelines Limited (TGL). TGL is an independent, not-for-profit organisation. Its aim is to promote the quality use of medicines, which it does through the development, publication, and sale of </w:t>
      </w:r>
      <w:r w:rsidRPr="164CC1BB">
        <w:rPr>
          <w:rFonts w:cstheme="minorBidi"/>
          <w:i/>
          <w:iCs/>
        </w:rPr>
        <w:t xml:space="preserve">Therapeutic Guidelines. </w:t>
      </w:r>
      <w:r w:rsidRPr="164CC1BB">
        <w:rPr>
          <w:rFonts w:cstheme="minorBidi"/>
        </w:rPr>
        <w:t xml:space="preserve">Although known for the </w:t>
      </w:r>
      <w:r w:rsidRPr="00DA7797">
        <w:rPr>
          <w:rFonts w:cstheme="minorBidi"/>
        </w:rPr>
        <w:t>Antibiotic</w:t>
      </w:r>
      <w:r w:rsidRPr="164CC1BB">
        <w:rPr>
          <w:rFonts w:cstheme="minorBidi"/>
        </w:rPr>
        <w:t xml:space="preserve"> guidelines, which were first published almost 50 years ago, today TGL publishes 21 guidelines*, which are available online and through an app. TGL is funded solely by subscribers to ensure independence.</w:t>
      </w:r>
    </w:p>
    <w:p w14:paraId="72B39EB4" w14:textId="3B948E5C" w:rsidR="00BF7DF4" w:rsidRDefault="00BF7DF4" w:rsidP="00BF7DF4">
      <w:pPr>
        <w:spacing w:before="0" w:after="200"/>
        <w:rPr>
          <w:rFonts w:cstheme="minorBidi"/>
          <w:sz w:val="18"/>
          <w:szCs w:val="18"/>
        </w:rPr>
      </w:pPr>
      <w:r w:rsidRPr="00DA7797">
        <w:rPr>
          <w:rFonts w:cstheme="minorBidi"/>
          <w:sz w:val="18"/>
          <w:szCs w:val="18"/>
        </w:rPr>
        <w:t xml:space="preserve">*In 2026, new Kidney and Urinary guidelines and </w:t>
      </w:r>
      <w:proofErr w:type="gramStart"/>
      <w:r w:rsidRPr="00DA7797">
        <w:rPr>
          <w:rFonts w:cstheme="minorBidi"/>
          <w:sz w:val="18"/>
          <w:szCs w:val="18"/>
        </w:rPr>
        <w:t>Sleep Disorders</w:t>
      </w:r>
      <w:proofErr w:type="gramEnd"/>
      <w:r w:rsidRPr="00DA7797">
        <w:rPr>
          <w:rFonts w:cstheme="minorBidi"/>
          <w:sz w:val="18"/>
          <w:szCs w:val="18"/>
        </w:rPr>
        <w:t xml:space="preserve"> guidelines will be added bringing the total to 23 guidelines. </w:t>
      </w:r>
    </w:p>
    <w:p w14:paraId="74F89434" w14:textId="11989EE6" w:rsidR="00BF7DF4" w:rsidRDefault="00BF7DF4" w:rsidP="00BF7DF4">
      <w:pPr>
        <w:spacing w:before="0" w:after="200"/>
        <w:rPr>
          <w:rFonts w:cstheme="minorBidi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2714863E" wp14:editId="1368EE8F">
                <wp:extent cx="5615940" cy="662305"/>
                <wp:effectExtent l="0" t="0" r="3810" b="4445"/>
                <wp:docPr id="51833789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66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top w:w="57" w:type="dxa"/>
                                <w:left w:w="170" w:type="dxa"/>
                                <w:bottom w:w="57" w:type="dxa"/>
                                <w:right w:w="1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19"/>
                            </w:tblGrid>
                            <w:tr w:rsidR="00BF7DF4" w14:paraId="1BFC95F9" w14:textId="77777777" w:rsidTr="006D16CC">
                              <w:tc>
                                <w:tcPr>
                                  <w:tcW w:w="9114" w:type="dxa"/>
                                  <w:tcBorders>
                                    <w:right w:val="single" w:sz="24" w:space="0" w:color="F0E8FE" w:themeColor="background2"/>
                                  </w:tcBorders>
                                  <w:shd w:val="clear" w:color="auto" w:fill="F0E8FE" w:themeFill="background2"/>
                                </w:tcPr>
                                <w:p w14:paraId="7F5A8499" w14:textId="22F4CE2D" w:rsidR="00BF7DF4" w:rsidRPr="00AB3259" w:rsidRDefault="00BF7DF4" w:rsidP="002B3C79">
                                  <w:pPr>
                                    <w:pStyle w:val="BoxHeading"/>
                                  </w:pPr>
                                  <w:r>
                                    <w:t>Key points</w:t>
                                  </w:r>
                                </w:p>
                                <w:p w14:paraId="57C61F99" w14:textId="77777777" w:rsidR="00BF7DF4" w:rsidRPr="00BF7DF4" w:rsidRDefault="00BF7DF4" w:rsidP="00BF7DF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BF7DF4">
                                    <w:t xml:space="preserve">All public hospitals subscribe to </w:t>
                                  </w:r>
                                  <w:r w:rsidRPr="00BF7DF4">
                                    <w:rPr>
                                      <w:i/>
                                      <w:iCs/>
                                    </w:rPr>
                                    <w:t>Therapeutic Guidelines</w:t>
                                  </w:r>
                                  <w:r w:rsidRPr="00BF7DF4">
                                    <w:t>.</w:t>
                                  </w:r>
                                </w:p>
                                <w:p w14:paraId="66B703C1" w14:textId="77777777" w:rsidR="00BF7DF4" w:rsidRPr="00BF7DF4" w:rsidRDefault="00BF7DF4" w:rsidP="00BF7DF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BF7DF4">
                                    <w:t xml:space="preserve">All large private hospital chains subscribe to </w:t>
                                  </w:r>
                                  <w:r w:rsidRPr="00BF7DF4">
                                    <w:rPr>
                                      <w:i/>
                                      <w:iCs/>
                                    </w:rPr>
                                    <w:t>Therapeutic Guidelines</w:t>
                                  </w:r>
                                  <w:r w:rsidRPr="00BF7DF4">
                                    <w:t>.</w:t>
                                  </w:r>
                                </w:p>
                                <w:p w14:paraId="1617E56C" w14:textId="77777777" w:rsidR="00BF7DF4" w:rsidRPr="00BF7DF4" w:rsidRDefault="00BF7DF4" w:rsidP="00BF7DF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 w:rsidRPr="00BF7DF4">
                                    <w:t xml:space="preserve">In primary care, many general practices subscribe to </w:t>
                                  </w:r>
                                  <w:r w:rsidRPr="00BF7DF4">
                                    <w:rPr>
                                      <w:i/>
                                      <w:iCs/>
                                    </w:rPr>
                                    <w:t>Therapeutic Guidelines</w:t>
                                  </w:r>
                                  <w:r w:rsidRPr="00BF7DF4">
                                    <w:t xml:space="preserve"> through single-user or institutional clinic subscriptions.</w:t>
                                  </w:r>
                                </w:p>
                                <w:p w14:paraId="4E9DEF92" w14:textId="2DC91FB3" w:rsidR="00BF7DF4" w:rsidRDefault="00BF7DF4" w:rsidP="00BF7DF4">
                                  <w:r w:rsidRPr="00BF7DF4">
                                    <w:t xml:space="preserve">Both the Royal Australian College of General Practitioners (RACGP) and the Australian College of Rural and Remote Medicine (ACRRM) provide access to </w:t>
                                  </w:r>
                                  <w:r w:rsidRPr="00BF7DF4">
                                    <w:rPr>
                                      <w:i/>
                                      <w:iCs/>
                                    </w:rPr>
                                    <w:t>Therapeutic Guidelines</w:t>
                                  </w:r>
                                  <w:r w:rsidRPr="00BF7DF4">
                                    <w:t xml:space="preserve"> for authorised users through their training portals.  </w:t>
                                  </w:r>
                                </w:p>
                              </w:tc>
                            </w:tr>
                          </w:tbl>
                          <w:p w14:paraId="44123471" w14:textId="77777777" w:rsidR="00BF7DF4" w:rsidRPr="00402F1C" w:rsidRDefault="00BF7DF4" w:rsidP="00BF7DF4">
                            <w:pPr>
                              <w:pStyle w:val="NoSpacing"/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14863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42.2pt;height:5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top w:w="57" w:type="dxa"/>
                          <w:left w:w="170" w:type="dxa"/>
                          <w:bottom w:w="57" w:type="dxa"/>
                          <w:right w:w="1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19"/>
                      </w:tblGrid>
                      <w:tr w:rsidR="00BF7DF4" w14:paraId="1BFC95F9" w14:textId="77777777" w:rsidTr="006D16CC">
                        <w:tc>
                          <w:tcPr>
                            <w:tcW w:w="9114" w:type="dxa"/>
                            <w:tcBorders>
                              <w:right w:val="single" w:sz="24" w:space="0" w:color="F0E8FE" w:themeColor="background2"/>
                            </w:tcBorders>
                            <w:shd w:val="clear" w:color="auto" w:fill="F0E8FE" w:themeFill="background2"/>
                          </w:tcPr>
                          <w:p w14:paraId="7F5A8499" w14:textId="22F4CE2D" w:rsidR="00BF7DF4" w:rsidRPr="00AB3259" w:rsidRDefault="00BF7DF4" w:rsidP="002B3C79">
                            <w:pPr>
                              <w:pStyle w:val="BoxHeading"/>
                            </w:pPr>
                            <w:r>
                              <w:t>Key points</w:t>
                            </w:r>
                          </w:p>
                          <w:p w14:paraId="57C61F99" w14:textId="77777777" w:rsidR="00BF7DF4" w:rsidRPr="00BF7DF4" w:rsidRDefault="00BF7DF4" w:rsidP="00BF7DF4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 w:rsidRPr="00BF7DF4">
                              <w:t xml:space="preserve">All public hospitals subscribe to </w:t>
                            </w:r>
                            <w:r w:rsidRPr="00BF7DF4">
                              <w:rPr>
                                <w:i/>
                                <w:iCs/>
                              </w:rPr>
                              <w:t>Therapeutic Guidelines</w:t>
                            </w:r>
                            <w:r w:rsidRPr="00BF7DF4">
                              <w:t>.</w:t>
                            </w:r>
                          </w:p>
                          <w:p w14:paraId="66B703C1" w14:textId="77777777" w:rsidR="00BF7DF4" w:rsidRPr="00BF7DF4" w:rsidRDefault="00BF7DF4" w:rsidP="00BF7DF4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 w:rsidRPr="00BF7DF4">
                              <w:t xml:space="preserve">All large private hospital chains subscribe to </w:t>
                            </w:r>
                            <w:r w:rsidRPr="00BF7DF4">
                              <w:rPr>
                                <w:i/>
                                <w:iCs/>
                              </w:rPr>
                              <w:t>Therapeutic Guidelines</w:t>
                            </w:r>
                            <w:r w:rsidRPr="00BF7DF4">
                              <w:t>.</w:t>
                            </w:r>
                          </w:p>
                          <w:p w14:paraId="1617E56C" w14:textId="77777777" w:rsidR="00BF7DF4" w:rsidRPr="00BF7DF4" w:rsidRDefault="00BF7DF4" w:rsidP="00BF7DF4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 w:rsidRPr="00BF7DF4">
                              <w:t xml:space="preserve">In primary care, many general practices subscribe to </w:t>
                            </w:r>
                            <w:r w:rsidRPr="00BF7DF4">
                              <w:rPr>
                                <w:i/>
                                <w:iCs/>
                              </w:rPr>
                              <w:t>Therapeutic Guidelines</w:t>
                            </w:r>
                            <w:r w:rsidRPr="00BF7DF4">
                              <w:t xml:space="preserve"> through single-user or institutional clinic subscriptions.</w:t>
                            </w:r>
                          </w:p>
                          <w:p w14:paraId="4E9DEF92" w14:textId="2DC91FB3" w:rsidR="00BF7DF4" w:rsidRDefault="00BF7DF4" w:rsidP="00BF7DF4">
                            <w:r w:rsidRPr="00BF7DF4">
                              <w:t xml:space="preserve">Both the Royal Australian College of General Practitioners (RACGP) and the Australian College of Rural and Remote Medicine (ACRRM) provide access to </w:t>
                            </w:r>
                            <w:r w:rsidRPr="00BF7DF4">
                              <w:rPr>
                                <w:i/>
                                <w:iCs/>
                              </w:rPr>
                              <w:t>Therapeutic Guidelines</w:t>
                            </w:r>
                            <w:r w:rsidRPr="00BF7DF4">
                              <w:t xml:space="preserve"> for authorised users through their training portals.  </w:t>
                            </w:r>
                          </w:p>
                        </w:tc>
                      </w:tr>
                    </w:tbl>
                    <w:p w14:paraId="44123471" w14:textId="77777777" w:rsidR="00BF7DF4" w:rsidRPr="00402F1C" w:rsidRDefault="00BF7DF4" w:rsidP="00BF7DF4">
                      <w:pPr>
                        <w:pStyle w:val="NoSpacing"/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C5D905" w14:textId="77777777" w:rsidR="00BF7DF4" w:rsidRPr="00707D22" w:rsidRDefault="00BF7DF4" w:rsidP="00BF7DF4">
      <w:pPr>
        <w:pStyle w:val="Heading1"/>
        <w:rPr>
          <w:lang w:val="en-GB"/>
        </w:rPr>
      </w:pPr>
      <w:r>
        <w:rPr>
          <w:lang w:val="en-GB"/>
        </w:rPr>
        <w:t>How to access the Therapeutic Guidelines</w:t>
      </w:r>
    </w:p>
    <w:p w14:paraId="022374E1" w14:textId="77777777" w:rsidR="00BF7DF4" w:rsidRDefault="00BF7DF4" w:rsidP="00BF7DF4">
      <w:pPr>
        <w:spacing w:before="0" w:after="0"/>
        <w:rPr>
          <w:rFonts w:cs="Arial"/>
          <w:color w:val="000000"/>
        </w:rPr>
      </w:pPr>
      <w:r w:rsidRPr="007E3A67">
        <w:rPr>
          <w:rFonts w:cs="Arial"/>
          <w:bCs/>
          <w:i/>
          <w:iCs/>
        </w:rPr>
        <w:t>Therapeutic Guidelines</w:t>
      </w:r>
      <w:r>
        <w:rPr>
          <w:rFonts w:cs="Arial"/>
          <w:bCs/>
        </w:rPr>
        <w:t xml:space="preserve"> </w:t>
      </w:r>
      <w:r>
        <w:rPr>
          <w:rFonts w:cs="Arial"/>
          <w:color w:val="000000"/>
        </w:rPr>
        <w:t xml:space="preserve">can be accessed through the clinical information portals of </w:t>
      </w:r>
      <w:r w:rsidRPr="006411E4">
        <w:rPr>
          <w:rFonts w:cs="Arial"/>
          <w:color w:val="000000"/>
        </w:rPr>
        <w:t xml:space="preserve">public hospitals </w:t>
      </w:r>
      <w:r>
        <w:rPr>
          <w:rFonts w:cs="Arial"/>
          <w:color w:val="000000"/>
        </w:rPr>
        <w:t xml:space="preserve">(see Table 1) and </w:t>
      </w:r>
      <w:r w:rsidRPr="006411E4">
        <w:rPr>
          <w:rFonts w:cs="Arial"/>
          <w:color w:val="000000"/>
        </w:rPr>
        <w:t>large private hospital chains and</w:t>
      </w:r>
      <w:r>
        <w:rPr>
          <w:rFonts w:cs="Arial"/>
          <w:color w:val="000000"/>
        </w:rPr>
        <w:t xml:space="preserve"> the RACGP </w:t>
      </w:r>
      <w:r w:rsidRPr="00B0510D">
        <w:rPr>
          <w:rFonts w:cs="Arial"/>
          <w:color w:val="000000"/>
        </w:rPr>
        <w:t xml:space="preserve">and </w:t>
      </w:r>
      <w:r>
        <w:rPr>
          <w:rFonts w:cs="Arial"/>
          <w:color w:val="000000"/>
        </w:rPr>
        <w:t>ACRRM</w:t>
      </w:r>
      <w:r w:rsidRPr="00B0510D">
        <w:rPr>
          <w:rFonts w:cs="Arial"/>
          <w:color w:val="000000"/>
        </w:rPr>
        <w:t xml:space="preserve"> training portals.</w:t>
      </w:r>
    </w:p>
    <w:p w14:paraId="254789F9" w14:textId="77777777" w:rsidR="00BF7DF4" w:rsidRDefault="00BF7DF4" w:rsidP="00BF7DF4">
      <w:pPr>
        <w:spacing w:before="0" w:after="0"/>
        <w:rPr>
          <w:rFonts w:cs="Arial"/>
          <w:color w:val="000000"/>
        </w:rPr>
      </w:pPr>
    </w:p>
    <w:p w14:paraId="4484CBB5" w14:textId="77777777" w:rsidR="00BF7DF4" w:rsidRDefault="00BF7DF4" w:rsidP="00BF7DF4">
      <w:pPr>
        <w:spacing w:before="0" w:after="0"/>
        <w:rPr>
          <w:rFonts w:cs="Arial"/>
        </w:rPr>
      </w:pPr>
      <w:r w:rsidRPr="00B54CE4">
        <w:rPr>
          <w:rFonts w:cs="Arial"/>
        </w:rPr>
        <w:t>Some organisations with subscriptions have both onsite and remote access</w:t>
      </w:r>
      <w:r>
        <w:rPr>
          <w:rFonts w:cs="Arial"/>
        </w:rPr>
        <w:t>.</w:t>
      </w:r>
      <w:r w:rsidRPr="00B54CE4">
        <w:rPr>
          <w:rFonts w:cs="Arial"/>
        </w:rPr>
        <w:t xml:space="preserve"> If clinicians are unsure how to access these resources, they can contact their local managers</w:t>
      </w:r>
      <w:r>
        <w:rPr>
          <w:rFonts w:cs="Arial"/>
        </w:rPr>
        <w:t>, Portal Helpdesk</w:t>
      </w:r>
      <w:r w:rsidRPr="00B54CE4">
        <w:rPr>
          <w:rFonts w:cs="Arial"/>
        </w:rPr>
        <w:t xml:space="preserve"> </w:t>
      </w:r>
      <w:r>
        <w:rPr>
          <w:rFonts w:cs="Arial"/>
        </w:rPr>
        <w:t xml:space="preserve">or </w:t>
      </w:r>
      <w:hyperlink r:id="rId11" w:anchor="Accessing-the-Therapeutic-Guidelines-app" w:history="1">
        <w:r w:rsidRPr="00B54CE4">
          <w:rPr>
            <w:rStyle w:val="Hyperlink"/>
            <w:rFonts w:cs="Arial"/>
          </w:rPr>
          <w:t>Therapeutic Guidelines Limited</w:t>
        </w:r>
      </w:hyperlink>
      <w:r w:rsidRPr="00B54CE4">
        <w:rPr>
          <w:rFonts w:cs="Arial"/>
        </w:rPr>
        <w:t xml:space="preserve"> for support.</w:t>
      </w:r>
    </w:p>
    <w:p w14:paraId="3587BCB7" w14:textId="77777777" w:rsidR="00BF7DF4" w:rsidRDefault="00BF7DF4" w:rsidP="00BF7DF4">
      <w:pPr>
        <w:spacing w:before="0" w:after="0"/>
        <w:rPr>
          <w:rFonts w:cs="Arial"/>
        </w:rPr>
      </w:pPr>
    </w:p>
    <w:p w14:paraId="235D9456" w14:textId="335F89C7" w:rsidR="00BF7DF4" w:rsidRPr="00DA7797" w:rsidRDefault="00BF7DF4" w:rsidP="00BF7DF4">
      <w:pPr>
        <w:spacing w:before="0" w:after="200"/>
        <w:rPr>
          <w:rFonts w:cstheme="minorBidi"/>
          <w:sz w:val="18"/>
          <w:szCs w:val="18"/>
        </w:rPr>
      </w:pPr>
      <w:r w:rsidRPr="005C786C">
        <w:rPr>
          <w:rFonts w:cs="Arial"/>
          <w:i/>
          <w:iCs/>
        </w:rPr>
        <w:lastRenderedPageBreak/>
        <w:t>Therapeutic Guidelines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 xml:space="preserve">are available online or via a mobile app. The guidelines are available offline by downloading the </w:t>
      </w:r>
      <w:r w:rsidRPr="006821BD">
        <w:rPr>
          <w:rFonts w:cs="Arial"/>
          <w:i/>
          <w:iCs/>
        </w:rPr>
        <w:t>Therapeutic Guidelines</w:t>
      </w:r>
      <w:r>
        <w:rPr>
          <w:rFonts w:cs="Arial"/>
        </w:rPr>
        <w:t xml:space="preserve"> content to a mobile device. Internet access is required for the initial download and periodic internet access is required for content updates. Learn more in the </w:t>
      </w:r>
      <w:r w:rsidRPr="00DA7797">
        <w:rPr>
          <w:rFonts w:cs="Arial"/>
          <w:i/>
          <w:iCs/>
        </w:rPr>
        <w:t>Therapeutic Guidelines</w:t>
      </w:r>
      <w:r>
        <w:rPr>
          <w:rFonts w:cs="Arial"/>
        </w:rPr>
        <w:t xml:space="preserve"> </w:t>
      </w:r>
      <w:hyperlink r:id="rId12" w:history="1">
        <w:r w:rsidRPr="001B0BF9">
          <w:rPr>
            <w:rStyle w:val="Hyperlink"/>
            <w:rFonts w:cs="Arial"/>
          </w:rPr>
          <w:t>user guide</w:t>
        </w:r>
      </w:hyperlink>
      <w:r>
        <w:rPr>
          <w:rFonts w:cs="Arial"/>
        </w:rPr>
        <w:t>.</w:t>
      </w:r>
    </w:p>
    <w:p w14:paraId="2890C28A" w14:textId="781D50C5" w:rsidR="009B626A" w:rsidRPr="00072AF5" w:rsidRDefault="00BF7DF4" w:rsidP="009B626A">
      <w:pPr>
        <w:pStyle w:val="Tablecaption"/>
      </w:pPr>
      <w:r w:rsidRPr="00EB159C">
        <w:rPr>
          <w:rFonts w:cs="Arial"/>
          <w:b/>
        </w:rPr>
        <w:t>Clinical information portals for staff of public sector health service organisations in each state and territory</w:t>
      </w:r>
    </w:p>
    <w:tbl>
      <w:tblPr>
        <w:tblStyle w:val="SQHTable"/>
        <w:tblW w:w="4973" w:type="pct"/>
        <w:tblLook w:val="04A0" w:firstRow="1" w:lastRow="0" w:firstColumn="1" w:lastColumn="0" w:noHBand="0" w:noVBand="1"/>
        <w:tblDescription w:val="Table description goes here"/>
      </w:tblPr>
      <w:tblGrid>
        <w:gridCol w:w="2268"/>
        <w:gridCol w:w="6520"/>
      </w:tblGrid>
      <w:tr w:rsidR="00BF7DF4" w:rsidRPr="00072AF5" w14:paraId="5D80C550" w14:textId="77777777" w:rsidTr="00BF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5483F323" w14:textId="328F20A7" w:rsidR="00BF7DF4" w:rsidRPr="00072AF5" w:rsidRDefault="00BF7DF4" w:rsidP="00B710EE">
            <w:r>
              <w:t>State or Territory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651358BC" w14:textId="77B1CAE2" w:rsidR="00BF7DF4" w:rsidRPr="00072AF5" w:rsidRDefault="00BF7DF4" w:rsidP="00B710EE">
            <w:r>
              <w:t>Clinician information portal</w:t>
            </w:r>
          </w:p>
        </w:tc>
      </w:tr>
      <w:tr w:rsidR="00BF7DF4" w:rsidRPr="00072AF5" w14:paraId="54C06F0E" w14:textId="77777777" w:rsidTr="00BF7DF4"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301E86EC" w14:textId="511C97B3" w:rsidR="00BF7DF4" w:rsidRPr="00072AF5" w:rsidRDefault="00BF7DF4" w:rsidP="00BF7DF4">
            <w:r>
              <w:t>NSW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1E2AE50D" w14:textId="4F0A6CF6" w:rsidR="00BF7DF4" w:rsidRPr="00072AF5" w:rsidRDefault="00BF7DF4" w:rsidP="00BF7DF4">
            <w:hyperlink r:id="rId13" w:history="1">
              <w:r>
                <w:rPr>
                  <w:rStyle w:val="Hyperlink"/>
                </w:rPr>
                <w:t>Clinical Information Access Portal (CIAP)</w:t>
              </w:r>
            </w:hyperlink>
          </w:p>
        </w:tc>
      </w:tr>
      <w:tr w:rsidR="00BF7DF4" w:rsidRPr="00072AF5" w14:paraId="0AF702AC" w14:textId="77777777" w:rsidTr="00BF7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75715E33" w14:textId="303F20B0" w:rsidR="00BF7DF4" w:rsidRPr="00072AF5" w:rsidRDefault="00BF7DF4" w:rsidP="00BF7DF4">
            <w:r>
              <w:t>Vic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1937BCDF" w14:textId="26753FF3" w:rsidR="00BF7DF4" w:rsidRPr="00072AF5" w:rsidRDefault="00BF7DF4" w:rsidP="00BF7DF4">
            <w:hyperlink r:id="rId14" w:history="1">
              <w:r>
                <w:rPr>
                  <w:rStyle w:val="Hyperlink"/>
                </w:rPr>
                <w:t>Clinicians Health Channel</w:t>
              </w:r>
            </w:hyperlink>
          </w:p>
        </w:tc>
      </w:tr>
      <w:tr w:rsidR="00BF7DF4" w:rsidRPr="00072AF5" w14:paraId="6CF26DBE" w14:textId="77777777" w:rsidTr="00BF7DF4"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412E2786" w14:textId="0D6A150B" w:rsidR="00BF7DF4" w:rsidRPr="00072AF5" w:rsidRDefault="00BF7DF4" w:rsidP="00BF7DF4">
            <w:r>
              <w:t>Qld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22AF0B82" w14:textId="152E8771" w:rsidR="00BF7DF4" w:rsidRPr="00072AF5" w:rsidRDefault="00BF7DF4" w:rsidP="00BF7DF4">
            <w:hyperlink r:id="rId15" w:history="1">
              <w:r>
                <w:rPr>
                  <w:rStyle w:val="Hyperlink"/>
                </w:rPr>
                <w:t>Clinicians Knowledge Network</w:t>
              </w:r>
            </w:hyperlink>
          </w:p>
        </w:tc>
      </w:tr>
      <w:tr w:rsidR="00BF7DF4" w:rsidRPr="00072AF5" w14:paraId="17DFA33E" w14:textId="77777777" w:rsidTr="00BF7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2B690D48" w14:textId="11F84521" w:rsidR="00BF7DF4" w:rsidRPr="00072AF5" w:rsidRDefault="00BF7DF4" w:rsidP="00BF7DF4">
            <w:r>
              <w:t>SA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782F5559" w14:textId="706C0A55" w:rsidR="00BF7DF4" w:rsidRPr="00072AF5" w:rsidRDefault="00BF7DF4" w:rsidP="00BF7DF4">
            <w:hyperlink r:id="rId16" w:history="1">
              <w:r>
                <w:rPr>
                  <w:rStyle w:val="Hyperlink"/>
                </w:rPr>
                <w:t>South Australian Health Library Service</w:t>
              </w:r>
            </w:hyperlink>
            <w:r>
              <w:t xml:space="preserve">  </w:t>
            </w:r>
          </w:p>
        </w:tc>
      </w:tr>
      <w:tr w:rsidR="00BF7DF4" w:rsidRPr="00072AF5" w14:paraId="48A3BD79" w14:textId="77777777" w:rsidTr="00BF7DF4"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2AD2B14D" w14:textId="4CA8A70B" w:rsidR="00BF7DF4" w:rsidRDefault="00BF7DF4" w:rsidP="00BF7DF4">
            <w:r>
              <w:t>WA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6FE894DC" w14:textId="7D1D33E6" w:rsidR="00BF7DF4" w:rsidRDefault="00BF7DF4" w:rsidP="00BF7DF4">
            <w:hyperlink r:id="rId17" w:history="1">
              <w:r>
                <w:rPr>
                  <w:rStyle w:val="Hyperlink"/>
                </w:rPr>
                <w:t>WA Health Libraries Network</w:t>
              </w:r>
            </w:hyperlink>
          </w:p>
        </w:tc>
      </w:tr>
      <w:tr w:rsidR="00BF7DF4" w:rsidRPr="00072AF5" w14:paraId="4BE7B514" w14:textId="77777777" w:rsidTr="00BF7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76AD0A2F" w14:textId="131AA113" w:rsidR="00BF7DF4" w:rsidRDefault="00BF7DF4" w:rsidP="00BF7DF4">
            <w:r>
              <w:t>Tas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676C96F2" w14:textId="7FA22373" w:rsidR="00BF7DF4" w:rsidRDefault="00BF7DF4" w:rsidP="00BF7DF4">
            <w:hyperlink r:id="rId18" w:history="1">
              <w:proofErr w:type="spellStart"/>
              <w:r>
                <w:rPr>
                  <w:rStyle w:val="Hyperlink"/>
                </w:rPr>
                <w:t>ePortal</w:t>
              </w:r>
              <w:proofErr w:type="spellEnd"/>
              <w:r>
                <w:rPr>
                  <w:rStyle w:val="Hyperlink"/>
                </w:rPr>
                <w:t xml:space="preserve"> for Online Clinical Help (EPOCH)</w:t>
              </w:r>
            </w:hyperlink>
          </w:p>
        </w:tc>
      </w:tr>
      <w:tr w:rsidR="00BF7DF4" w:rsidRPr="00072AF5" w14:paraId="77D13364" w14:textId="77777777" w:rsidTr="00BF7DF4"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2E60F8CD" w14:textId="2FAD7AFD" w:rsidR="00BF7DF4" w:rsidRDefault="00BF7DF4" w:rsidP="00BF7DF4">
            <w:r>
              <w:t>NT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5935963B" w14:textId="2D5418E6" w:rsidR="00BF7DF4" w:rsidRDefault="00BF7DF4" w:rsidP="00BF7DF4">
            <w:hyperlink r:id="rId19" w:history="1">
              <w:r>
                <w:rPr>
                  <w:rStyle w:val="Hyperlink"/>
                </w:rPr>
                <w:t xml:space="preserve">Northern Territory Department of Health and Families - </w:t>
              </w:r>
              <w:proofErr w:type="spellStart"/>
              <w:r>
                <w:rPr>
                  <w:rStyle w:val="Hyperlink"/>
                </w:rPr>
                <w:t>eLibrary</w:t>
              </w:r>
              <w:proofErr w:type="spellEnd"/>
            </w:hyperlink>
          </w:p>
        </w:tc>
      </w:tr>
      <w:tr w:rsidR="00BF7DF4" w:rsidRPr="00072AF5" w14:paraId="7D7411D2" w14:textId="77777777" w:rsidTr="00BF7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  <w:tcBorders>
              <w:right w:val="single" w:sz="6" w:space="0" w:color="FFFFFF" w:themeColor="background1"/>
            </w:tcBorders>
          </w:tcPr>
          <w:p w14:paraId="6194D0DD" w14:textId="68DCAE7B" w:rsidR="00BF7DF4" w:rsidRDefault="00BF7DF4" w:rsidP="00BF7DF4">
            <w:r>
              <w:t>ACT</w:t>
            </w:r>
          </w:p>
        </w:tc>
        <w:tc>
          <w:tcPr>
            <w:tcW w:w="652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251DA5F3" w14:textId="751E9500" w:rsidR="00BF7DF4" w:rsidRDefault="00BF7DF4" w:rsidP="00BF7DF4">
            <w:hyperlink r:id="rId20" w:history="1">
              <w:r w:rsidRPr="00B77E61">
                <w:rPr>
                  <w:rStyle w:val="Hyperlink"/>
                </w:rPr>
                <w:t>ACT Health library</w:t>
              </w:r>
            </w:hyperlink>
          </w:p>
        </w:tc>
      </w:tr>
    </w:tbl>
    <w:p w14:paraId="61C79A21" w14:textId="77777777" w:rsidR="00BF7DF4" w:rsidRDefault="00BF7DF4" w:rsidP="00BF7DF4">
      <w:pPr>
        <w:pStyle w:val="Heading1"/>
        <w:rPr>
          <w:lang w:val="en-GB"/>
        </w:rPr>
      </w:pPr>
      <w:r>
        <w:rPr>
          <w:lang w:val="en-GB"/>
        </w:rPr>
        <w:t>How to purchase the Therapeutic Guidelines</w:t>
      </w:r>
    </w:p>
    <w:p w14:paraId="4170DE7F" w14:textId="77777777" w:rsidR="00BF7DF4" w:rsidRPr="00B768E1" w:rsidRDefault="00BF7DF4" w:rsidP="00BF7DF4">
      <w:pPr>
        <w:spacing w:before="0" w:after="0"/>
        <w:rPr>
          <w:lang w:val="en-GB"/>
        </w:rPr>
      </w:pPr>
      <w:r w:rsidRPr="001D5791">
        <w:rPr>
          <w:i/>
          <w:iCs/>
          <w:lang w:val="en-GB"/>
        </w:rPr>
        <w:t xml:space="preserve">Therapeutic Guidelines </w:t>
      </w:r>
      <w:r>
        <w:rPr>
          <w:lang w:val="en-GB"/>
        </w:rPr>
        <w:t xml:space="preserve">is available by subscription. </w:t>
      </w:r>
      <w:r w:rsidRPr="00C51ABC">
        <w:rPr>
          <w:lang w:val="en-GB"/>
        </w:rPr>
        <w:t xml:space="preserve">Subscriptions </w:t>
      </w:r>
      <w:r>
        <w:rPr>
          <w:lang w:val="en-GB"/>
        </w:rPr>
        <w:t>for individual</w:t>
      </w:r>
      <w:r w:rsidRPr="00C51ABC">
        <w:rPr>
          <w:lang w:val="en-GB"/>
        </w:rPr>
        <w:t xml:space="preserve"> users </w:t>
      </w:r>
      <w:r>
        <w:rPr>
          <w:lang w:val="en-GB"/>
        </w:rPr>
        <w:t>is</w:t>
      </w:r>
      <w:r w:rsidRPr="00C51ABC">
        <w:rPr>
          <w:lang w:val="en-GB"/>
        </w:rPr>
        <w:t xml:space="preserve"> available for purchase online from the Therapeutic Guidelines website.</w:t>
      </w:r>
      <w:r>
        <w:rPr>
          <w:lang w:val="en-GB"/>
        </w:rPr>
        <w:t xml:space="preserve"> Prior to subscribing, you can check with your professional association, college or employer organisation about whether complimentary access is available to you.</w:t>
      </w:r>
    </w:p>
    <w:p w14:paraId="2214874E" w14:textId="77777777" w:rsidR="00BF7DF4" w:rsidRDefault="00BF7DF4" w:rsidP="00BF7DF4">
      <w:pPr>
        <w:spacing w:before="0" w:after="0"/>
        <w:rPr>
          <w:rFonts w:cs="Arial"/>
        </w:rPr>
      </w:pPr>
    </w:p>
    <w:p w14:paraId="089774A9" w14:textId="77777777" w:rsidR="00BF7DF4" w:rsidRPr="00DE34D9" w:rsidRDefault="00BF7DF4" w:rsidP="00BF7DF4">
      <w:pPr>
        <w:spacing w:before="0" w:after="0"/>
        <w:rPr>
          <w:rFonts w:cs="Arial"/>
        </w:rPr>
      </w:pPr>
      <w:r w:rsidRPr="00B80700">
        <w:rPr>
          <w:rFonts w:cs="Arial"/>
        </w:rPr>
        <w:t>For organisational, clinic or multi-site subscriptions</w:t>
      </w:r>
      <w:r>
        <w:rPr>
          <w:rFonts w:cs="Arial"/>
        </w:rPr>
        <w:t>,</w:t>
      </w:r>
      <w:r w:rsidRPr="00B80700">
        <w:rPr>
          <w:rFonts w:cs="Arial"/>
        </w:rPr>
        <w:t xml:space="preserve"> </w:t>
      </w:r>
      <w:r>
        <w:rPr>
          <w:rFonts w:cs="Arial"/>
        </w:rPr>
        <w:t>email institutions@tg.org.au</w:t>
      </w:r>
      <w:r w:rsidRPr="00B80700">
        <w:rPr>
          <w:rFonts w:cs="Arial"/>
        </w:rPr>
        <w:t xml:space="preserve">. </w:t>
      </w:r>
      <w:r>
        <w:rPr>
          <w:rFonts w:cs="Arial"/>
        </w:rPr>
        <w:t xml:space="preserve">For individual subscriptions, you can email </w:t>
      </w:r>
      <w:hyperlink r:id="rId21" w:history="1">
        <w:r w:rsidRPr="00C97002">
          <w:rPr>
            <w:rStyle w:val="Hyperlink"/>
            <w:rFonts w:cs="Arial"/>
          </w:rPr>
          <w:t>sales@tg.org.au</w:t>
        </w:r>
      </w:hyperlink>
      <w:r>
        <w:rPr>
          <w:rFonts w:cs="Arial"/>
        </w:rPr>
        <w:t xml:space="preserve">. </w:t>
      </w:r>
      <w:r w:rsidRPr="00B80700">
        <w:rPr>
          <w:rFonts w:cs="Arial"/>
        </w:rPr>
        <w:t xml:space="preserve">There is a </w:t>
      </w:r>
      <w:hyperlink r:id="rId22" w:anchor="Accessing-the-Therapeutic-Guidelines-app" w:history="1">
        <w:r w:rsidRPr="00B80700">
          <w:rPr>
            <w:rStyle w:val="Hyperlink"/>
            <w:rFonts w:cs="Arial"/>
          </w:rPr>
          <w:t>link</w:t>
        </w:r>
      </w:hyperlink>
      <w:r w:rsidRPr="00B80700">
        <w:rPr>
          <w:rFonts w:cs="Arial"/>
        </w:rPr>
        <w:t xml:space="preserve"> on the website </w:t>
      </w:r>
      <w:r>
        <w:rPr>
          <w:rFonts w:cs="Arial"/>
        </w:rPr>
        <w:t xml:space="preserve">for answers to frequently asked questions </w:t>
      </w:r>
      <w:r w:rsidRPr="00B80700">
        <w:rPr>
          <w:rFonts w:cs="Arial"/>
        </w:rPr>
        <w:t xml:space="preserve">about access. </w:t>
      </w:r>
    </w:p>
    <w:p w14:paraId="5E37DC77" w14:textId="77777777" w:rsidR="00BF7DF4" w:rsidRPr="00732675" w:rsidRDefault="00BF7DF4" w:rsidP="004F4210"/>
    <w:p w14:paraId="30B4043F" w14:textId="77777777" w:rsidR="004F4210" w:rsidRPr="004F4210" w:rsidRDefault="004F4210" w:rsidP="004F4210">
      <w:pPr>
        <w:rPr>
          <w:b/>
          <w:bCs/>
        </w:rPr>
      </w:pPr>
      <w:r w:rsidRPr="004F4210">
        <w:rPr>
          <w:b/>
          <w:bCs/>
        </w:rPr>
        <w:t>For more information</w:t>
      </w:r>
    </w:p>
    <w:p w14:paraId="149B8775" w14:textId="77777777" w:rsidR="00BF7DF4" w:rsidRDefault="00BF7DF4" w:rsidP="00BF7DF4">
      <w:pPr>
        <w:rPr>
          <w:rStyle w:val="Hyperlink"/>
        </w:rPr>
      </w:pPr>
      <w:r>
        <w:t xml:space="preserve">For more information, please visit </w:t>
      </w:r>
      <w:r>
        <w:rPr>
          <w:rFonts w:cs="Arial"/>
        </w:rPr>
        <w:t>the</w:t>
      </w:r>
      <w:r w:rsidRPr="00B80700">
        <w:rPr>
          <w:rFonts w:cs="Arial"/>
        </w:rPr>
        <w:t xml:space="preserve"> </w:t>
      </w:r>
      <w:hyperlink r:id="rId23" w:history="1">
        <w:r>
          <w:rPr>
            <w:rStyle w:val="Hyperlink"/>
            <w:rFonts w:cs="Arial"/>
          </w:rPr>
          <w:t>Therapeutic Guidelines</w:t>
        </w:r>
      </w:hyperlink>
      <w:r>
        <w:rPr>
          <w:rFonts w:cs="Arial"/>
        </w:rPr>
        <w:t xml:space="preserve"> website</w:t>
      </w:r>
      <w:r>
        <w:t>.</w:t>
      </w:r>
    </w:p>
    <w:p w14:paraId="2DA853DE" w14:textId="77777777" w:rsidR="00BF7DF4" w:rsidRDefault="00BF7DF4" w:rsidP="00BF7DF4">
      <w:r>
        <w:t>You can also contact the teams at the Australian Commission on Safety and Quality in Health Care that support:</w:t>
      </w:r>
    </w:p>
    <w:p w14:paraId="2DA6469D" w14:textId="77777777" w:rsidR="00BF7DF4" w:rsidRDefault="00BF7DF4" w:rsidP="00BF7DF4">
      <w:pPr>
        <w:pStyle w:val="ListParagraph"/>
        <w:numPr>
          <w:ilvl w:val="0"/>
          <w:numId w:val="8"/>
        </w:numPr>
      </w:pPr>
      <w:r>
        <w:t xml:space="preserve">Antimicrobial stewardship at </w:t>
      </w:r>
      <w:hyperlink r:id="rId24" w:history="1">
        <w:r w:rsidRPr="00996851">
          <w:rPr>
            <w:rStyle w:val="Hyperlink"/>
          </w:rPr>
          <w:t>ams@safetyandquality.gov.au</w:t>
        </w:r>
      </w:hyperlink>
      <w:r>
        <w:t xml:space="preserve"> </w:t>
      </w:r>
    </w:p>
    <w:p w14:paraId="5EEFBC24" w14:textId="77777777" w:rsidR="00BF7DF4" w:rsidRDefault="00BF7DF4" w:rsidP="00BF7DF4">
      <w:pPr>
        <w:pStyle w:val="ListParagraph"/>
        <w:numPr>
          <w:ilvl w:val="0"/>
          <w:numId w:val="8"/>
        </w:numPr>
      </w:pPr>
      <w:r>
        <w:t xml:space="preserve">Medicines safety at </w:t>
      </w:r>
      <w:hyperlink r:id="rId25" w:history="1">
        <w:r w:rsidRPr="00996851">
          <w:rPr>
            <w:rStyle w:val="Hyperlink"/>
          </w:rPr>
          <w:t>medsafety@safetyandquality.gov.au</w:t>
        </w:r>
      </w:hyperlink>
    </w:p>
    <w:p w14:paraId="7E3B299E" w14:textId="3A0F15AB" w:rsidR="003734D9" w:rsidRPr="003734D9" w:rsidRDefault="004F4210" w:rsidP="004F4210">
      <w:pPr>
        <w:rPr>
          <w:color w:val="EE0000"/>
        </w:rPr>
      </w:pPr>
      <w:r>
        <w:t>© Australian Commission on Safety and Quality in Health Care</w:t>
      </w:r>
      <w:r w:rsidR="00BF7DF4">
        <w:t xml:space="preserve"> 2026</w:t>
      </w:r>
    </w:p>
    <w:sectPr w:rsidR="003734D9" w:rsidRPr="003734D9" w:rsidSect="0038128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2268" w:right="1531" w:bottom="136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9504" w14:textId="77777777" w:rsidR="00137435" w:rsidRDefault="00137435" w:rsidP="001D0AFC">
      <w:r>
        <w:separator/>
      </w:r>
    </w:p>
    <w:p w14:paraId="78F8A3E0" w14:textId="77777777" w:rsidR="00137435" w:rsidRDefault="00137435"/>
    <w:p w14:paraId="75B3B804" w14:textId="77777777" w:rsidR="00137435" w:rsidRDefault="00137435"/>
    <w:p w14:paraId="0AA7642C" w14:textId="77777777" w:rsidR="00137435" w:rsidRDefault="00137435"/>
  </w:endnote>
  <w:endnote w:type="continuationSeparator" w:id="0">
    <w:p w14:paraId="5D0E3D54" w14:textId="77777777" w:rsidR="00137435" w:rsidRDefault="00137435" w:rsidP="001D0AFC">
      <w:r>
        <w:continuationSeparator/>
      </w:r>
    </w:p>
    <w:p w14:paraId="0653B947" w14:textId="77777777" w:rsidR="00137435" w:rsidRDefault="00137435"/>
    <w:p w14:paraId="54F792A3" w14:textId="77777777" w:rsidR="00137435" w:rsidRDefault="00137435"/>
    <w:p w14:paraId="38C159BF" w14:textId="77777777" w:rsidR="00137435" w:rsidRDefault="00137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387B" w14:textId="2BC2924C" w:rsidR="004322F8" w:rsidRDefault="004322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27344AD" wp14:editId="0FE04E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7149635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0E159" w14:textId="5CD1C7EE" w:rsidR="004322F8" w:rsidRPr="004322F8" w:rsidRDefault="004322F8" w:rsidP="004322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22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344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2000E159" w14:textId="5CD1C7EE" w:rsidR="004322F8" w:rsidRPr="004322F8" w:rsidRDefault="004322F8" w:rsidP="004322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322F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C89D" w14:textId="508AEF7C" w:rsidR="00A2648F" w:rsidRPr="00A2648F" w:rsidRDefault="004322F8" w:rsidP="00A2648F">
    <w:pPr>
      <w:pStyle w:val="Footer"/>
      <w:ind w:left="284"/>
      <w:rPr>
        <w:b/>
        <w:bCs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E038DCA" wp14:editId="20CB1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470415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8232F" w14:textId="28FA9698" w:rsidR="004322F8" w:rsidRPr="004322F8" w:rsidRDefault="004322F8" w:rsidP="004322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22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38D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5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50C8232F" w14:textId="28FA9698" w:rsidR="004322F8" w:rsidRPr="004322F8" w:rsidRDefault="004322F8" w:rsidP="004322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322F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48F"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C50E833" wp14:editId="1DC1C302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441222773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DF4" w:rsidRPr="00BF7DF4">
      <w:t xml:space="preserve"> </w:t>
    </w:r>
    <w:r w:rsidR="00BF7DF4">
      <w:t>Access to Therapeutic Guidelines</w:t>
    </w:r>
    <w:r w:rsidR="00A2648F" w:rsidRPr="00033439">
      <w:tab/>
    </w:r>
    <w:r w:rsidR="00A2648F" w:rsidRPr="00E74653">
      <w:rPr>
        <w:b/>
        <w:bCs/>
      </w:rPr>
      <w:fldChar w:fldCharType="begin"/>
    </w:r>
    <w:r w:rsidR="00A2648F" w:rsidRPr="00E74653">
      <w:rPr>
        <w:b/>
        <w:bCs/>
      </w:rPr>
      <w:instrText xml:space="preserve"> PAGE   \* MERGEFORMAT </w:instrText>
    </w:r>
    <w:r w:rsidR="00A2648F" w:rsidRPr="00E74653">
      <w:rPr>
        <w:b/>
        <w:bCs/>
      </w:rPr>
      <w:fldChar w:fldCharType="separate"/>
    </w:r>
    <w:r w:rsidR="00A2648F">
      <w:rPr>
        <w:b/>
        <w:bCs/>
      </w:rPr>
      <w:t>1</w:t>
    </w:r>
    <w:r w:rsidR="00A2648F" w:rsidRPr="00E7465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574A" w14:textId="29A536B0" w:rsidR="00BB429E" w:rsidRPr="00BB429E" w:rsidRDefault="00BB429E" w:rsidP="00BB429E">
    <w:pPr>
      <w:pStyle w:val="Footer"/>
      <w:ind w:left="284"/>
      <w:rPr>
        <w:b/>
        <w:bCs/>
      </w:rPr>
    </w:pPr>
    <w:r w:rsidRPr="005F110C"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1E455855" wp14:editId="422FB54F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613379742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DF4" w:rsidRPr="00BF7DF4">
      <w:t xml:space="preserve"> </w:t>
    </w:r>
    <w:r w:rsidR="00BF7DF4">
      <w:t>Access to Therapeutic Guidelines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CB0A" w14:textId="77777777" w:rsidR="00137435" w:rsidRDefault="00137435" w:rsidP="001D0AFC">
      <w:r>
        <w:separator/>
      </w:r>
    </w:p>
    <w:p w14:paraId="75EB34A4" w14:textId="77777777" w:rsidR="00137435" w:rsidRDefault="00137435"/>
  </w:footnote>
  <w:footnote w:type="continuationSeparator" w:id="0">
    <w:p w14:paraId="132E9FEC" w14:textId="77777777" w:rsidR="00137435" w:rsidRDefault="00137435" w:rsidP="001D0AFC">
      <w:r>
        <w:continuationSeparator/>
      </w:r>
    </w:p>
    <w:p w14:paraId="7EB9C9F1" w14:textId="77777777" w:rsidR="00137435" w:rsidRDefault="00137435"/>
  </w:footnote>
  <w:footnote w:type="continuationNotice" w:id="1">
    <w:p w14:paraId="66035E53" w14:textId="77777777" w:rsidR="00137435" w:rsidRDefault="00137435">
      <w:pPr>
        <w:spacing w:before="0" w:after="0"/>
      </w:pPr>
    </w:p>
    <w:p w14:paraId="2A4684C0" w14:textId="77777777" w:rsidR="00137435" w:rsidRDefault="00137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26B4" w14:textId="4E486234" w:rsidR="004322F8" w:rsidRDefault="004322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9EC4852" wp14:editId="2A75B4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5918691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5A734" w14:textId="14BC719A" w:rsidR="004322F8" w:rsidRPr="004322F8" w:rsidRDefault="004322F8" w:rsidP="004322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22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C48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35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7715A734" w14:textId="14BC719A" w:rsidR="004322F8" w:rsidRPr="004322F8" w:rsidRDefault="004322F8" w:rsidP="004322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322F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E6329D" w14:paraId="33E2AB78" w14:textId="77777777" w:rsidTr="008450A2">
      <w:trPr>
        <w:trHeight w:hRule="exact" w:val="879"/>
      </w:trPr>
      <w:tc>
        <w:tcPr>
          <w:tcW w:w="8105" w:type="dxa"/>
        </w:tcPr>
        <w:p w14:paraId="570D56AA" w14:textId="4194CD37" w:rsidR="00E6329D" w:rsidRPr="00BF7DF4" w:rsidRDefault="00E6329D" w:rsidP="008450A2">
          <w:pPr>
            <w:pStyle w:val="Header"/>
            <w:rPr>
              <w:color w:val="auto"/>
            </w:rPr>
          </w:pPr>
          <w:r w:rsidRPr="00BF7DF4">
            <w:rPr>
              <w:noProof/>
              <w:color w:val="auto"/>
              <w:sz w:val="16"/>
              <w:szCs w:val="16"/>
            </w:rPr>
            <w:drawing>
              <wp:inline distT="0" distB="0" distL="0" distR="0" wp14:anchorId="24F90C3E" wp14:editId="04918B6E">
                <wp:extent cx="1511250" cy="539305"/>
                <wp:effectExtent l="0" t="0" r="0" b="0"/>
                <wp:docPr id="971298621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298621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35C2890E" w14:textId="77777777" w:rsidR="00E6329D" w:rsidRPr="00BF7DF4" w:rsidRDefault="005F110C" w:rsidP="008450A2">
          <w:pPr>
            <w:pStyle w:val="Header"/>
            <w:rPr>
              <w:b/>
              <w:bCs/>
              <w:color w:val="auto"/>
            </w:rPr>
          </w:pPr>
          <w:r w:rsidRPr="00BF7DF4">
            <w:rPr>
              <w:b/>
              <w:bCs/>
              <w:color w:val="auto"/>
            </w:rPr>
            <w:t>Fact sheet</w:t>
          </w:r>
        </w:p>
        <w:p w14:paraId="0310BB00" w14:textId="41A007F5" w:rsidR="00E6329D" w:rsidRPr="00BF7DF4" w:rsidRDefault="00BF7DF4" w:rsidP="008450A2">
          <w:pPr>
            <w:pStyle w:val="Header"/>
            <w:rPr>
              <w:color w:val="auto"/>
            </w:rPr>
          </w:pPr>
          <w:r w:rsidRPr="00BF7DF4">
            <w:rPr>
              <w:color w:val="auto"/>
            </w:rPr>
            <w:t xml:space="preserve">For clinicians </w:t>
          </w:r>
        </w:p>
      </w:tc>
    </w:tr>
  </w:tbl>
  <w:p w14:paraId="19D8E47A" w14:textId="77777777" w:rsidR="00E6329D" w:rsidRDefault="00E63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BB429E" w14:paraId="13F4829C" w14:textId="77777777" w:rsidTr="008450A2">
      <w:trPr>
        <w:trHeight w:hRule="exact" w:val="879"/>
      </w:trPr>
      <w:tc>
        <w:tcPr>
          <w:tcW w:w="8105" w:type="dxa"/>
        </w:tcPr>
        <w:p w14:paraId="22DD82F9" w14:textId="08CF2C52" w:rsidR="00BB429E" w:rsidRPr="00BF7DF4" w:rsidRDefault="00BB429E" w:rsidP="008450A2">
          <w:pPr>
            <w:pStyle w:val="Header"/>
            <w:rPr>
              <w:color w:val="auto"/>
            </w:rPr>
          </w:pPr>
          <w:r w:rsidRPr="00BF7DF4">
            <w:rPr>
              <w:noProof/>
              <w:color w:val="auto"/>
              <w:sz w:val="16"/>
              <w:szCs w:val="16"/>
            </w:rPr>
            <w:drawing>
              <wp:inline distT="0" distB="0" distL="0" distR="0" wp14:anchorId="5C52A5AC" wp14:editId="0EE3F812">
                <wp:extent cx="1511250" cy="539305"/>
                <wp:effectExtent l="0" t="0" r="0" b="0"/>
                <wp:docPr id="1453594319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594319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26F65EFB" w14:textId="77777777" w:rsidR="00BB429E" w:rsidRPr="00BF7DF4" w:rsidRDefault="005F110C" w:rsidP="008450A2">
          <w:pPr>
            <w:pStyle w:val="Header"/>
            <w:rPr>
              <w:b/>
              <w:bCs/>
              <w:color w:val="auto"/>
            </w:rPr>
          </w:pPr>
          <w:r w:rsidRPr="00BF7DF4">
            <w:rPr>
              <w:b/>
              <w:bCs/>
              <w:color w:val="auto"/>
            </w:rPr>
            <w:t>Fact sheet</w:t>
          </w:r>
        </w:p>
        <w:p w14:paraId="54A68977" w14:textId="24F180AD" w:rsidR="00BB429E" w:rsidRPr="00BF7DF4" w:rsidRDefault="00BF7DF4" w:rsidP="008450A2">
          <w:pPr>
            <w:pStyle w:val="Header"/>
            <w:rPr>
              <w:color w:val="auto"/>
            </w:rPr>
          </w:pPr>
          <w:r w:rsidRPr="00BF7DF4">
            <w:rPr>
              <w:color w:val="auto"/>
            </w:rPr>
            <w:t>For clinicians</w:t>
          </w:r>
        </w:p>
      </w:tc>
    </w:tr>
  </w:tbl>
  <w:p w14:paraId="26434F20" w14:textId="77777777" w:rsidR="00BB429E" w:rsidRPr="00BB429E" w:rsidRDefault="00BB429E" w:rsidP="00BB429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C6CCA0" wp14:editId="4B37F21A">
          <wp:simplePos x="0" y="0"/>
          <wp:positionH relativeFrom="page">
            <wp:align>left</wp:align>
          </wp:positionH>
          <wp:positionV relativeFrom="page">
            <wp:posOffset>1440180</wp:posOffset>
          </wp:positionV>
          <wp:extent cx="7560000" cy="1515600"/>
          <wp:effectExtent l="0" t="0" r="3175" b="8890"/>
          <wp:wrapNone/>
          <wp:docPr id="69882995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2995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639C28A0"/>
    <w:multiLevelType w:val="hybridMultilevel"/>
    <w:tmpl w:val="EAAAF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F7723"/>
    <w:multiLevelType w:val="multilevel"/>
    <w:tmpl w:val="50D0D142"/>
    <w:lvl w:ilvl="0">
      <w:start w:val="1"/>
      <w:numFmt w:val="decimal"/>
      <w:pStyle w:val="Caption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5" w15:restartNumberingAfterBreak="0">
    <w:nsid w:val="71F6279A"/>
    <w:multiLevelType w:val="hybridMultilevel"/>
    <w:tmpl w:val="BE428D4E"/>
    <w:lvl w:ilvl="0" w:tplc="70DE524C">
      <w:start w:val="1"/>
      <w:numFmt w:val="decimal"/>
      <w:pStyle w:val="Tablecaption"/>
      <w:lvlText w:val="Table 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1"/>
  </w:num>
  <w:num w:numId="2" w16cid:durableId="1231190212">
    <w:abstractNumId w:val="4"/>
  </w:num>
  <w:num w:numId="3" w16cid:durableId="579215263">
    <w:abstractNumId w:val="3"/>
  </w:num>
  <w:num w:numId="4" w16cid:durableId="327100884">
    <w:abstractNumId w:val="7"/>
  </w:num>
  <w:num w:numId="5" w16cid:durableId="844396454">
    <w:abstractNumId w:val="0"/>
  </w:num>
  <w:num w:numId="6" w16cid:durableId="2069956620">
    <w:abstractNumId w:val="5"/>
  </w:num>
  <w:num w:numId="7" w16cid:durableId="1959675322">
    <w:abstractNumId w:val="6"/>
  </w:num>
  <w:num w:numId="8" w16cid:durableId="16308144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BF7DF4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0CF"/>
    <w:rsid w:val="00053982"/>
    <w:rsid w:val="000555D8"/>
    <w:rsid w:val="00056BC0"/>
    <w:rsid w:val="00061B6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0455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1D34"/>
    <w:rsid w:val="00133783"/>
    <w:rsid w:val="001338BA"/>
    <w:rsid w:val="001368BE"/>
    <w:rsid w:val="00136B50"/>
    <w:rsid w:val="00137435"/>
    <w:rsid w:val="001425A7"/>
    <w:rsid w:val="001432FE"/>
    <w:rsid w:val="00144282"/>
    <w:rsid w:val="00144718"/>
    <w:rsid w:val="00144E74"/>
    <w:rsid w:val="001457C0"/>
    <w:rsid w:val="00145B28"/>
    <w:rsid w:val="00151F47"/>
    <w:rsid w:val="00152AC1"/>
    <w:rsid w:val="00153AEF"/>
    <w:rsid w:val="001547CB"/>
    <w:rsid w:val="00154C1A"/>
    <w:rsid w:val="00156042"/>
    <w:rsid w:val="001567DD"/>
    <w:rsid w:val="00156D02"/>
    <w:rsid w:val="00157AB6"/>
    <w:rsid w:val="00157CE7"/>
    <w:rsid w:val="00165F83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435B"/>
    <w:rsid w:val="00214B67"/>
    <w:rsid w:val="00216854"/>
    <w:rsid w:val="00217D19"/>
    <w:rsid w:val="0022009C"/>
    <w:rsid w:val="00223F37"/>
    <w:rsid w:val="00226249"/>
    <w:rsid w:val="00227152"/>
    <w:rsid w:val="002307E1"/>
    <w:rsid w:val="00231BB5"/>
    <w:rsid w:val="002320CE"/>
    <w:rsid w:val="00233385"/>
    <w:rsid w:val="002333C5"/>
    <w:rsid w:val="002349BF"/>
    <w:rsid w:val="00242034"/>
    <w:rsid w:val="002422FD"/>
    <w:rsid w:val="00244887"/>
    <w:rsid w:val="00244E46"/>
    <w:rsid w:val="00244FDF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72AAC"/>
    <w:rsid w:val="00274521"/>
    <w:rsid w:val="00275504"/>
    <w:rsid w:val="002776FA"/>
    <w:rsid w:val="00277E47"/>
    <w:rsid w:val="0028070D"/>
    <w:rsid w:val="0028290B"/>
    <w:rsid w:val="002871D8"/>
    <w:rsid w:val="00291082"/>
    <w:rsid w:val="002934C0"/>
    <w:rsid w:val="00295234"/>
    <w:rsid w:val="00296ADC"/>
    <w:rsid w:val="00297206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20667"/>
    <w:rsid w:val="003233EA"/>
    <w:rsid w:val="003262C4"/>
    <w:rsid w:val="00327466"/>
    <w:rsid w:val="003300BD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734D9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22F8"/>
    <w:rsid w:val="00433093"/>
    <w:rsid w:val="004339D6"/>
    <w:rsid w:val="00435303"/>
    <w:rsid w:val="0044217F"/>
    <w:rsid w:val="004438AC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3977"/>
    <w:rsid w:val="0048437F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6084"/>
    <w:rsid w:val="004C6C62"/>
    <w:rsid w:val="004D0DC8"/>
    <w:rsid w:val="004D181B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16C5"/>
    <w:rsid w:val="00537ECB"/>
    <w:rsid w:val="005410C1"/>
    <w:rsid w:val="005520BC"/>
    <w:rsid w:val="00552F86"/>
    <w:rsid w:val="005532C6"/>
    <w:rsid w:val="005559C1"/>
    <w:rsid w:val="00562DF0"/>
    <w:rsid w:val="005634B4"/>
    <w:rsid w:val="0056463F"/>
    <w:rsid w:val="005646CD"/>
    <w:rsid w:val="0056489B"/>
    <w:rsid w:val="00570151"/>
    <w:rsid w:val="005738DA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647D"/>
    <w:rsid w:val="005B158F"/>
    <w:rsid w:val="005B1BD1"/>
    <w:rsid w:val="005B3A1A"/>
    <w:rsid w:val="005B4808"/>
    <w:rsid w:val="005B5231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6D2E"/>
    <w:rsid w:val="0065754D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93D43"/>
    <w:rsid w:val="006A0D5B"/>
    <w:rsid w:val="006A261D"/>
    <w:rsid w:val="006A35DD"/>
    <w:rsid w:val="006A3CDA"/>
    <w:rsid w:val="006A3D01"/>
    <w:rsid w:val="006A780A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5A69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2E4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450A2"/>
    <w:rsid w:val="008520E2"/>
    <w:rsid w:val="00853537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4071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48"/>
    <w:rsid w:val="008E37C3"/>
    <w:rsid w:val="008E6310"/>
    <w:rsid w:val="008E76B2"/>
    <w:rsid w:val="008F22DF"/>
    <w:rsid w:val="008F348D"/>
    <w:rsid w:val="008F68E6"/>
    <w:rsid w:val="009042B2"/>
    <w:rsid w:val="00905EE7"/>
    <w:rsid w:val="00907414"/>
    <w:rsid w:val="009078A0"/>
    <w:rsid w:val="00907D31"/>
    <w:rsid w:val="009148B4"/>
    <w:rsid w:val="009173AC"/>
    <w:rsid w:val="00924284"/>
    <w:rsid w:val="00930132"/>
    <w:rsid w:val="00930D4E"/>
    <w:rsid w:val="00932857"/>
    <w:rsid w:val="00934F89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3AB2"/>
    <w:rsid w:val="0095480D"/>
    <w:rsid w:val="00957C0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26A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F1238"/>
    <w:rsid w:val="009F1578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0F4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87F"/>
    <w:rsid w:val="00AD5C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6484"/>
    <w:rsid w:val="00B36C02"/>
    <w:rsid w:val="00B41440"/>
    <w:rsid w:val="00B41C57"/>
    <w:rsid w:val="00B42F1B"/>
    <w:rsid w:val="00B46E65"/>
    <w:rsid w:val="00B52143"/>
    <w:rsid w:val="00B543B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F1"/>
    <w:rsid w:val="00BE6AD3"/>
    <w:rsid w:val="00BF4B63"/>
    <w:rsid w:val="00BF5F0E"/>
    <w:rsid w:val="00BF6B6C"/>
    <w:rsid w:val="00BF6D6A"/>
    <w:rsid w:val="00BF7DF4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2F2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A32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44E3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590F"/>
    <w:rsid w:val="00D75ED8"/>
    <w:rsid w:val="00D85001"/>
    <w:rsid w:val="00D85656"/>
    <w:rsid w:val="00DA0143"/>
    <w:rsid w:val="00DA0378"/>
    <w:rsid w:val="00DA0EA5"/>
    <w:rsid w:val="00DA1664"/>
    <w:rsid w:val="00DA258B"/>
    <w:rsid w:val="00DA2FE7"/>
    <w:rsid w:val="00DA33AC"/>
    <w:rsid w:val="00DA4D73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3EE9"/>
    <w:rsid w:val="00E956CF"/>
    <w:rsid w:val="00EA114E"/>
    <w:rsid w:val="00EA1341"/>
    <w:rsid w:val="00EA1B2E"/>
    <w:rsid w:val="00EA1C66"/>
    <w:rsid w:val="00EA73F8"/>
    <w:rsid w:val="00EB09A8"/>
    <w:rsid w:val="00EB4D1D"/>
    <w:rsid w:val="00EC21BE"/>
    <w:rsid w:val="00EC3938"/>
    <w:rsid w:val="00EC4D13"/>
    <w:rsid w:val="00EC4F17"/>
    <w:rsid w:val="00EC643A"/>
    <w:rsid w:val="00EC6B5C"/>
    <w:rsid w:val="00ED244D"/>
    <w:rsid w:val="00ED7ED8"/>
    <w:rsid w:val="00EE0E86"/>
    <w:rsid w:val="00EE36E8"/>
    <w:rsid w:val="00EE3ACA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DC3"/>
    <w:rsid w:val="00F07E01"/>
    <w:rsid w:val="00F1198E"/>
    <w:rsid w:val="00F12B0C"/>
    <w:rsid w:val="00F138F0"/>
    <w:rsid w:val="00F13AC6"/>
    <w:rsid w:val="00F14231"/>
    <w:rsid w:val="00F15CD5"/>
    <w:rsid w:val="00F16059"/>
    <w:rsid w:val="00F16393"/>
    <w:rsid w:val="00F20C42"/>
    <w:rsid w:val="00F210BE"/>
    <w:rsid w:val="00F21464"/>
    <w:rsid w:val="00F2533F"/>
    <w:rsid w:val="00F306EF"/>
    <w:rsid w:val="00F30EEE"/>
    <w:rsid w:val="00F3483C"/>
    <w:rsid w:val="00F348CF"/>
    <w:rsid w:val="00F35E47"/>
    <w:rsid w:val="00F36D7A"/>
    <w:rsid w:val="00F3749B"/>
    <w:rsid w:val="00F37592"/>
    <w:rsid w:val="00F400A4"/>
    <w:rsid w:val="00F400EF"/>
    <w:rsid w:val="00F41EF2"/>
    <w:rsid w:val="00F42218"/>
    <w:rsid w:val="00F42BA9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34B3"/>
    <w:rsid w:val="00F85300"/>
    <w:rsid w:val="00F866F9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35D8"/>
    <w:rsid w:val="00FB0353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5BFC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76E41"/>
  <w15:docId w15:val="{C7D2F699-C325-40D8-A55F-C4549C74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uiPriority w:val="17"/>
    <w:rsid w:val="0077172B"/>
    <w:pPr>
      <w:spacing w:before="0" w:after="240" w:line="240" w:lineRule="auto"/>
      <w:ind w:right="567"/>
      <w:contextualSpacing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77172B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link w:val="CaptionChar"/>
    <w:autoRedefine/>
    <w:uiPriority w:val="12"/>
    <w:qFormat/>
    <w:rsid w:val="004438AC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Tablecaption">
    <w:name w:val="Table caption"/>
    <w:basedOn w:val="Caption"/>
    <w:link w:val="TablecaptionChar"/>
    <w:autoRedefine/>
    <w:qFormat/>
    <w:rsid w:val="004438AC"/>
    <w:pPr>
      <w:numPr>
        <w:numId w:val="6"/>
      </w:numPr>
      <w:ind w:left="0" w:firstLine="0"/>
    </w:pPr>
  </w:style>
  <w:style w:type="character" w:customStyle="1" w:styleId="CaptionChar">
    <w:name w:val="Caption Char"/>
    <w:basedOn w:val="DefaultParagraphFont"/>
    <w:link w:val="Caption"/>
    <w:uiPriority w:val="12"/>
    <w:rsid w:val="004438AC"/>
    <w:rPr>
      <w:iCs/>
      <w:sz w:val="20"/>
    </w:rPr>
  </w:style>
  <w:style w:type="character" w:customStyle="1" w:styleId="TablecaptionChar">
    <w:name w:val="Table caption Char"/>
    <w:basedOn w:val="CaptionChar"/>
    <w:link w:val="Tablecaption"/>
    <w:rsid w:val="004438AC"/>
    <w:rPr>
      <w:iCs/>
      <w:sz w:val="20"/>
    </w:r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34"/>
    <w:qFormat/>
    <w:rsid w:val="00BF7DF4"/>
    <w:pPr>
      <w:spacing w:line="240" w:lineRule="auto"/>
      <w:ind w:left="720"/>
      <w:contextualSpacing/>
    </w:pPr>
    <w:rPr>
      <w:rFonts w:ascii="Arial" w:eastAsia="Times New Roman" w:hAnsi="Arial"/>
      <w:color w:val="auto"/>
      <w:lang w:eastAsia="en-AU"/>
    </w:r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qFormat/>
    <w:rsid w:val="00BF7DF4"/>
    <w:rPr>
      <w:rFonts w:ascii="Arial" w:eastAsia="Times New Roman" w:hAnsi="Arial"/>
      <w:color w:val="auto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7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ap.health.nsw.gov.au/" TargetMode="External"/><Relationship Id="rId18" Type="http://schemas.openxmlformats.org/officeDocument/2006/relationships/hyperlink" Target="https://epoch.health.tas.gov.au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sales@tg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g.org.au/about-us/faqs/user-guide/" TargetMode="External"/><Relationship Id="rId17" Type="http://schemas.openxmlformats.org/officeDocument/2006/relationships/hyperlink" Target="https://www.health.wa.gov.au/Articles/U_Z/WA-Health-Libraries-Network" TargetMode="External"/><Relationship Id="rId25" Type="http://schemas.openxmlformats.org/officeDocument/2006/relationships/hyperlink" Target="mailto:medsafety@safetyandquality.gov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ahealthlibrary.sa.gov.au/az.php?q=therapeutic%20guidelines" TargetMode="External"/><Relationship Id="rId20" Type="http://schemas.openxmlformats.org/officeDocument/2006/relationships/hyperlink" Target="https://www.library.health.act.gov.a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g.org.au/faq/" TargetMode="External"/><Relationship Id="rId24" Type="http://schemas.openxmlformats.org/officeDocument/2006/relationships/hyperlink" Target="mailto:ams@safetyandquality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kn.org.au/athenslogin" TargetMode="External"/><Relationship Id="rId23" Type="http://schemas.openxmlformats.org/officeDocument/2006/relationships/hyperlink" Target="https://www.tg.org.au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library.health.nt.gov.au/libraryservices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linicians.vic.gov.au/" TargetMode="External"/><Relationship Id="rId22" Type="http://schemas.openxmlformats.org/officeDocument/2006/relationships/hyperlink" Target="https://www.tg.org.au/faq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IK\AppData\Roaming\Micro%20Focus\Content%20Manager\TRIM\TEMP\HPTRIM.180\D25-28526%20%20Template%20-%20ACSQHC%20-%20Fact%20sheet%20-%20Corporate%20-%204%20page%20max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95A4E-0D56-41A7-9EDA-F2E6ABAB7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F60A6-171E-40CD-A237-626292843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132FD-DB8A-4E73-99EF-46D0D2A817A1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D25-28526  Template - ACSQHC - Fact sheet - Corporate - 4 page max - July 2025.DOTX</Template>
  <TotalTime>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FRASER, Nikki</dc:creator>
  <cp:keywords/>
  <cp:lastModifiedBy>LALSETA, Sankit</cp:lastModifiedBy>
  <cp:revision>6</cp:revision>
  <cp:lastPrinted>2025-05-27T01:51:00Z</cp:lastPrinted>
  <dcterms:created xsi:type="dcterms:W3CDTF">2026-04-22T05:29:00Z</dcterms:created>
  <dcterms:modified xsi:type="dcterms:W3CDTF">2026-05-28T04:54:00Z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  <property fmtid="{D5CDD505-2E9C-101B-9397-08002B2CF9AE}" pid="3" name="ClassificationContentMarkingHeaderShapeIds">
    <vt:lpwstr>502b88df,234734dc,59ddf5a5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5fe48282,66384465,2cdcc1f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2026-04-22T05:23:34Z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00799bf7-64a6-4b07-be69-9993bfcb6946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