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4"/>
      </w:tblGrid>
      <w:tr w:rsidR="00C80AA9" w14:paraId="2877BDD7" w14:textId="77777777" w:rsidTr="00381281">
        <w:trPr>
          <w:trHeight w:hRule="exact" w:val="2387"/>
        </w:trPr>
        <w:tc>
          <w:tcPr>
            <w:tcW w:w="8844" w:type="dxa"/>
            <w:vAlign w:val="center"/>
          </w:tcPr>
          <w:p w14:paraId="3EC86281" w14:textId="315728BF" w:rsidR="00F21464" w:rsidRPr="00F04ADD" w:rsidRDefault="00EE2FBA" w:rsidP="00F04ADD">
            <w:pPr>
              <w:pStyle w:val="Title"/>
              <w:spacing w:after="0"/>
              <w:rPr>
                <w:rFonts w:cstheme="minorHAnsi"/>
                <w:bCs/>
                <w:szCs w:val="56"/>
              </w:rPr>
            </w:pPr>
            <w:r>
              <w:rPr>
                <w:rFonts w:eastAsiaTheme="majorEastAsia" w:cstheme="minorHAnsi"/>
                <w:bCs/>
                <w:iCs/>
                <w:color w:val="auto"/>
                <w:kern w:val="28"/>
                <w:szCs w:val="56"/>
                <w:lang w:eastAsia="en-AU"/>
              </w:rPr>
              <w:t>B</w:t>
            </w:r>
            <w:r w:rsidR="00F04ADD" w:rsidRPr="00F04ADD">
              <w:rPr>
                <w:rFonts w:eastAsiaTheme="majorEastAsia" w:cstheme="minorHAnsi"/>
                <w:bCs/>
                <w:iCs/>
                <w:color w:val="auto"/>
                <w:kern w:val="28"/>
                <w:szCs w:val="56"/>
                <w:lang w:eastAsia="en-AU"/>
              </w:rPr>
              <w:t xml:space="preserve">enzathine benzylpenicillin </w:t>
            </w:r>
            <w:r>
              <w:rPr>
                <w:rFonts w:eastAsiaTheme="majorEastAsia" w:cstheme="minorHAnsi"/>
                <w:bCs/>
                <w:iCs/>
                <w:color w:val="auto"/>
                <w:kern w:val="28"/>
                <w:szCs w:val="56"/>
                <w:lang w:eastAsia="en-AU"/>
              </w:rPr>
              <w:t xml:space="preserve">safety during </w:t>
            </w:r>
            <w:r w:rsidR="00F04ADD" w:rsidRPr="00F04ADD">
              <w:rPr>
                <w:rFonts w:eastAsiaTheme="majorEastAsia" w:cstheme="minorHAnsi"/>
                <w:bCs/>
                <w:iCs/>
                <w:color w:val="auto"/>
                <w:kern w:val="28"/>
                <w:szCs w:val="56"/>
                <w:lang w:eastAsia="en-AU"/>
              </w:rPr>
              <w:t>supply disruption</w:t>
            </w:r>
          </w:p>
        </w:tc>
      </w:tr>
    </w:tbl>
    <w:p w14:paraId="73CCDEDF" w14:textId="15B93AEE" w:rsidR="00F04ADD" w:rsidRDefault="00F04ADD" w:rsidP="00BD5153">
      <w:pPr>
        <w:pStyle w:val="IntroPara"/>
      </w:pPr>
      <w:r>
        <w:t>This fact sheet</w:t>
      </w:r>
      <w:r w:rsidRPr="00F04ADD">
        <w:t xml:space="preserve"> aims to assist health service organisations (HSOs) and clinicians </w:t>
      </w:r>
      <w:r>
        <w:t xml:space="preserve">to </w:t>
      </w:r>
      <w:r w:rsidRPr="00F04ADD">
        <w:t xml:space="preserve">understand and manage safety </w:t>
      </w:r>
      <w:r w:rsidR="00EE2FBA">
        <w:t>consideration</w:t>
      </w:r>
      <w:r w:rsidRPr="00F04ADD">
        <w:t>s related to the disrupted supply of benzathine benzylpenicillin (</w:t>
      </w:r>
      <w:proofErr w:type="spellStart"/>
      <w:r w:rsidRPr="00F04ADD">
        <w:t>Bicillin</w:t>
      </w:r>
      <w:proofErr w:type="spellEnd"/>
      <w:r w:rsidRPr="00F04ADD">
        <w:t xml:space="preserve"> L-A) in Australia.</w:t>
      </w:r>
    </w:p>
    <w:p w14:paraId="11E50A83" w14:textId="77777777" w:rsidR="00F04ADD" w:rsidRDefault="00F04ADD" w:rsidP="00317616">
      <w:pPr>
        <w:pStyle w:val="Heading1"/>
      </w:pPr>
      <w:r w:rsidRPr="00F04ADD">
        <w:t>Background</w:t>
      </w:r>
    </w:p>
    <w:p w14:paraId="5E2A32C5" w14:textId="20B9D8CE" w:rsidR="00F04ADD" w:rsidRDefault="00585058" w:rsidP="00F04ADD">
      <w:r>
        <w:t>T</w:t>
      </w:r>
      <w:r w:rsidR="00F04ADD" w:rsidRPr="00911D61">
        <w:t>his fact sheet has been developed by</w:t>
      </w:r>
      <w:r w:rsidR="00F04ADD">
        <w:t xml:space="preserve"> the</w:t>
      </w:r>
      <w:r w:rsidR="00F04ADD" w:rsidRPr="00911D61">
        <w:t xml:space="preserve"> Australian Commission on Safety and Quality in Health Care (the Commission)</w:t>
      </w:r>
      <w:r>
        <w:t xml:space="preserve"> at</w:t>
      </w:r>
      <w:r w:rsidRPr="00911D61">
        <w:t xml:space="preserve"> the request of the Department of Health</w:t>
      </w:r>
      <w:r>
        <w:t>, Disability and Ageing</w:t>
      </w:r>
      <w:r w:rsidR="00025D25">
        <w:t>.</w:t>
      </w:r>
    </w:p>
    <w:p w14:paraId="750676F9" w14:textId="77777777" w:rsidR="00F04ADD" w:rsidRPr="00F81F70" w:rsidRDefault="00F04ADD" w:rsidP="00F04ADD">
      <w:pPr>
        <w:rPr>
          <w:b/>
        </w:rPr>
      </w:pPr>
      <w:r w:rsidRPr="001C70DE">
        <w:rPr>
          <w:b/>
        </w:rPr>
        <w:t>Benzathine benzylpenicillin</w:t>
      </w:r>
      <w:r w:rsidRPr="00F81F70">
        <w:t xml:space="preserve"> </w:t>
      </w:r>
      <w:r w:rsidRPr="00911D61">
        <w:t xml:space="preserve">is a long-acting antibiotic formulation that is typically used in uncomplicated syphilis and rheumatic heart disease (RHD) prevention. Refer to the </w:t>
      </w:r>
      <w:hyperlink r:id="rId11" w:history="1">
        <w:r w:rsidRPr="00EE7F96">
          <w:rPr>
            <w:rStyle w:val="Hyperlink"/>
          </w:rPr>
          <w:t>Therapeutic Guidelines: Antibiotic</w:t>
        </w:r>
      </w:hyperlink>
      <w:r>
        <w:t xml:space="preserve"> for additional information.</w:t>
      </w:r>
    </w:p>
    <w:p w14:paraId="2DC18B37" w14:textId="4AF36E8A" w:rsidR="00F04ADD" w:rsidRPr="00F04ADD" w:rsidRDefault="00F04ADD" w:rsidP="00317616">
      <w:pPr>
        <w:pStyle w:val="Heading1"/>
      </w:pPr>
      <w:r w:rsidRPr="00F04ADD">
        <w:t>Situation</w:t>
      </w:r>
    </w:p>
    <w:p w14:paraId="1F7787FD" w14:textId="77BEC760" w:rsidR="00F04ADD" w:rsidRPr="00F81F70" w:rsidRDefault="00F04ADD" w:rsidP="00F04ADD">
      <w:r>
        <w:t xml:space="preserve">The Therapeutic Goods Administration (TGA) has advised </w:t>
      </w:r>
      <w:r w:rsidR="00025D25">
        <w:t xml:space="preserve">of </w:t>
      </w:r>
      <w:r>
        <w:t xml:space="preserve">a </w:t>
      </w:r>
      <w:hyperlink r:id="rId12" w:history="1">
        <w:r w:rsidR="005D2EBD" w:rsidRPr="000D788B">
          <w:rPr>
            <w:rStyle w:val="Hyperlink"/>
          </w:rPr>
          <w:t>worldwide</w:t>
        </w:r>
        <w:r w:rsidRPr="000D788B">
          <w:rPr>
            <w:rStyle w:val="Hyperlink"/>
          </w:rPr>
          <w:t xml:space="preserve"> disruption</w:t>
        </w:r>
      </w:hyperlink>
      <w:r>
        <w:t xml:space="preserve"> to the </w:t>
      </w:r>
      <w:r>
        <w:br/>
        <w:t xml:space="preserve">supply of: </w:t>
      </w:r>
    </w:p>
    <w:p w14:paraId="47A8BFFD" w14:textId="136B64E6" w:rsidR="00F04ADD" w:rsidRPr="003D7314" w:rsidRDefault="00F04ADD" w:rsidP="003D7314">
      <w:pPr>
        <w:pStyle w:val="ListBullet"/>
      </w:pPr>
      <w:r w:rsidRPr="003D7314">
        <w:t>Benzathine benzylpenicillin tetrahydrate (</w:t>
      </w:r>
      <w:proofErr w:type="spellStart"/>
      <w:r w:rsidRPr="003D7314">
        <w:t>Bicillin</w:t>
      </w:r>
      <w:proofErr w:type="spellEnd"/>
      <w:r w:rsidRPr="003D7314">
        <w:t xml:space="preserve"> L-A) 600,000 units/1.17 mL</w:t>
      </w:r>
      <w:r w:rsidR="00F43EEF">
        <w:t xml:space="preserve"> </w:t>
      </w:r>
      <w:r w:rsidRPr="003D7314">
        <w:t>suspension for injection pre-filled syringe</w:t>
      </w:r>
    </w:p>
    <w:p w14:paraId="3F0DCBCF" w14:textId="77777777" w:rsidR="00E9298A" w:rsidRDefault="00F04ADD" w:rsidP="00E9298A">
      <w:pPr>
        <w:pStyle w:val="ListBullet"/>
      </w:pPr>
      <w:r w:rsidRPr="003D7314">
        <w:t>Benzathine benzylpenicillin tetrahydrate (</w:t>
      </w:r>
      <w:proofErr w:type="spellStart"/>
      <w:r w:rsidRPr="003D7314">
        <w:t>Bicillin</w:t>
      </w:r>
      <w:proofErr w:type="spellEnd"/>
      <w:r w:rsidRPr="003D7314">
        <w:t xml:space="preserve"> L-A) 1,200,000 units/2.3 mL suspension for injection pre-filled syringe.</w:t>
      </w:r>
    </w:p>
    <w:p w14:paraId="5F132529" w14:textId="1FD64E0E" w:rsidR="00F04ADD" w:rsidRPr="003D7314" w:rsidRDefault="00F04ADD" w:rsidP="00E9298A">
      <w:pPr>
        <w:pStyle w:val="ListBullet"/>
        <w:numPr>
          <w:ilvl w:val="0"/>
          <w:numId w:val="0"/>
        </w:numPr>
      </w:pPr>
      <w:r w:rsidRPr="003D7314">
        <w:t xml:space="preserve">Updates and information about the shortage, and return to supply dates, are available on the TGA </w:t>
      </w:r>
      <w:hyperlink r:id="rId13" w:history="1">
        <w:r w:rsidR="00E9298A" w:rsidRPr="00AE244A">
          <w:rPr>
            <w:rStyle w:val="Hyperlink"/>
          </w:rPr>
          <w:t>Medicine Shortage Reports Database</w:t>
        </w:r>
      </w:hyperlink>
      <w:r w:rsidRPr="003D7314">
        <w:t>.</w:t>
      </w:r>
    </w:p>
    <w:p w14:paraId="03EB9FD1" w14:textId="4BA6F0E4" w:rsidR="00585058" w:rsidRDefault="00FC4942" w:rsidP="00965BCC">
      <w:r w:rsidRPr="00FC4942">
        <w:t xml:space="preserve">To alleviate the impact of this shortage, the TGA has approved the importation and supply of overseas-registered alternatives under Section 19A (S19A) of the Therapeutic Goods Act 1989. For full details of current approvals, including duration of approval, see the </w:t>
      </w:r>
      <w:hyperlink r:id="rId14" w:history="1">
        <w:r w:rsidRPr="004E138E">
          <w:rPr>
            <w:rStyle w:val="Hyperlink"/>
          </w:rPr>
          <w:t>Section 19A Approvals Database</w:t>
        </w:r>
      </w:hyperlink>
      <w:r w:rsidRPr="00FC4942">
        <w:t>. The alternative S19A products may differ from the Australian registered product (</w:t>
      </w:r>
      <w:proofErr w:type="spellStart"/>
      <w:r w:rsidRPr="00FC4942">
        <w:t>Bicillin</w:t>
      </w:r>
      <w:proofErr w:type="spellEnd"/>
      <w:r w:rsidRPr="00FC4942">
        <w:t xml:space="preserve"> L-A). A comparison of the products/formulations is available in </w:t>
      </w:r>
      <w:r w:rsidRPr="00AC5644">
        <w:rPr>
          <w:b/>
          <w:bCs/>
        </w:rPr>
        <w:t>Table 1</w:t>
      </w:r>
      <w:r w:rsidRPr="00FC4942">
        <w:t xml:space="preserve"> (at the end of this fact sheet).  </w:t>
      </w:r>
    </w:p>
    <w:p w14:paraId="7E2166C6" w14:textId="15A300DE" w:rsidR="00E9298A" w:rsidRDefault="00E9298A" w:rsidP="00E9298A">
      <w:pPr>
        <w:rPr>
          <w:b/>
          <w:iCs/>
        </w:rPr>
      </w:pPr>
      <w:r w:rsidRPr="00D33B8A">
        <w:t xml:space="preserve">The dose specifications (including for special populations), warnings and precautions and side effect information may vary across the </w:t>
      </w:r>
      <w:r>
        <w:t>products. Full details are found in the P</w:t>
      </w:r>
      <w:r w:rsidRPr="00D33B8A">
        <w:t>roduct Information</w:t>
      </w:r>
      <w:r>
        <w:t xml:space="preserve"> (PI)</w:t>
      </w:r>
      <w:r w:rsidRPr="00D33B8A">
        <w:t xml:space="preserve"> or Summary of Product </w:t>
      </w:r>
      <w:proofErr w:type="gramStart"/>
      <w:r w:rsidRPr="00D33B8A">
        <w:t>Characteristic</w:t>
      </w:r>
      <w:r>
        <w:t>s</w:t>
      </w:r>
      <w:r w:rsidR="00906354">
        <w:t>(</w:t>
      </w:r>
      <w:proofErr w:type="gramEnd"/>
      <w:r w:rsidR="00906354">
        <w:t>SmPC)</w:t>
      </w:r>
      <w:r w:rsidRPr="00D33B8A">
        <w:t xml:space="preserve"> </w:t>
      </w:r>
      <w:r>
        <w:t xml:space="preserve">for each of the S19A products </w:t>
      </w:r>
      <w:r w:rsidRPr="00D33B8A">
        <w:t xml:space="preserve">according to the country </w:t>
      </w:r>
      <w:r>
        <w:t>of registration</w:t>
      </w:r>
      <w:r w:rsidRPr="00D33B8A">
        <w:t xml:space="preserve">. This information is appropriate at the time of initial renewed product registration. </w:t>
      </w:r>
    </w:p>
    <w:p w14:paraId="6270A453" w14:textId="0C692EBE" w:rsidR="00E9298A" w:rsidRDefault="00E9298A" w:rsidP="00E9298A">
      <w:pPr>
        <w:rPr>
          <w:b/>
          <w:iCs/>
        </w:rPr>
      </w:pPr>
      <w:r w:rsidRPr="00D33B8A">
        <w:t xml:space="preserve">For the recommended dosing information for the approved indications, prescribers are referred to the Australian </w:t>
      </w:r>
      <w:r>
        <w:t>PI</w:t>
      </w:r>
      <w:r w:rsidRPr="00D33B8A">
        <w:t xml:space="preserve"> for </w:t>
      </w:r>
      <w:proofErr w:type="spellStart"/>
      <w:r w:rsidRPr="00D33B8A">
        <w:t>Bicillin</w:t>
      </w:r>
      <w:proofErr w:type="spellEnd"/>
      <w:r w:rsidRPr="00D33B8A">
        <w:t xml:space="preserve"> L-A benzylpenicillin tetrahydrate 1,200,000 </w:t>
      </w:r>
      <w:r w:rsidR="004E138E">
        <w:t>u</w:t>
      </w:r>
      <w:r w:rsidRPr="00D33B8A">
        <w:t xml:space="preserve">nits / </w:t>
      </w:r>
      <w:r w:rsidRPr="00D33B8A">
        <w:lastRenderedPageBreak/>
        <w:t>2.3 mL suspension for injection</w:t>
      </w:r>
      <w:r w:rsidR="00EE2FBA">
        <w:t>,</w:t>
      </w:r>
      <w:r w:rsidRPr="00D33B8A">
        <w:t xml:space="preserve"> pre-filled syringe with needle. Clinicians are expected to use their clinical judgement supported by the most recent evidence-based information to ensure safe and quality use of the products</w:t>
      </w:r>
      <w:r>
        <w:t>.</w:t>
      </w:r>
    </w:p>
    <w:p w14:paraId="211B31A6" w14:textId="77777777" w:rsidR="003D7314" w:rsidRPr="00F81F70" w:rsidRDefault="003D7314" w:rsidP="00317616">
      <w:pPr>
        <w:pStyle w:val="Heading1"/>
      </w:pPr>
      <w:r w:rsidRPr="00F81F70">
        <w:t xml:space="preserve">Safety </w:t>
      </w:r>
      <w:r>
        <w:t>and suitability c</w:t>
      </w:r>
      <w:r w:rsidRPr="00F81F70">
        <w:t>onsiderations</w:t>
      </w:r>
    </w:p>
    <w:p w14:paraId="24A66425" w14:textId="77777777" w:rsidR="00E9298A" w:rsidRPr="006C23DF" w:rsidRDefault="00E9298A" w:rsidP="00E9298A">
      <w:r w:rsidRPr="006C23DF">
        <w:t xml:space="preserve">There are </w:t>
      </w:r>
      <w:r w:rsidRPr="00ED1FE4">
        <w:t xml:space="preserve">safety considerations due to differences between </w:t>
      </w:r>
      <w:proofErr w:type="spellStart"/>
      <w:r w:rsidRPr="00ED1FE4">
        <w:t>Bicillin</w:t>
      </w:r>
      <w:proofErr w:type="spellEnd"/>
      <w:r w:rsidRPr="00ED1FE4">
        <w:t xml:space="preserve"> L-A and</w:t>
      </w:r>
      <w:r>
        <w:t xml:space="preserve"> the</w:t>
      </w:r>
      <w:r w:rsidRPr="00ED1FE4">
        <w:t xml:space="preserve"> </w:t>
      </w:r>
      <w:r w:rsidRPr="00C74071">
        <w:rPr>
          <w:b/>
          <w:bCs/>
        </w:rPr>
        <w:t>S19A alternatives</w:t>
      </w:r>
      <w:r>
        <w:rPr>
          <w:b/>
          <w:bCs/>
        </w:rPr>
        <w:t xml:space="preserve"> </w:t>
      </w:r>
      <w:r w:rsidRPr="00B604F2">
        <w:t>that require</w:t>
      </w:r>
      <w:r w:rsidRPr="006C23DF">
        <w:t xml:space="preserve"> reconstitution with a diluent</w:t>
      </w:r>
      <w:r>
        <w:t>. Reconstitution and the requirement for immediate administration</w:t>
      </w:r>
      <w:r w:rsidRPr="006C23DF">
        <w:t xml:space="preserve"> </w:t>
      </w:r>
      <w:r>
        <w:t xml:space="preserve">may </w:t>
      </w:r>
      <w:r w:rsidRPr="006C23DF">
        <w:t xml:space="preserve">make </w:t>
      </w:r>
      <w:r>
        <w:t>these products</w:t>
      </w:r>
      <w:r w:rsidRPr="006C23DF">
        <w:t xml:space="preserve"> less suitable than </w:t>
      </w:r>
      <w:r w:rsidRPr="00ED1FE4">
        <w:t>pre-filled syringes</w:t>
      </w:r>
      <w:r>
        <w:t xml:space="preserve"> for use in some patient cohorts and</w:t>
      </w:r>
      <w:r w:rsidRPr="006C23DF">
        <w:t xml:space="preserve"> settings. </w:t>
      </w:r>
    </w:p>
    <w:p w14:paraId="1E5C93F8" w14:textId="77777777" w:rsidR="00E9298A" w:rsidRDefault="00E9298A" w:rsidP="00E9298A">
      <w:r>
        <w:t xml:space="preserve">The need to reconstitute the </w:t>
      </w:r>
      <w:r w:rsidRPr="008434AB">
        <w:rPr>
          <w:b/>
          <w:bCs/>
        </w:rPr>
        <w:t>S19A alternative</w:t>
      </w:r>
      <w:r>
        <w:rPr>
          <w:b/>
          <w:bCs/>
        </w:rPr>
        <w:t>s</w:t>
      </w:r>
      <w:r>
        <w:t xml:space="preserve"> prior to</w:t>
      </w:r>
      <w:r w:rsidRPr="006C23DF">
        <w:t xml:space="preserve"> administration</w:t>
      </w:r>
      <w:r>
        <w:t>, and a larger volume for administration,</w:t>
      </w:r>
      <w:r w:rsidRPr="006C23DF">
        <w:t xml:space="preserve"> should be considered as part of conserving supply of available benzathine benzylpenicillin</w:t>
      </w:r>
      <w:r>
        <w:t xml:space="preserve"> (</w:t>
      </w:r>
      <w:proofErr w:type="spellStart"/>
      <w:r>
        <w:t>Bicillin</w:t>
      </w:r>
      <w:proofErr w:type="spellEnd"/>
      <w:r>
        <w:t xml:space="preserve"> L-A) </w:t>
      </w:r>
      <w:r w:rsidRPr="00ED1FE4">
        <w:t>prefilled syringes</w:t>
      </w:r>
      <w:r>
        <w:t xml:space="preserve"> for rural and remote settings and paediatric patients</w:t>
      </w:r>
      <w:r w:rsidRPr="006C23DF">
        <w:t>.</w:t>
      </w:r>
      <w:r>
        <w:t xml:space="preserve"> </w:t>
      </w:r>
    </w:p>
    <w:p w14:paraId="439BA03A" w14:textId="44113C18" w:rsidR="006C658C" w:rsidRDefault="006C658C" w:rsidP="006C658C">
      <w:bookmarkStart w:id="0" w:name="_Hlk206414370"/>
      <w:proofErr w:type="spellStart"/>
      <w:r>
        <w:t>L</w:t>
      </w:r>
      <w:r w:rsidR="0018082D">
        <w:t>entocilin</w:t>
      </w:r>
      <w:proofErr w:type="spellEnd"/>
      <w:r w:rsidR="0018082D" w:rsidRPr="006C658C">
        <w:t xml:space="preserve"> </w:t>
      </w:r>
      <w:r w:rsidR="0018082D">
        <w:t>S</w:t>
      </w:r>
      <w:bookmarkEnd w:id="0"/>
      <w:r w:rsidR="00A9073B">
        <w:t xml:space="preserve"> 1200</w:t>
      </w:r>
      <w:r w:rsidR="00025D25">
        <w:t xml:space="preserve"> (Portugal)</w:t>
      </w:r>
      <w:r w:rsidR="0018082D">
        <w:t xml:space="preserve"> contains</w:t>
      </w:r>
      <w:r>
        <w:t xml:space="preserve"> a diluent of 1.5% lidocaine solution for injection. </w:t>
      </w:r>
      <w:bookmarkStart w:id="1" w:name="_Hlk206404832"/>
      <w:r w:rsidR="00025D25">
        <w:t>C</w:t>
      </w:r>
      <w:r w:rsidR="00025D25" w:rsidRPr="006C658C">
        <w:t>aution is recommended</w:t>
      </w:r>
      <w:r w:rsidR="00025D25">
        <w:t xml:space="preserve"> in some patient groups if lidocaine is used</w:t>
      </w:r>
      <w:r w:rsidR="00906354">
        <w:t xml:space="preserve"> as a diluent</w:t>
      </w:r>
      <w:r w:rsidR="00025D25">
        <w:t xml:space="preserve">. Alternatively, water for injection may be used to reconstitute </w:t>
      </w:r>
      <w:proofErr w:type="spellStart"/>
      <w:r w:rsidR="0018082D">
        <w:t>Lentocilin</w:t>
      </w:r>
      <w:proofErr w:type="spellEnd"/>
      <w:r w:rsidR="0018082D" w:rsidRPr="006C658C">
        <w:t xml:space="preserve"> </w:t>
      </w:r>
      <w:r w:rsidR="0018082D">
        <w:t>S</w:t>
      </w:r>
      <w:r w:rsidR="00A9073B">
        <w:t xml:space="preserve"> 1200</w:t>
      </w:r>
      <w:r w:rsidR="00025D25">
        <w:t>. Note: L</w:t>
      </w:r>
      <w:r w:rsidRPr="00210E69">
        <w:t>idocaine 1.5% is a Schedule 4 medicine</w:t>
      </w:r>
      <w:r>
        <w:t xml:space="preserve"> </w:t>
      </w:r>
      <w:r w:rsidR="00025D25">
        <w:t xml:space="preserve">and requires </w:t>
      </w:r>
      <w:r>
        <w:t xml:space="preserve">a </w:t>
      </w:r>
      <w:r w:rsidRPr="00210E69">
        <w:t xml:space="preserve">separate prescription in addition to that for </w:t>
      </w:r>
      <w:bookmarkEnd w:id="1"/>
      <w:proofErr w:type="spellStart"/>
      <w:r w:rsidR="0018082D">
        <w:t>Lentocilin</w:t>
      </w:r>
      <w:proofErr w:type="spellEnd"/>
      <w:r w:rsidR="0018082D" w:rsidRPr="006C658C">
        <w:t xml:space="preserve"> </w:t>
      </w:r>
      <w:r w:rsidR="0018082D">
        <w:t>S</w:t>
      </w:r>
      <w:r w:rsidR="00A9073B">
        <w:t xml:space="preserve"> 1200</w:t>
      </w:r>
      <w:r w:rsidR="009A1B54">
        <w:t xml:space="preserve">. </w:t>
      </w:r>
    </w:p>
    <w:p w14:paraId="60A5513B" w14:textId="5B793DBC" w:rsidR="00E9298A" w:rsidRDefault="00E9298A" w:rsidP="00E9298A">
      <w:r w:rsidRPr="007B4987">
        <w:t xml:space="preserve">The </w:t>
      </w:r>
      <w:r w:rsidRPr="007B4987">
        <w:rPr>
          <w:b/>
          <w:bCs/>
        </w:rPr>
        <w:t>same safety and suitability considerations</w:t>
      </w:r>
      <w:r w:rsidRPr="007B4987">
        <w:t xml:space="preserve"> should be applied to any alternative brands of benzathine benzylpenicillin that might be sourced via the Special Access Scheme (SAS)</w:t>
      </w:r>
      <w:r>
        <w:t xml:space="preserve"> but </w:t>
      </w:r>
      <w:r w:rsidR="005D2EBD">
        <w:t xml:space="preserve">not approved by the TGA </w:t>
      </w:r>
      <w:r>
        <w:t>under S19A.</w:t>
      </w:r>
    </w:p>
    <w:p w14:paraId="4394C47A" w14:textId="77777777" w:rsidR="003D7314" w:rsidRPr="00F81F70" w:rsidRDefault="003D7314" w:rsidP="00317616">
      <w:pPr>
        <w:pStyle w:val="Heading1"/>
      </w:pPr>
      <w:r>
        <w:t>P</w:t>
      </w:r>
      <w:r w:rsidRPr="00F81F70">
        <w:t>ractice points</w:t>
      </w:r>
    </w:p>
    <w:p w14:paraId="435A8260" w14:textId="77777777" w:rsidR="003D7314" w:rsidRPr="00016AF9" w:rsidRDefault="003D7314" w:rsidP="003D7314">
      <w:pPr>
        <w:rPr>
          <w:rFonts w:cstheme="minorHAnsi"/>
        </w:rPr>
      </w:pPr>
      <w:r w:rsidRPr="00016AF9">
        <w:rPr>
          <w:rFonts w:cstheme="minorHAnsi"/>
        </w:rPr>
        <w:t>The following practice points are recommended to support clinical decision-making around the use of benzathine benzylpenicillin:</w:t>
      </w:r>
    </w:p>
    <w:p w14:paraId="024876CB" w14:textId="70688F61" w:rsidR="003D7314" w:rsidRPr="003D7314" w:rsidRDefault="00232E50" w:rsidP="003D7314">
      <w:pPr>
        <w:pStyle w:val="ListNumber"/>
      </w:pPr>
      <w:r w:rsidRPr="003D7314">
        <w:rPr>
          <w:b/>
          <w:bCs/>
        </w:rPr>
        <w:t>Confirm the need</w:t>
      </w:r>
      <w:r w:rsidR="003D7314" w:rsidRPr="003D7314">
        <w:t xml:space="preserve"> to use an antibiotic.</w:t>
      </w:r>
    </w:p>
    <w:p w14:paraId="3101FC06" w14:textId="5E7F3179" w:rsidR="003D7314" w:rsidRPr="003D7314" w:rsidRDefault="00232E50" w:rsidP="003D7314">
      <w:pPr>
        <w:pStyle w:val="ListNumber"/>
      </w:pPr>
      <w:r w:rsidRPr="003D7314">
        <w:rPr>
          <w:b/>
          <w:bCs/>
        </w:rPr>
        <w:t>Consider</w:t>
      </w:r>
      <w:r w:rsidR="003D7314" w:rsidRPr="003D7314">
        <w:rPr>
          <w:b/>
          <w:bCs/>
        </w:rPr>
        <w:t xml:space="preserve"> if prescribing for a priority indication of benzathine benzylpenicillin.</w:t>
      </w:r>
      <w:r w:rsidR="003D7314" w:rsidRPr="003D7314">
        <w:t xml:space="preserve"> Benzathine benzylpenicillin should be prioritised for use in the following conditions:</w:t>
      </w:r>
    </w:p>
    <w:p w14:paraId="342E4774" w14:textId="77777777" w:rsidR="003D7314" w:rsidRPr="003D7314" w:rsidRDefault="003D7314" w:rsidP="007D1845">
      <w:pPr>
        <w:pStyle w:val="ListBullet2"/>
      </w:pPr>
      <w:r w:rsidRPr="003D7314">
        <w:t>treatment of definite, probable and possible acute rheumatic fever (ARF)</w:t>
      </w:r>
    </w:p>
    <w:p w14:paraId="6E77EC61" w14:textId="2D0F5416" w:rsidR="003D7314" w:rsidRPr="003D7314" w:rsidRDefault="003D7314" w:rsidP="007D1845">
      <w:pPr>
        <w:pStyle w:val="ListBullet2"/>
      </w:pPr>
      <w:r w:rsidRPr="003D7314">
        <w:t>secondary prophylaxis of ARF and secondary prophylaxis of</w:t>
      </w:r>
      <w:r w:rsidR="00862E72">
        <w:t xml:space="preserve"> </w:t>
      </w:r>
      <w:r w:rsidR="00906354">
        <w:t>R</w:t>
      </w:r>
      <w:r w:rsidRPr="003D7314">
        <w:t>HD</w:t>
      </w:r>
    </w:p>
    <w:p w14:paraId="09B42AC5" w14:textId="77777777" w:rsidR="003D7314" w:rsidRPr="003D7314" w:rsidRDefault="003D7314" w:rsidP="007D1845">
      <w:pPr>
        <w:pStyle w:val="ListBullet2"/>
      </w:pPr>
      <w:r w:rsidRPr="003D7314">
        <w:t>treatment of syphilis</w:t>
      </w:r>
      <w:r w:rsidRPr="003D7314">
        <w:rPr>
          <w:rFonts w:eastAsiaTheme="minorHAnsi"/>
          <w:b/>
          <w:iCs/>
        </w:rPr>
        <w:t xml:space="preserve"> </w:t>
      </w:r>
      <w:r w:rsidRPr="003D7314">
        <w:t>in those with proven or suspected infection and their recent sexual contacts</w:t>
      </w:r>
    </w:p>
    <w:p w14:paraId="5FD97FD6" w14:textId="77777777" w:rsidR="003D7314" w:rsidRPr="003D7314" w:rsidRDefault="003D7314" w:rsidP="007D1845">
      <w:pPr>
        <w:pStyle w:val="ListBullet2"/>
      </w:pPr>
      <w:r w:rsidRPr="003D7314">
        <w:t>patients who require treatment for group-A streptococcal infection of the respiratory tract and skin who are at high risk of ARF, RHD or post-streptococcal glomerulonephritis, where oral therapy is not acceptable or the likelihood of non-adherence is high.</w:t>
      </w:r>
    </w:p>
    <w:p w14:paraId="360A1E64" w14:textId="7D90468F" w:rsidR="003D7314" w:rsidRPr="003D7314" w:rsidRDefault="003D7314" w:rsidP="003D7314">
      <w:pPr>
        <w:pStyle w:val="ListNumber"/>
      </w:pPr>
      <w:r w:rsidRPr="003D7314">
        <w:rPr>
          <w:b/>
          <w:bCs/>
        </w:rPr>
        <w:t>S</w:t>
      </w:r>
      <w:r w:rsidR="00232E50" w:rsidRPr="003D7314">
        <w:rPr>
          <w:b/>
          <w:bCs/>
        </w:rPr>
        <w:t>eek advice</w:t>
      </w:r>
      <w:r w:rsidRPr="003D7314">
        <w:t xml:space="preserve"> from local Infectious Diseases experts and/or the Therapeutic Guidelines: Antibiotic (including the </w:t>
      </w:r>
      <w:hyperlink r:id="rId15" w:history="1">
        <w:r w:rsidRPr="00D8032A">
          <w:rPr>
            <w:rStyle w:val="Hyperlink"/>
          </w:rPr>
          <w:t>Antibiotic prescribing in primary care: summary table</w:t>
        </w:r>
      </w:hyperlink>
      <w:r w:rsidRPr="00D8032A">
        <w:t>)</w:t>
      </w:r>
      <w:r w:rsidRPr="003D7314">
        <w:t xml:space="preserve"> for </w:t>
      </w:r>
      <w:r w:rsidR="00232E50" w:rsidRPr="003D7314">
        <w:rPr>
          <w:b/>
          <w:bCs/>
        </w:rPr>
        <w:t>alternative agents</w:t>
      </w:r>
      <w:r w:rsidRPr="003D7314">
        <w:t xml:space="preserve"> for indications not identified as a </w:t>
      </w:r>
      <w:r w:rsidR="00242678" w:rsidRPr="003D7314">
        <w:t>priority</w:t>
      </w:r>
      <w:r w:rsidR="00242678">
        <w:t> </w:t>
      </w:r>
      <w:r w:rsidRPr="003D7314">
        <w:t>indication.</w:t>
      </w:r>
    </w:p>
    <w:p w14:paraId="3D3CC083" w14:textId="1F2BD5BC" w:rsidR="003D7314" w:rsidRPr="003D7314" w:rsidRDefault="00232E50" w:rsidP="003D7314">
      <w:pPr>
        <w:pStyle w:val="ListNumber"/>
        <w:spacing w:after="240"/>
        <w:ind w:left="357" w:hanging="357"/>
        <w:rPr>
          <w:b/>
          <w:bCs/>
        </w:rPr>
      </w:pPr>
      <w:r w:rsidRPr="003D7314">
        <w:rPr>
          <w:b/>
          <w:bCs/>
        </w:rPr>
        <w:t>Conserve</w:t>
      </w:r>
      <w:r w:rsidR="003D7314" w:rsidRPr="003D7314">
        <w:t xml:space="preserve"> benzathine benzylpenicillin (</w:t>
      </w:r>
      <w:proofErr w:type="spellStart"/>
      <w:r w:rsidR="003D7314" w:rsidRPr="003D7314">
        <w:t>Bicillin</w:t>
      </w:r>
      <w:proofErr w:type="spellEnd"/>
      <w:r w:rsidR="003D7314" w:rsidRPr="003D7314">
        <w:t xml:space="preserve"> L-A) </w:t>
      </w:r>
      <w:r w:rsidR="003D7314" w:rsidRPr="003D7314">
        <w:rPr>
          <w:b/>
          <w:bCs/>
        </w:rPr>
        <w:t>prefilled syringes</w:t>
      </w:r>
      <w:r w:rsidR="003D7314" w:rsidRPr="003D7314">
        <w:t xml:space="preserve"> where the medicine is administered in rural and remote settings</w:t>
      </w:r>
      <w:r w:rsidR="005D2EBD">
        <w:t xml:space="preserve"> (f</w:t>
      </w:r>
      <w:r w:rsidR="003D7314" w:rsidRPr="003D7314">
        <w:t>or example, Aboriginal Medical Services or Aboriginal Community Controlled Health Organisations</w:t>
      </w:r>
      <w:r w:rsidR="005D2EBD">
        <w:t>)</w:t>
      </w:r>
      <w:r w:rsidR="003D7314" w:rsidRPr="003D7314">
        <w:t xml:space="preserve">; and for certain patient cohorts where the </w:t>
      </w:r>
      <w:r w:rsidR="003D7314" w:rsidRPr="003D7314">
        <w:rPr>
          <w:b/>
          <w:bCs/>
        </w:rPr>
        <w:t>S19A alternatives</w:t>
      </w:r>
      <w:r w:rsidR="003D7314" w:rsidRPr="003D7314">
        <w:t xml:space="preserve"> may not be suitable</w:t>
      </w:r>
      <w:r w:rsidR="005D2EBD">
        <w:t xml:space="preserve"> (f</w:t>
      </w:r>
      <w:r w:rsidR="003D7314" w:rsidRPr="003D7314">
        <w:t xml:space="preserve">or example, in </w:t>
      </w:r>
      <w:r w:rsidR="003D7314" w:rsidRPr="003D7314">
        <w:lastRenderedPageBreak/>
        <w:t>paediatric patients, including neonates, where the larger volume should be determined is appropriate for administration</w:t>
      </w:r>
      <w:r w:rsidR="005D2EBD">
        <w:t>)</w:t>
      </w:r>
      <w:r w:rsidR="003D7314" w:rsidRPr="003D7314">
        <w:t>.</w:t>
      </w:r>
    </w:p>
    <w:p w14:paraId="46590B48" w14:textId="700B5F6A" w:rsidR="00F04ADD" w:rsidRPr="00F04ADD" w:rsidRDefault="003D7314" w:rsidP="00F04ADD">
      <w:r>
        <w:rPr>
          <w:noProof/>
        </w:rPr>
        <mc:AlternateContent>
          <mc:Choice Requires="wps">
            <w:drawing>
              <wp:inline distT="0" distB="0" distL="0" distR="0" wp14:anchorId="7F584CFB" wp14:editId="306B8C7B">
                <wp:extent cx="5615940" cy="662305"/>
                <wp:effectExtent l="0" t="0" r="3810" b="4445"/>
                <wp:docPr id="44848818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57" w:type="dxa"/>
                                <w:left w:w="170" w:type="dxa"/>
                                <w:bottom w:w="57" w:type="dxa"/>
                                <w:right w:w="1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19"/>
                            </w:tblGrid>
                            <w:tr w:rsidR="00104B7F" w14:paraId="75847579" w14:textId="77777777" w:rsidTr="006D16CC">
                              <w:tc>
                                <w:tcPr>
                                  <w:tcW w:w="9114" w:type="dxa"/>
                                  <w:tcBorders>
                                    <w:right w:val="single" w:sz="24" w:space="0" w:color="F0E8FE" w:themeColor="background2"/>
                                  </w:tcBorders>
                                  <w:shd w:val="clear" w:color="auto" w:fill="F0E8FE" w:themeFill="background2"/>
                                </w:tcPr>
                                <w:p w14:paraId="1FA9F0BB" w14:textId="77777777" w:rsidR="003D7314" w:rsidRDefault="003D7314" w:rsidP="003D7314">
                                  <w:pPr>
                                    <w:pStyle w:val="BoxHeading"/>
                                  </w:pPr>
                                  <w:r>
                                    <w:t xml:space="preserve">Key messages </w:t>
                                  </w:r>
                                </w:p>
                                <w:p w14:paraId="750176F1" w14:textId="0EC3F428" w:rsidR="00317616" w:rsidRPr="00317616" w:rsidRDefault="00317616" w:rsidP="00317616">
                                  <w:r w:rsidRPr="00317616">
                                    <w:t xml:space="preserve">The </w:t>
                                  </w:r>
                                  <w:r w:rsidR="00EE2FBA">
                                    <w:t>TGA</w:t>
                                  </w:r>
                                  <w:r w:rsidRPr="00317616">
                                    <w:t xml:space="preserve"> has notified of a </w:t>
                                  </w:r>
                                  <w:hyperlink r:id="rId16" w:history="1">
                                    <w:r w:rsidRPr="00317616">
                                      <w:rPr>
                                        <w:rStyle w:val="Hyperlink"/>
                                      </w:rPr>
                                      <w:t>worldwide shortage of benzathine benzylpencillin: Bicillin L-A prefilled syringes</w:t>
                                    </w:r>
                                  </w:hyperlink>
                                  <w:r w:rsidRPr="00317616">
                                    <w:t>.</w:t>
                                  </w:r>
                                </w:p>
                                <w:p w14:paraId="543CF6E2" w14:textId="77777777" w:rsidR="00317616" w:rsidRPr="00317616" w:rsidRDefault="00317616" w:rsidP="00317616">
                                  <w:r w:rsidRPr="00317616">
                                    <w:t xml:space="preserve">To limit supply disruption, the TGA has approved the importation and supply of alternatives under Section 19A (S19A) of the Therapeutic Goods Act. </w:t>
                                  </w:r>
                                </w:p>
                                <w:p w14:paraId="41D81557" w14:textId="71A58125" w:rsidR="00317616" w:rsidRPr="00317616" w:rsidRDefault="00317616" w:rsidP="00317616">
                                  <w:r w:rsidRPr="00317616">
                                    <w:t xml:space="preserve">The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S19A alternatives</w:t>
                                  </w:r>
                                  <w:r w:rsidRPr="00317616">
                                    <w:t xml:space="preserve">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 xml:space="preserve">differ from the Australian registered Bicillin L-A </w:t>
                                  </w:r>
                                  <w:r w:rsidRPr="00317616">
                                    <w:t xml:space="preserve">in presentation, storage, and excipients. There are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safety and suitability considerations</w:t>
                                  </w:r>
                                  <w:r w:rsidRPr="00317616">
                                    <w:t xml:space="preserve"> due to these differences (see </w:t>
                                  </w:r>
                                  <w:r w:rsidRPr="005D2EBD">
                                    <w:rPr>
                                      <w:b/>
                                      <w:bCs/>
                                    </w:rPr>
                                    <w:t>Table 1</w:t>
                                  </w:r>
                                  <w:r w:rsidRPr="00317616">
                                    <w:t xml:space="preserve"> </w:t>
                                  </w:r>
                                  <w:r w:rsidR="00153178" w:rsidRPr="00317616">
                                    <w:t>for</w:t>
                                  </w:r>
                                  <w:r w:rsidR="00153178">
                                    <w:t> </w:t>
                                  </w:r>
                                  <w:r w:rsidRPr="00317616">
                                    <w:t xml:space="preserve">comparison). </w:t>
                                  </w:r>
                                </w:p>
                                <w:p w14:paraId="19B79143" w14:textId="77777777" w:rsidR="00317616" w:rsidRPr="00317616" w:rsidRDefault="00317616" w:rsidP="00317616">
                                  <w:r w:rsidRPr="00317616">
                                    <w:t xml:space="preserve">During shortage, benzathine benzylpenicillin should be used for priority indications. </w:t>
                                  </w:r>
                                </w:p>
                                <w:p w14:paraId="324C64F9" w14:textId="387B084B" w:rsidR="00317616" w:rsidRPr="00317616" w:rsidRDefault="00317616" w:rsidP="00317616">
                                  <w:r w:rsidRPr="00317616">
                                    <w:t xml:space="preserve">Bicillin L-A pre-filled syringes should be </w:t>
                                  </w:r>
                                  <w:r w:rsidR="00232E50" w:rsidRPr="00317616">
                                    <w:rPr>
                                      <w:b/>
                                      <w:bCs/>
                                    </w:rPr>
                                    <w:t>conserved</w:t>
                                  </w:r>
                                  <w:r w:rsidR="00232E50" w:rsidRPr="00317616">
                                    <w:t xml:space="preserve"> </w:t>
                                  </w:r>
                                  <w:r w:rsidRPr="00317616">
                                    <w:t xml:space="preserve">for settings and patient cohorts, where the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S19A alternatives</w:t>
                                  </w:r>
                                  <w:r w:rsidRPr="00317616">
                                    <w:t xml:space="preserve"> may not be suitable. </w:t>
                                  </w:r>
                                </w:p>
                                <w:p w14:paraId="37CA6FB0" w14:textId="23AEC487" w:rsidR="00317616" w:rsidRPr="00317616" w:rsidRDefault="00232E50" w:rsidP="00317616"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Seek advice</w:t>
                                  </w:r>
                                  <w:r w:rsidR="00317616" w:rsidRPr="00317616">
                                    <w:t xml:space="preserve"> from Infectious Diseases/Microbiology and/or the Therapeutic Guidelines: Antibiotic (including the </w:t>
                                  </w:r>
                                  <w:hyperlink r:id="rId17" w:history="1">
                                    <w:r w:rsidR="00A504EC" w:rsidRPr="0089641A">
                                      <w:rPr>
                                        <w:rStyle w:val="Hyperlink"/>
                                      </w:rPr>
                                      <w:t>Antibiotic prescribing in primary care: summary tabl</w:t>
                                    </w:r>
                                    <w:r w:rsidR="0089641A" w:rsidRPr="0089641A">
                                      <w:rPr>
                                        <w:rStyle w:val="Hyperlink"/>
                                      </w:rPr>
                                      <w:t>e</w:t>
                                    </w:r>
                                  </w:hyperlink>
                                  <w:r w:rsidR="00317616" w:rsidRPr="00317616">
                                    <w:t>) for alternative antimicrobials in indications not identified as priority indications.</w:t>
                                  </w:r>
                                </w:p>
                                <w:p w14:paraId="6C2B747F" w14:textId="33C6FC2C" w:rsidR="00317616" w:rsidRPr="00317616" w:rsidRDefault="00317616" w:rsidP="00317616"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This fact</w:t>
                                  </w:r>
                                  <w:r w:rsidR="003D332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 xml:space="preserve">sheet is for use during a period of shortage only. </w:t>
                                  </w:r>
                                  <w:r w:rsidRPr="00317616">
                                    <w:t>If adequate stock of the Australian registered product of benzathine benzylpenicillin: Bicillin L-A (Pfizer brand) is assured, health services and clinicians should return to using it in line with relevant local and national evidence-based guidelines.</w:t>
                                  </w:r>
                                </w:p>
                                <w:p w14:paraId="6ACDD580" w14:textId="1A6E87CB" w:rsidR="003D7314" w:rsidRDefault="00317616" w:rsidP="00317616">
                                  <w:r w:rsidRPr="00317616">
                                    <w:t xml:space="preserve">The same safety and suitability considerations should be applied for additional brands of benzathine benzylpenicillin available via SAS, but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 xml:space="preserve">not approved by the TGA </w:t>
                                  </w:r>
                                  <w:r w:rsidR="00630DBE" w:rsidRPr="00317616">
                                    <w:rPr>
                                      <w:b/>
                                      <w:bCs/>
                                    </w:rPr>
                                    <w:t>under</w:t>
                                  </w:r>
                                  <w:r w:rsidR="00630DBE">
                                    <w:rPr>
                                      <w:b/>
                                      <w:bCs/>
                                    </w:rPr>
                                    <w:t> 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S19A</w:t>
                                  </w:r>
                                  <w:r w:rsidRPr="00317616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59BAB66" w14:textId="77777777" w:rsidR="003D7314" w:rsidRPr="00402F1C" w:rsidRDefault="003D7314" w:rsidP="003D7314">
                            <w:pPr>
                              <w:pStyle w:val="NoSpacing"/>
                              <w:spacing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584CF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442.2pt;height: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" filled="f" stroked="f" strokeweight=".5pt">
                <v:textbox style="mso-fit-shape-to-text:t" inset="0,0,0,0">
                  <w:txbxContent>
                    <w:tbl>
                      <w:tblPr>
                        <w:tblW w:w="5000" w:type="pct"/>
                        <w:tblCellMar>
                          <w:top w:w="57" w:type="dxa"/>
                          <w:left w:w="170" w:type="dxa"/>
                          <w:bottom w:w="57" w:type="dxa"/>
                          <w:right w:w="1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19"/>
                      </w:tblGrid>
                      <w:tr w:rsidR="00104B7F" w14:paraId="75847579" w14:textId="77777777" w:rsidTr="006D16CC">
                        <w:tc>
                          <w:tcPr>
                            <w:tcW w:w="9114" w:type="dxa"/>
                            <w:tcBorders>
                              <w:right w:val="single" w:sz="24" w:space="0" w:color="F0E8FE" w:themeColor="background2"/>
                            </w:tcBorders>
                            <w:shd w:val="clear" w:color="auto" w:fill="F0E8FE" w:themeFill="background2"/>
                          </w:tcPr>
                          <w:p w14:paraId="1FA9F0BB" w14:textId="77777777" w:rsidR="003D7314" w:rsidRDefault="003D7314" w:rsidP="003D7314">
                            <w:pPr>
                              <w:pStyle w:val="BoxHeading"/>
                            </w:pPr>
                            <w:r>
                              <w:t xml:space="preserve">Key messages </w:t>
                            </w:r>
                          </w:p>
                          <w:p w14:paraId="750176F1" w14:textId="0EC3F428" w:rsidR="00317616" w:rsidRPr="00317616" w:rsidRDefault="00317616" w:rsidP="00317616">
                            <w:r w:rsidRPr="00317616">
                              <w:t xml:space="preserve">The </w:t>
                            </w:r>
                            <w:r w:rsidR="00EE2FBA">
                              <w:t>TGA</w:t>
                            </w:r>
                            <w:r w:rsidRPr="00317616">
                              <w:t xml:space="preserve"> has notified of a </w:t>
                            </w:r>
                            <w:hyperlink r:id="rId18" w:history="1">
                              <w:r w:rsidRPr="00317616">
                                <w:rPr>
                                  <w:rStyle w:val="Hyperlink"/>
                                </w:rPr>
                                <w:t>worldwide shortage of benzathine benzylpencillin: Bicillin L-A prefilled syringes</w:t>
                              </w:r>
                            </w:hyperlink>
                            <w:r w:rsidRPr="00317616">
                              <w:t>.</w:t>
                            </w:r>
                          </w:p>
                          <w:p w14:paraId="543CF6E2" w14:textId="77777777" w:rsidR="00317616" w:rsidRPr="00317616" w:rsidRDefault="00317616" w:rsidP="00317616">
                            <w:r w:rsidRPr="00317616">
                              <w:t xml:space="preserve">To limit supply disruption, the TGA has approved the importation and supply of alternatives under Section 19A (S19A) of the Therapeutic Goods Act. </w:t>
                            </w:r>
                          </w:p>
                          <w:p w14:paraId="41D81557" w14:textId="71A58125" w:rsidR="00317616" w:rsidRPr="00317616" w:rsidRDefault="00317616" w:rsidP="00317616">
                            <w:r w:rsidRPr="00317616">
                              <w:t xml:space="preserve">The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>S19A alternatives</w:t>
                            </w:r>
                            <w:r w:rsidRPr="00317616">
                              <w:t xml:space="preserve">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 xml:space="preserve">differ from the Australian registered Bicillin L-A </w:t>
                            </w:r>
                            <w:r w:rsidRPr="00317616">
                              <w:t xml:space="preserve">in presentation, storage, and excipients. There are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>safety and suitability considerations</w:t>
                            </w:r>
                            <w:r w:rsidRPr="00317616">
                              <w:t xml:space="preserve"> due to these differences (see </w:t>
                            </w:r>
                            <w:r w:rsidRPr="005D2EBD">
                              <w:rPr>
                                <w:b/>
                                <w:bCs/>
                              </w:rPr>
                              <w:t>Table 1</w:t>
                            </w:r>
                            <w:r w:rsidRPr="00317616">
                              <w:t xml:space="preserve"> </w:t>
                            </w:r>
                            <w:r w:rsidR="00153178" w:rsidRPr="00317616">
                              <w:t>for</w:t>
                            </w:r>
                            <w:r w:rsidR="00153178">
                              <w:t> </w:t>
                            </w:r>
                            <w:r w:rsidRPr="00317616">
                              <w:t xml:space="preserve">comparison). </w:t>
                            </w:r>
                          </w:p>
                          <w:p w14:paraId="19B79143" w14:textId="77777777" w:rsidR="00317616" w:rsidRPr="00317616" w:rsidRDefault="00317616" w:rsidP="00317616">
                            <w:r w:rsidRPr="00317616">
                              <w:t xml:space="preserve">During shortage, benzathine benzylpenicillin should be used for priority indications. </w:t>
                            </w:r>
                          </w:p>
                          <w:p w14:paraId="324C64F9" w14:textId="387B084B" w:rsidR="00317616" w:rsidRPr="00317616" w:rsidRDefault="00317616" w:rsidP="00317616">
                            <w:r w:rsidRPr="00317616">
                              <w:t xml:space="preserve">Bicillin L-A pre-filled syringes should be </w:t>
                            </w:r>
                            <w:r w:rsidR="00232E50" w:rsidRPr="00317616">
                              <w:rPr>
                                <w:b/>
                                <w:bCs/>
                              </w:rPr>
                              <w:t>conserved</w:t>
                            </w:r>
                            <w:r w:rsidR="00232E50" w:rsidRPr="00317616">
                              <w:t xml:space="preserve"> </w:t>
                            </w:r>
                            <w:r w:rsidRPr="00317616">
                              <w:t xml:space="preserve">for settings and patient cohorts, where the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>S19A alternatives</w:t>
                            </w:r>
                            <w:r w:rsidRPr="00317616">
                              <w:t xml:space="preserve"> may not be suitable. </w:t>
                            </w:r>
                          </w:p>
                          <w:p w14:paraId="37CA6FB0" w14:textId="23AEC487" w:rsidR="00317616" w:rsidRPr="00317616" w:rsidRDefault="00232E50" w:rsidP="00317616">
                            <w:r w:rsidRPr="00317616">
                              <w:rPr>
                                <w:b/>
                                <w:bCs/>
                              </w:rPr>
                              <w:t>Seek advice</w:t>
                            </w:r>
                            <w:r w:rsidR="00317616" w:rsidRPr="00317616">
                              <w:t xml:space="preserve"> from Infectious Diseases/Microbiology and/or the Therapeutic Guidelines: Antibiotic (including the </w:t>
                            </w:r>
                            <w:hyperlink r:id="rId19" w:history="1">
                              <w:r w:rsidR="00A504EC" w:rsidRPr="0089641A">
                                <w:rPr>
                                  <w:rStyle w:val="Hyperlink"/>
                                </w:rPr>
                                <w:t>Antibiotic prescribing in primary care: summary tabl</w:t>
                              </w:r>
                              <w:r w:rsidR="0089641A" w:rsidRPr="0089641A">
                                <w:rPr>
                                  <w:rStyle w:val="Hyperlink"/>
                                </w:rPr>
                                <w:t>e</w:t>
                              </w:r>
                            </w:hyperlink>
                            <w:r w:rsidR="00317616" w:rsidRPr="00317616">
                              <w:t>) for alternative antimicrobials in indications not identified as priority indications.</w:t>
                            </w:r>
                          </w:p>
                          <w:p w14:paraId="6C2B747F" w14:textId="33C6FC2C" w:rsidR="00317616" w:rsidRPr="00317616" w:rsidRDefault="00317616" w:rsidP="00317616">
                            <w:r w:rsidRPr="00317616">
                              <w:rPr>
                                <w:b/>
                                <w:bCs/>
                              </w:rPr>
                              <w:t>This fact</w:t>
                            </w:r>
                            <w:r w:rsidR="003D332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 xml:space="preserve">sheet is for use during a period of shortage only. </w:t>
                            </w:r>
                            <w:r w:rsidRPr="00317616">
                              <w:t>If adequate stock of the Australian registered product of benzathine benzylpenicillin: Bicillin L-A (Pfizer brand) is assured, health services and clinicians should return to using it in line with relevant local and national evidence-based guidelines.</w:t>
                            </w:r>
                          </w:p>
                          <w:p w14:paraId="6ACDD580" w14:textId="1A6E87CB" w:rsidR="003D7314" w:rsidRDefault="00317616" w:rsidP="00317616">
                            <w:r w:rsidRPr="00317616">
                              <w:t xml:space="preserve">The same safety and suitability considerations should be applied for additional brands of benzathine benzylpenicillin available via SAS, but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 xml:space="preserve">not approved by the TGA </w:t>
                            </w:r>
                            <w:r w:rsidR="00630DBE" w:rsidRPr="00317616">
                              <w:rPr>
                                <w:b/>
                                <w:bCs/>
                              </w:rPr>
                              <w:t>under</w:t>
                            </w:r>
                            <w:r w:rsidR="00630DBE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>S19A</w:t>
                            </w:r>
                            <w:r w:rsidRPr="00317616">
                              <w:t>.</w:t>
                            </w:r>
                          </w:p>
                        </w:tc>
                      </w:tr>
                    </w:tbl>
                    <w:p w14:paraId="759BAB66" w14:textId="77777777" w:rsidR="003D7314" w:rsidRPr="00402F1C" w:rsidRDefault="003D7314" w:rsidP="003D7314">
                      <w:pPr>
                        <w:pStyle w:val="NoSpacing"/>
                        <w:spacing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0D4AD3" w14:textId="77777777" w:rsidR="00317616" w:rsidRPr="00F81F70" w:rsidRDefault="00317616" w:rsidP="00317616">
      <w:pPr>
        <w:pStyle w:val="Heading1"/>
      </w:pPr>
      <w:r w:rsidRPr="00F81F70">
        <w:t xml:space="preserve">Useful resources </w:t>
      </w:r>
    </w:p>
    <w:p w14:paraId="3D0265B4" w14:textId="77777777" w:rsidR="00317616" w:rsidRPr="00720896" w:rsidRDefault="00317616" w:rsidP="000A64FC">
      <w:pPr>
        <w:pStyle w:val="ListBullet"/>
      </w:pPr>
      <w:r w:rsidRPr="00720896">
        <w:t xml:space="preserve">Therapeutic Goods Administration (TGA) publishes medicines shortages, including CRITICAL shortages, on the </w:t>
      </w:r>
      <w:hyperlink r:id="rId20" w:history="1">
        <w:r w:rsidRPr="00720896">
          <w:rPr>
            <w:rStyle w:val="Hyperlink"/>
          </w:rPr>
          <w:t>Medicine Shortage Reports Database</w:t>
        </w:r>
      </w:hyperlink>
      <w:r w:rsidRPr="00720896">
        <w:t xml:space="preserve">. </w:t>
      </w:r>
    </w:p>
    <w:p w14:paraId="2004923E" w14:textId="2BC1F048" w:rsidR="00317616" w:rsidRPr="00720896" w:rsidRDefault="00317616" w:rsidP="000A64FC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>Therapeutic Guidelines Antibiotic.</w:t>
      </w:r>
      <w:r w:rsidRPr="00720896">
        <w:t xml:space="preserve"> </w:t>
      </w:r>
      <w:hyperlink r:id="rId21" w:history="1">
        <w:r w:rsidR="00AC5644" w:rsidRPr="00AC5644">
          <w:rPr>
            <w:rStyle w:val="Hyperlink"/>
          </w:rPr>
          <w:t>Antibiotic prescribing in primary care: summary table</w:t>
        </w:r>
        <w:r w:rsidRPr="00AC5644">
          <w:rPr>
            <w:rStyle w:val="Hyperlink"/>
          </w:rPr>
          <w:t>.</w:t>
        </w:r>
      </w:hyperlink>
    </w:p>
    <w:p w14:paraId="6A6B24EB" w14:textId="26439DB4" w:rsidR="00317616" w:rsidRPr="00720896" w:rsidRDefault="00317616" w:rsidP="000A64FC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Australian Commission on Safety and Quality in Health Care </w:t>
      </w:r>
      <w:hyperlink r:id="rId22" w:history="1">
        <w:r w:rsidRPr="007864A9">
          <w:rPr>
            <w:rStyle w:val="Hyperlink"/>
            <w:rFonts w:eastAsia="Calibri" w:cs="Arial"/>
          </w:rPr>
          <w:t>general information for prescribers and pharmacists</w:t>
        </w:r>
      </w:hyperlink>
      <w:r w:rsidRPr="00720896">
        <w:rPr>
          <w:rFonts w:eastAsia="Calibri" w:cs="Arial"/>
        </w:rPr>
        <w:t xml:space="preserve"> on how to manage shortages </w:t>
      </w:r>
      <w:r w:rsidR="007864A9" w:rsidRPr="007864A9">
        <w:rPr>
          <w:rFonts w:eastAsia="Calibri" w:cs="Arial"/>
        </w:rPr>
        <w:t xml:space="preserve">of antimicrobials </w:t>
      </w:r>
      <w:r w:rsidRPr="00720896">
        <w:rPr>
          <w:rFonts w:eastAsia="Calibri" w:cs="Arial"/>
        </w:rPr>
        <w:t>in acute and primary healthcare settings.</w:t>
      </w:r>
    </w:p>
    <w:p w14:paraId="2B7447C1" w14:textId="77777777" w:rsidR="00317616" w:rsidRPr="00720896" w:rsidRDefault="00317616" w:rsidP="000A64FC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National Centre for Antimicrobial Stewardship </w:t>
      </w:r>
      <w:hyperlink r:id="rId23" w:anchor="medshortage" w:history="1">
        <w:r w:rsidRPr="00720896">
          <w:rPr>
            <w:rStyle w:val="Hyperlink"/>
            <w:rFonts w:eastAsia="Calibri" w:cs="Arial"/>
          </w:rPr>
          <w:t>Medication Shortage Fact Sheets</w:t>
        </w:r>
      </w:hyperlink>
      <w:r w:rsidRPr="00720896">
        <w:rPr>
          <w:rFonts w:eastAsia="Calibri" w:cs="Arial"/>
        </w:rPr>
        <w:t xml:space="preserve"> provide information about prescribing choices and alternatives for common infections.</w:t>
      </w:r>
    </w:p>
    <w:p w14:paraId="26F17EAC" w14:textId="03CE3950" w:rsidR="00317616" w:rsidRPr="00720896" w:rsidRDefault="006C5ED9" w:rsidP="000A64FC">
      <w:pPr>
        <w:pStyle w:val="ListBullet"/>
        <w:rPr>
          <w:rFonts w:eastAsia="Calibri" w:cs="Arial"/>
        </w:rPr>
      </w:pPr>
      <w:hyperlink r:id="rId24" w:history="1">
        <w:r>
          <w:rPr>
            <w:rStyle w:val="Hyperlink"/>
            <w:rFonts w:eastAsia="Calibri" w:cs="Arial"/>
          </w:rPr>
          <w:t>Therapeutic Guidelines</w:t>
        </w:r>
      </w:hyperlink>
      <w:r w:rsidR="00317616" w:rsidRPr="00720896">
        <w:rPr>
          <w:rFonts w:eastAsia="Calibri" w:cs="Arial"/>
        </w:rPr>
        <w:t xml:space="preserve"> [online]. Melbourne: Therapeutic Guidelines Limited.</w:t>
      </w:r>
    </w:p>
    <w:p w14:paraId="199551DF" w14:textId="0ADBFD58" w:rsidR="00317616" w:rsidRPr="00720896" w:rsidRDefault="00317616" w:rsidP="000A64FC">
      <w:pPr>
        <w:pStyle w:val="ListBullet"/>
        <w:rPr>
          <w:rFonts w:eastAsia="Calibri" w:cs="Arial"/>
        </w:rPr>
      </w:pPr>
      <w:hyperlink r:id="rId25" w:history="1">
        <w:r w:rsidRPr="00720896">
          <w:rPr>
            <w:rStyle w:val="Hyperlink"/>
            <w:rFonts w:eastAsia="Calibri" w:cs="Arial"/>
          </w:rPr>
          <w:t>Australian Medicines Handbook</w:t>
        </w:r>
      </w:hyperlink>
      <w:r w:rsidRPr="00720896">
        <w:rPr>
          <w:rFonts w:eastAsia="Calibri" w:cs="Arial"/>
        </w:rPr>
        <w:t xml:space="preserve"> [online]. Adelaide: Australian Medicines Handbook </w:t>
      </w:r>
      <w:r w:rsidR="00630DBE" w:rsidRPr="00720896">
        <w:rPr>
          <w:rFonts w:eastAsia="Calibri" w:cs="Arial"/>
        </w:rPr>
        <w:t>Pty</w:t>
      </w:r>
      <w:r w:rsidR="00630DBE">
        <w:rPr>
          <w:rFonts w:eastAsia="Calibri" w:cs="Arial"/>
        </w:rPr>
        <w:t> </w:t>
      </w:r>
      <w:r w:rsidRPr="00720896">
        <w:rPr>
          <w:rFonts w:eastAsia="Calibri" w:cs="Arial"/>
        </w:rPr>
        <w:t>Ltd.</w:t>
      </w:r>
    </w:p>
    <w:p w14:paraId="10729322" w14:textId="77777777" w:rsidR="00317616" w:rsidRDefault="00317616" w:rsidP="000A64FC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The RHD Australia </w:t>
      </w:r>
      <w:hyperlink r:id="rId26" w:history="1">
        <w:r w:rsidRPr="00720896">
          <w:rPr>
            <w:rStyle w:val="Hyperlink"/>
            <w:rFonts w:eastAsia="Calibri" w:cs="Arial"/>
          </w:rPr>
          <w:t>Guidelines for prevention, diagnosis and management of acute rheumatic fever and rheumatic heart disease 3</w:t>
        </w:r>
        <w:r w:rsidRPr="00720896">
          <w:rPr>
            <w:rStyle w:val="Hyperlink"/>
            <w:rFonts w:eastAsia="Calibri" w:cs="Arial"/>
            <w:vertAlign w:val="superscript"/>
          </w:rPr>
          <w:t xml:space="preserve">rd </w:t>
        </w:r>
        <w:r w:rsidRPr="00720896">
          <w:rPr>
            <w:rStyle w:val="Hyperlink"/>
            <w:rFonts w:eastAsia="Calibri" w:cs="Arial"/>
          </w:rPr>
          <w:t>Edition</w:t>
        </w:r>
      </w:hyperlink>
      <w:r w:rsidRPr="00720896">
        <w:rPr>
          <w:rFonts w:eastAsia="Calibri" w:cs="Arial"/>
        </w:rPr>
        <w:t>.</w:t>
      </w:r>
    </w:p>
    <w:p w14:paraId="7E27EB4C" w14:textId="4EDE9012" w:rsidR="00720896" w:rsidRPr="00720896" w:rsidRDefault="00720896" w:rsidP="00720896">
      <w:pPr>
        <w:pStyle w:val="ListBullet"/>
        <w:rPr>
          <w:rFonts w:eastAsia="Calibri" w:cs="Arial"/>
        </w:rPr>
      </w:pPr>
      <w:bookmarkStart w:id="2" w:name="_Hlk204769602"/>
      <w:r w:rsidRPr="00720896">
        <w:rPr>
          <w:rFonts w:eastAsia="Calibri" w:cs="Arial"/>
        </w:rPr>
        <w:lastRenderedPageBreak/>
        <w:t xml:space="preserve">Australasian Society of Infectious Diseases (ASID) guidelines: </w:t>
      </w:r>
      <w:hyperlink r:id="rId27" w:history="1">
        <w:r w:rsidRPr="00D8032A">
          <w:rPr>
            <w:rStyle w:val="Hyperlink"/>
            <w:rFonts w:eastAsia="Calibri" w:cs="Arial"/>
          </w:rPr>
          <w:t>Management of perinatal infections 3</w:t>
        </w:r>
        <w:r w:rsidRPr="00D8032A">
          <w:rPr>
            <w:rStyle w:val="Hyperlink"/>
            <w:rFonts w:eastAsia="Calibri" w:cs="Arial"/>
            <w:vertAlign w:val="superscript"/>
          </w:rPr>
          <w:t>rd</w:t>
        </w:r>
        <w:r w:rsidRPr="00D8032A">
          <w:rPr>
            <w:rStyle w:val="Hyperlink"/>
            <w:rFonts w:eastAsia="Calibri" w:cs="Arial"/>
          </w:rPr>
          <w:t xml:space="preserve"> Edition</w:t>
        </w:r>
      </w:hyperlink>
      <w:r w:rsidRPr="00720896">
        <w:rPr>
          <w:rFonts w:eastAsia="Calibri" w:cs="Arial"/>
        </w:rPr>
        <w:t>.</w:t>
      </w:r>
    </w:p>
    <w:p w14:paraId="5C7AD0AC" w14:textId="77777777" w:rsidR="00720896" w:rsidRPr="00720896" w:rsidRDefault="00720896" w:rsidP="00720896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Australian Commission on Safety and Quality in Health Care </w:t>
      </w:r>
      <w:hyperlink r:id="rId28" w:history="1">
        <w:r w:rsidRPr="00720896">
          <w:rPr>
            <w:rStyle w:val="Hyperlink"/>
            <w:rFonts w:eastAsia="Calibri" w:cs="Arial"/>
          </w:rPr>
          <w:t>Principles for safe selection and storage of medicines</w:t>
        </w:r>
      </w:hyperlink>
      <w:r w:rsidRPr="00720896">
        <w:rPr>
          <w:rFonts w:eastAsia="Calibri" w:cs="Arial"/>
        </w:rPr>
        <w:t xml:space="preserve"> provides guidance on risk reduction strategies to address safe selection and storage of all medicines, including look-alike, sound-alike (LASA) medicines.</w:t>
      </w:r>
    </w:p>
    <w:p w14:paraId="6EA43F4E" w14:textId="77777777" w:rsidR="00720896" w:rsidRPr="00720896" w:rsidRDefault="00720896" w:rsidP="00720896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Australian Commission on Safety and Quality in Health Care </w:t>
      </w:r>
      <w:hyperlink r:id="rId29" w:history="1">
        <w:r w:rsidRPr="00720896">
          <w:rPr>
            <w:rStyle w:val="Hyperlink"/>
            <w:rFonts w:eastAsia="Calibri" w:cs="Arial"/>
          </w:rPr>
          <w:t>guidance on conserving medicines within a focus on medicines shortages</w:t>
        </w:r>
      </w:hyperlink>
      <w:r w:rsidRPr="00720896">
        <w:rPr>
          <w:rFonts w:eastAsia="Calibri" w:cs="Arial"/>
        </w:rPr>
        <w:t>.</w:t>
      </w:r>
    </w:p>
    <w:p w14:paraId="2E1D97F6" w14:textId="5BB96005" w:rsidR="00720896" w:rsidRPr="00720896" w:rsidRDefault="00720896" w:rsidP="00720896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Australian Commission on Safety and Quality in Health Care </w:t>
      </w:r>
      <w:hyperlink r:id="rId30" w:history="1">
        <w:r w:rsidRPr="00D8032A">
          <w:rPr>
            <w:rStyle w:val="Hyperlink"/>
            <w:rFonts w:eastAsia="Calibri" w:cs="Arial"/>
          </w:rPr>
          <w:t>information on antibiotic shortages for Aboriginal and Torres Strait Islander consumers</w:t>
        </w:r>
      </w:hyperlink>
      <w:r w:rsidRPr="00720896">
        <w:rPr>
          <w:rFonts w:eastAsia="Calibri" w:cs="Arial"/>
        </w:rPr>
        <w:t>.</w:t>
      </w:r>
    </w:p>
    <w:p w14:paraId="566420D2" w14:textId="2C3E0AB3" w:rsidR="00720896" w:rsidRPr="00720896" w:rsidRDefault="00720896" w:rsidP="00720896">
      <w:pPr>
        <w:pStyle w:val="ListBullet"/>
        <w:rPr>
          <w:rFonts w:eastAsia="Calibri"/>
        </w:rPr>
      </w:pPr>
      <w:bookmarkStart w:id="3" w:name="_Hlk204769676"/>
      <w:bookmarkEnd w:id="2"/>
      <w:r w:rsidRPr="00720896">
        <w:rPr>
          <w:rFonts w:eastAsia="Calibri"/>
        </w:rPr>
        <w:t>Australian Commission on Safety and Quality in Health Care</w:t>
      </w:r>
      <w:bookmarkEnd w:id="3"/>
      <w:r>
        <w:rPr>
          <w:rFonts w:eastAsia="Calibri"/>
        </w:rPr>
        <w:t xml:space="preserve"> </w:t>
      </w:r>
      <w:hyperlink r:id="rId31" w:history="1">
        <w:r w:rsidRPr="00720896">
          <w:rPr>
            <w:rStyle w:val="Hyperlink"/>
            <w:rFonts w:eastAsia="Calibri"/>
          </w:rPr>
          <w:t>general information for clinicians working in the Aboriginal and Torres Strait Islander health sector.</w:t>
        </w:r>
      </w:hyperlink>
    </w:p>
    <w:p w14:paraId="721CD6AC" w14:textId="77777777" w:rsidR="00CA3318" w:rsidRPr="004F4210" w:rsidRDefault="00CA3318" w:rsidP="00071419">
      <w:pPr>
        <w:spacing w:before="240"/>
        <w:rPr>
          <w:b/>
          <w:bCs/>
        </w:rPr>
      </w:pPr>
      <w:r w:rsidRPr="004F4210">
        <w:rPr>
          <w:b/>
          <w:bCs/>
        </w:rPr>
        <w:t>For more information</w:t>
      </w:r>
    </w:p>
    <w:p w14:paraId="5764667D" w14:textId="4E92D53C" w:rsidR="00CA3318" w:rsidRDefault="00CA3318" w:rsidP="00CA3318">
      <w:r>
        <w:t xml:space="preserve">Please visit: </w:t>
      </w:r>
      <w:r w:rsidRPr="00AB4503">
        <w:t xml:space="preserve">TGA </w:t>
      </w:r>
      <w:hyperlink r:id="rId32" w:history="1">
        <w:r w:rsidRPr="00AB4503">
          <w:rPr>
            <w:rStyle w:val="Hyperlink"/>
          </w:rPr>
          <w:t>Medicine Shortage Reports Database</w:t>
        </w:r>
      </w:hyperlink>
      <w:r>
        <w:t xml:space="preserve"> or conta</w:t>
      </w:r>
      <w:r>
        <w:softHyphen/>
        <w:t xml:space="preserve">ct the </w:t>
      </w:r>
      <w:r w:rsidR="00B569DD">
        <w:t>Commission</w:t>
      </w:r>
      <w:r>
        <w:t xml:space="preserve"> at </w:t>
      </w:r>
      <w:hyperlink r:id="rId33" w:history="1">
        <w:r w:rsidR="00B569DD" w:rsidRPr="00AE253B">
          <w:rPr>
            <w:rStyle w:val="Hyperlink"/>
          </w:rPr>
          <w:t>MedSafety@safetyandquality.gov.au</w:t>
        </w:r>
      </w:hyperlink>
      <w:r>
        <w:t>.</w:t>
      </w:r>
    </w:p>
    <w:p w14:paraId="41BCB9BA" w14:textId="77777777" w:rsidR="00CA3318" w:rsidRDefault="00CA3318" w:rsidP="00CA3318"/>
    <w:p w14:paraId="002DF921" w14:textId="258E250D" w:rsidR="00CA3318" w:rsidRPr="003734D9" w:rsidRDefault="00CA3318" w:rsidP="00CA3318">
      <w:pPr>
        <w:rPr>
          <w:color w:val="EE0000"/>
        </w:rPr>
      </w:pPr>
      <w:r>
        <w:t xml:space="preserve">© Australian Commission on Safety and Quality in Health Care </w:t>
      </w:r>
      <w:r w:rsidR="00BA0F0C" w:rsidRPr="00F04ADD">
        <w:rPr>
          <w:color w:val="auto"/>
        </w:rPr>
        <w:t>202</w:t>
      </w:r>
      <w:r w:rsidR="00BA0F0C">
        <w:rPr>
          <w:color w:val="auto"/>
        </w:rPr>
        <w:t>6</w:t>
      </w:r>
    </w:p>
    <w:p w14:paraId="2D290FD6" w14:textId="77777777" w:rsidR="00720896" w:rsidRDefault="00720896" w:rsidP="00720896"/>
    <w:p w14:paraId="199283BB" w14:textId="77777777" w:rsidR="00720896" w:rsidRDefault="00720896" w:rsidP="00720896"/>
    <w:p w14:paraId="329BCDD1" w14:textId="77777777" w:rsidR="00720896" w:rsidRDefault="00720896" w:rsidP="00720896"/>
    <w:p w14:paraId="3B81A4B1" w14:textId="77777777" w:rsidR="00720896" w:rsidRDefault="00720896" w:rsidP="00720896"/>
    <w:p w14:paraId="181F818D" w14:textId="77777777" w:rsidR="00720896" w:rsidRDefault="00720896" w:rsidP="00720896"/>
    <w:p w14:paraId="017F4974" w14:textId="77777777" w:rsidR="00720896" w:rsidRDefault="00720896" w:rsidP="00720896">
      <w:pPr>
        <w:sectPr w:rsidR="00720896" w:rsidSect="00381281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 w:code="9"/>
          <w:pgMar w:top="2268" w:right="1531" w:bottom="1361" w:left="1531" w:header="624" w:footer="567" w:gutter="0"/>
          <w:cols w:space="708"/>
          <w:titlePg/>
          <w:docGrid w:linePitch="360"/>
        </w:sectPr>
      </w:pPr>
    </w:p>
    <w:p w14:paraId="42DF9A69" w14:textId="77777777" w:rsidR="003F0268" w:rsidRDefault="003F0268" w:rsidP="003F0268">
      <w:pPr>
        <w:pStyle w:val="Heading1"/>
        <w:rPr>
          <w:noProof/>
        </w:rPr>
      </w:pPr>
      <w:bookmarkStart w:id="4" w:name="_Hlk199238489"/>
      <w:r>
        <w:lastRenderedPageBreak/>
        <w:t xml:space="preserve">Safety considerations during </w:t>
      </w:r>
      <w:r w:rsidRPr="00D86F66">
        <w:t>Benzathine benzylpenicillin (</w:t>
      </w:r>
      <w:proofErr w:type="spellStart"/>
      <w:r w:rsidRPr="00D86F66">
        <w:t>Bicillin</w:t>
      </w:r>
      <w:proofErr w:type="spellEnd"/>
      <w:r w:rsidRPr="00D86F66">
        <w:t xml:space="preserve"> L-A) supply disruption </w:t>
      </w:r>
    </w:p>
    <w:bookmarkEnd w:id="4"/>
    <w:p w14:paraId="1B53423A" w14:textId="3E906429" w:rsidR="00A336CE" w:rsidRPr="009C5BF4" w:rsidRDefault="00A336CE" w:rsidP="009C5BF4">
      <w:pPr>
        <w:pStyle w:val="Tablecaption"/>
      </w:pPr>
      <w:r w:rsidRPr="009C5BF4">
        <w:t xml:space="preserve">Comparison of the ARTG listed </w:t>
      </w:r>
      <w:proofErr w:type="gramStart"/>
      <w:r w:rsidRPr="009C5BF4">
        <w:t>1,200,000 unit</w:t>
      </w:r>
      <w:proofErr w:type="gramEnd"/>
      <w:r w:rsidRPr="009C5BF4">
        <w:t xml:space="preserve"> product and the S19A alternatives</w:t>
      </w:r>
    </w:p>
    <w:tbl>
      <w:tblPr>
        <w:tblStyle w:val="SQHTable"/>
        <w:tblW w:w="14560" w:type="dxa"/>
        <w:tblLayout w:type="fixed"/>
        <w:tblLook w:val="06A0" w:firstRow="1" w:lastRow="0" w:firstColumn="1" w:lastColumn="0" w:noHBand="1" w:noVBand="1"/>
        <w:tblDescription w:val="Table description goes here"/>
      </w:tblPr>
      <w:tblGrid>
        <w:gridCol w:w="1550"/>
        <w:gridCol w:w="15"/>
        <w:gridCol w:w="2582"/>
        <w:gridCol w:w="16"/>
        <w:gridCol w:w="2585"/>
        <w:gridCol w:w="14"/>
        <w:gridCol w:w="2587"/>
        <w:gridCol w:w="12"/>
        <w:gridCol w:w="2541"/>
        <w:gridCol w:w="58"/>
        <w:gridCol w:w="2600"/>
      </w:tblGrid>
      <w:tr w:rsidR="000E5629" w:rsidRPr="00072AF5" w14:paraId="610B7F21" w14:textId="6547F12C" w:rsidTr="00AF78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0" w:type="dxa"/>
          </w:tcPr>
          <w:p w14:paraId="25B641A9" w14:textId="7D724FE6" w:rsidR="000E5629" w:rsidRPr="00072AF5" w:rsidRDefault="000E5629" w:rsidP="00A336CE">
            <w:bookmarkStart w:id="5" w:name="_Hlk204843268"/>
          </w:p>
        </w:tc>
        <w:tc>
          <w:tcPr>
            <w:tcW w:w="2597" w:type="dxa"/>
            <w:gridSpan w:val="2"/>
          </w:tcPr>
          <w:p w14:paraId="5C01B900" w14:textId="04FD2C74" w:rsidR="000E5629" w:rsidRPr="0094501B" w:rsidRDefault="000E5629" w:rsidP="00A336CE">
            <w:r w:rsidRPr="0094501B">
              <w:t>ARTG-listed product</w:t>
            </w:r>
          </w:p>
        </w:tc>
        <w:tc>
          <w:tcPr>
            <w:tcW w:w="2601" w:type="dxa"/>
            <w:gridSpan w:val="2"/>
          </w:tcPr>
          <w:p w14:paraId="5CEAB01D" w14:textId="7D79494F" w:rsidR="000E5629" w:rsidRPr="0094501B" w:rsidRDefault="000E5629" w:rsidP="00A336CE">
            <w:hyperlink r:id="rId40" w:history="1">
              <w:r w:rsidRPr="000E5629">
                <w:rPr>
                  <w:rStyle w:val="Hyperlink"/>
                  <w:color w:val="FFFFFF" w:themeColor="background1"/>
                </w:rPr>
                <w:t>S19A alternative (Portugal)</w:t>
              </w:r>
            </w:hyperlink>
          </w:p>
        </w:tc>
        <w:tc>
          <w:tcPr>
            <w:tcW w:w="2601" w:type="dxa"/>
            <w:gridSpan w:val="2"/>
          </w:tcPr>
          <w:p w14:paraId="08A94D1C" w14:textId="1027D941" w:rsidR="000E5629" w:rsidRPr="001E509D" w:rsidRDefault="000E5629" w:rsidP="00A336CE">
            <w:hyperlink r:id="rId41" w:history="1">
              <w:r w:rsidRPr="001E509D">
                <w:rPr>
                  <w:rStyle w:val="Hyperlink"/>
                  <w:color w:val="FFFFFF" w:themeColor="background1"/>
                </w:rPr>
                <w:t>S19A alternative</w:t>
              </w:r>
            </w:hyperlink>
            <w:r w:rsidRPr="001E509D">
              <w:rPr>
                <w:u w:val="single"/>
              </w:rPr>
              <w:t xml:space="preserve"> (UK)</w:t>
            </w:r>
          </w:p>
        </w:tc>
        <w:tc>
          <w:tcPr>
            <w:tcW w:w="2611" w:type="dxa"/>
            <w:gridSpan w:val="3"/>
          </w:tcPr>
          <w:p w14:paraId="2838F775" w14:textId="7F0AC424" w:rsidR="000E5629" w:rsidRPr="000E5629" w:rsidRDefault="000E5629" w:rsidP="00A336CE">
            <w:hyperlink r:id="rId42" w:history="1">
              <w:r w:rsidRPr="000E5629">
                <w:rPr>
                  <w:rStyle w:val="Hyperlink"/>
                  <w:color w:val="FFFFFF" w:themeColor="background1"/>
                </w:rPr>
                <w:t>S19A alternative (Spain)</w:t>
              </w:r>
            </w:hyperlink>
          </w:p>
        </w:tc>
        <w:tc>
          <w:tcPr>
            <w:tcW w:w="2600" w:type="dxa"/>
          </w:tcPr>
          <w:p w14:paraId="13FC1501" w14:textId="49CBBDB0" w:rsidR="000E5629" w:rsidRPr="001E509D" w:rsidRDefault="000E5629" w:rsidP="00A336CE">
            <w:r w:rsidRPr="001E509D">
              <w:t>Safety considerations</w:t>
            </w:r>
          </w:p>
        </w:tc>
      </w:tr>
      <w:bookmarkEnd w:id="5"/>
      <w:tr w:rsidR="000E5629" w:rsidRPr="00072AF5" w14:paraId="68D7E494" w14:textId="48BE900B" w:rsidTr="00AF7810">
        <w:tc>
          <w:tcPr>
            <w:tcW w:w="1550" w:type="dxa"/>
          </w:tcPr>
          <w:p w14:paraId="11190024" w14:textId="3BACB660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Brand and image of outer packaging</w:t>
            </w:r>
          </w:p>
        </w:tc>
        <w:tc>
          <w:tcPr>
            <w:tcW w:w="2597" w:type="dxa"/>
            <w:gridSpan w:val="2"/>
          </w:tcPr>
          <w:p w14:paraId="0B04FFAA" w14:textId="77777777" w:rsidR="000E5629" w:rsidRPr="00F81F70" w:rsidRDefault="000E5629" w:rsidP="00A336CE">
            <w:proofErr w:type="spellStart"/>
            <w:r w:rsidRPr="00F81F70">
              <w:t>Bicillin</w:t>
            </w:r>
            <w:proofErr w:type="spellEnd"/>
            <w:r w:rsidRPr="00F81F70">
              <w:t xml:space="preserve"> L-A (Pfizer)</w:t>
            </w:r>
          </w:p>
          <w:p w14:paraId="07270ED1" w14:textId="2EF3E930" w:rsidR="000E5629" w:rsidRPr="00072AF5" w:rsidRDefault="000E5629" w:rsidP="00A336CE">
            <w:r>
              <w:rPr>
                <w:noProof/>
              </w:rPr>
              <w:drawing>
                <wp:inline distT="0" distB="0" distL="0" distR="0" wp14:anchorId="398F6DF4" wp14:editId="4E7A043A">
                  <wp:extent cx="1409700" cy="939800"/>
                  <wp:effectExtent l="0" t="0" r="0" b="0"/>
                  <wp:docPr id="2" name="Picture 2" descr="Bicillin L-A (Pfizer)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Bicillin L-A (Pfizer) packagi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84" cy="93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gridSpan w:val="2"/>
          </w:tcPr>
          <w:p w14:paraId="45D8340E" w14:textId="77777777" w:rsidR="000E5629" w:rsidRDefault="000E5629" w:rsidP="00A336CE">
            <w:pPr>
              <w:rPr>
                <w:noProof/>
              </w:rPr>
            </w:pPr>
            <w:r w:rsidRPr="0094501B">
              <w:rPr>
                <w:noProof/>
              </w:rPr>
              <w:t>L</w:t>
            </w:r>
            <w:r>
              <w:rPr>
                <w:noProof/>
              </w:rPr>
              <w:t>entocilin</w:t>
            </w:r>
            <w:r w:rsidRPr="0094501B">
              <w:rPr>
                <w:noProof/>
              </w:rPr>
              <w:t xml:space="preserve"> S 1200</w:t>
            </w:r>
          </w:p>
          <w:p w14:paraId="07D1F957" w14:textId="74E665B1" w:rsidR="000E5629" w:rsidRDefault="000E5629" w:rsidP="00A33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4CCA0D7" wp14:editId="395043A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426720</wp:posOffset>
                  </wp:positionV>
                  <wp:extent cx="1476375" cy="1229995"/>
                  <wp:effectExtent l="0" t="0" r="9525" b="8255"/>
                  <wp:wrapSquare wrapText="bothSides"/>
                  <wp:docPr id="1290650244" name="Picture 1" descr="Picture of LENTOCILIN S 1200 benzathine benzylpenicillin 1200000 IU/4 mL powder and solvent for suspension for injection - c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LENTOCILIN S 1200 benzathine benzylpenicillin 1200000 IU/4 mL powder and solvent for suspension for injection - c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1F70">
              <w:rPr>
                <w:lang w:val="en-US"/>
              </w:rPr>
              <w:t xml:space="preserve">(available from </w:t>
            </w:r>
            <w:r>
              <w:rPr>
                <w:lang w:val="en-US"/>
              </w:rPr>
              <w:t>Neon Healthcare</w:t>
            </w:r>
            <w:r w:rsidRPr="00F81F70">
              <w:rPr>
                <w:lang w:val="en-US"/>
              </w:rPr>
              <w:t>)</w:t>
            </w:r>
          </w:p>
        </w:tc>
        <w:tc>
          <w:tcPr>
            <w:tcW w:w="2601" w:type="dxa"/>
            <w:gridSpan w:val="2"/>
          </w:tcPr>
          <w:p w14:paraId="6B2D370F" w14:textId="77777777" w:rsidR="000E5629" w:rsidRDefault="000E5629" w:rsidP="00210E69">
            <w:pPr>
              <w:spacing w:after="0"/>
              <w:rPr>
                <w:lang w:val="en-US"/>
              </w:rPr>
            </w:pPr>
            <w:proofErr w:type="spellStart"/>
            <w:r w:rsidRPr="00F81F70">
              <w:rPr>
                <w:lang w:val="en-US"/>
              </w:rPr>
              <w:t>Brancaster</w:t>
            </w:r>
            <w:proofErr w:type="spellEnd"/>
            <w:r w:rsidRPr="00F81F70">
              <w:rPr>
                <w:lang w:val="en-US"/>
              </w:rPr>
              <w:t xml:space="preserve"> Pharma </w:t>
            </w:r>
          </w:p>
          <w:p w14:paraId="1A4CDA2B" w14:textId="1251E790" w:rsidR="000E5629" w:rsidRPr="00F81F70" w:rsidRDefault="000E5629" w:rsidP="00210E69">
            <w:pPr>
              <w:spacing w:after="0"/>
              <w:rPr>
                <w:lang w:val="en-US"/>
              </w:rPr>
            </w:pPr>
            <w:r w:rsidRPr="00F81F70">
              <w:rPr>
                <w:lang w:val="en-US"/>
              </w:rPr>
              <w:t xml:space="preserve">(available from </w:t>
            </w:r>
            <w:r w:rsidRPr="001A1097">
              <w:t>Pro Pharmaceuticals Group Pty Ltd</w:t>
            </w:r>
            <w:r w:rsidRPr="00F81F70">
              <w:rPr>
                <w:lang w:val="en-US"/>
              </w:rPr>
              <w:t>)</w:t>
            </w:r>
          </w:p>
          <w:p w14:paraId="301E9734" w14:textId="115A5BF8" w:rsidR="000E5629" w:rsidRPr="00072AF5" w:rsidRDefault="000E5629" w:rsidP="00A336CE">
            <w:r w:rsidRPr="00F81F70">
              <w:rPr>
                <w:noProof/>
              </w:rPr>
              <w:drawing>
                <wp:inline distT="0" distB="0" distL="0" distR="0" wp14:anchorId="52870359" wp14:editId="75CECB5A">
                  <wp:extent cx="1543050" cy="700405"/>
                  <wp:effectExtent l="0" t="0" r="0" b="4445"/>
                  <wp:docPr id="1456576275" name="Picture 1456576275" descr="Brancaster Pharma (available from ORSPEC Pha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76275" name="Picture 1456576275" descr="Brancaster Pharma (available from ORSPEC Pharma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42" cy="76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gridSpan w:val="3"/>
          </w:tcPr>
          <w:p w14:paraId="1625B590" w14:textId="77777777" w:rsidR="000E5629" w:rsidRDefault="000E5629" w:rsidP="000E5629">
            <w:proofErr w:type="spellStart"/>
            <w:r>
              <w:t>Benzetacil</w:t>
            </w:r>
            <w:proofErr w:type="spellEnd"/>
            <w:r>
              <w:t xml:space="preserve"> </w:t>
            </w:r>
          </w:p>
          <w:p w14:paraId="3FB3063E" w14:textId="77777777" w:rsidR="000E5629" w:rsidRDefault="000E5629" w:rsidP="000E5629">
            <w:r>
              <w:t>(available from Phero Pharma Pty Ltd)</w:t>
            </w:r>
          </w:p>
          <w:p w14:paraId="634EAFF1" w14:textId="394DE139" w:rsidR="000E5629" w:rsidRPr="00F81F70" w:rsidRDefault="000E5629" w:rsidP="00A336CE">
            <w:r w:rsidRPr="00B72D0C">
              <w:rPr>
                <w:noProof/>
              </w:rPr>
              <w:drawing>
                <wp:inline distT="0" distB="0" distL="0" distR="0" wp14:anchorId="7BC62C1C" wp14:editId="2D67B93D">
                  <wp:extent cx="1543050" cy="1184635"/>
                  <wp:effectExtent l="0" t="0" r="0" b="0"/>
                  <wp:docPr id="1099069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6938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91" cy="11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14:paraId="3BA88B0D" w14:textId="2C7A1A46" w:rsidR="000E5629" w:rsidRPr="00F81F70" w:rsidRDefault="000E5629" w:rsidP="00A336CE">
            <w:r w:rsidRPr="00F81F70">
              <w:t xml:space="preserve">The </w:t>
            </w:r>
            <w:hyperlink r:id="rId47" w:history="1">
              <w:r w:rsidRPr="00F81F70">
                <w:rPr>
                  <w:rStyle w:val="Hyperlink"/>
                </w:rPr>
                <w:t>Principles for safe selection and storage of medicines</w:t>
              </w:r>
            </w:hyperlink>
            <w:r w:rsidRPr="00F81F70">
              <w:t xml:space="preserve"> should be applied given that the storage location will differ. 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</w:t>
            </w:r>
            <w:r>
              <w:t xml:space="preserve">are </w:t>
            </w:r>
            <w:r w:rsidRPr="00F81F70">
              <w:t xml:space="preserve">not stored in the fridge and could </w:t>
            </w:r>
            <w:r>
              <w:t xml:space="preserve">inadvertently be </w:t>
            </w:r>
            <w:r w:rsidRPr="00F81F70">
              <w:t xml:space="preserve">placed on a shelf adjacent to similar looking outer packaging. </w:t>
            </w:r>
          </w:p>
          <w:p w14:paraId="51A8D72D" w14:textId="3D9FC41E" w:rsidR="000E5629" w:rsidRPr="00072AF5" w:rsidRDefault="000E5629" w:rsidP="002B7C3B">
            <w:r w:rsidRPr="00F81F70">
              <w:t>Risk reduction strategies may need to be considered to ensure differentiation from other similar looking packaging. For example, storing in a separate location from other injectable medicines.</w:t>
            </w:r>
          </w:p>
        </w:tc>
      </w:tr>
      <w:tr w:rsidR="000E5629" w:rsidRPr="00072AF5" w14:paraId="73E98360" w14:textId="5553C9BD" w:rsidTr="00AF7810">
        <w:tc>
          <w:tcPr>
            <w:tcW w:w="1565" w:type="dxa"/>
            <w:gridSpan w:val="2"/>
          </w:tcPr>
          <w:p w14:paraId="3D68EC04" w14:textId="74F68080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Active ingredient and strength</w:t>
            </w:r>
          </w:p>
        </w:tc>
        <w:tc>
          <w:tcPr>
            <w:tcW w:w="2598" w:type="dxa"/>
            <w:gridSpan w:val="2"/>
          </w:tcPr>
          <w:p w14:paraId="7D332A1E" w14:textId="1D5C419A" w:rsidR="000E5629" w:rsidRPr="00072AF5" w:rsidRDefault="000E5629" w:rsidP="00A336CE">
            <w:r w:rsidRPr="00F81F70">
              <w:t>Benzathine benzylpenicillin tetrahydrate 1,200,000</w:t>
            </w:r>
            <w:r>
              <w:t> </w:t>
            </w:r>
            <w:r w:rsidRPr="00F81F70">
              <w:t>units</w:t>
            </w:r>
          </w:p>
        </w:tc>
        <w:tc>
          <w:tcPr>
            <w:tcW w:w="2599" w:type="dxa"/>
            <w:gridSpan w:val="2"/>
          </w:tcPr>
          <w:p w14:paraId="374B48BB" w14:textId="79D8523B" w:rsidR="000E5629" w:rsidRDefault="000E5629" w:rsidP="00A336CE">
            <w:r>
              <w:t>B</w:t>
            </w:r>
            <w:r w:rsidRPr="0094501B">
              <w:t xml:space="preserve">enzathine benzylpenicillin 1,200,000 </w:t>
            </w:r>
            <w:r>
              <w:t>units</w:t>
            </w:r>
          </w:p>
        </w:tc>
        <w:tc>
          <w:tcPr>
            <w:tcW w:w="2599" w:type="dxa"/>
            <w:gridSpan w:val="2"/>
          </w:tcPr>
          <w:p w14:paraId="04BA2610" w14:textId="2C46CA69" w:rsidR="000E5629" w:rsidRPr="00072AF5" w:rsidRDefault="000E5629" w:rsidP="00A336CE">
            <w:r w:rsidRPr="00F81F70">
              <w:t>Benzylpenicillin benzathine</w:t>
            </w:r>
            <w:r>
              <w:br/>
            </w:r>
            <w:r w:rsidRPr="00F81F70">
              <w:t>1,200,000 units</w:t>
            </w:r>
          </w:p>
        </w:tc>
        <w:tc>
          <w:tcPr>
            <w:tcW w:w="2599" w:type="dxa"/>
            <w:gridSpan w:val="2"/>
          </w:tcPr>
          <w:p w14:paraId="63CBB601" w14:textId="7478B108" w:rsidR="000E5629" w:rsidRPr="00F81F70" w:rsidRDefault="00F95918" w:rsidP="00A336CE">
            <w:r>
              <w:t xml:space="preserve">Benzylpenicillin benzathine 1,200,000 units </w:t>
            </w:r>
          </w:p>
        </w:tc>
        <w:tc>
          <w:tcPr>
            <w:tcW w:w="2600" w:type="dxa"/>
          </w:tcPr>
          <w:p w14:paraId="616B9139" w14:textId="651ABBF7" w:rsidR="000E5629" w:rsidRDefault="000E5629" w:rsidP="00A336CE">
            <w:r w:rsidRPr="00F81F70">
              <w:t>The active ingredient name on the</w:t>
            </w:r>
            <w:r w:rsidR="00696F71">
              <w:t xml:space="preserve"> </w:t>
            </w:r>
            <w:r w:rsidRPr="008F6255">
              <w:rPr>
                <w:b/>
                <w:bCs/>
              </w:rPr>
              <w:t>S</w:t>
            </w:r>
            <w:r w:rsidRPr="00F81F70">
              <w:rPr>
                <w:b/>
              </w:rPr>
              <w:t>19A alternative</w:t>
            </w:r>
            <w:r w:rsidR="00696F71">
              <w:rPr>
                <w:b/>
              </w:rPr>
              <w:t>s</w:t>
            </w:r>
            <w:r>
              <w:rPr>
                <w:b/>
              </w:rPr>
              <w:t xml:space="preserve"> </w:t>
            </w:r>
            <w:r w:rsidR="001D633E">
              <w:t>is</w:t>
            </w:r>
            <w:r w:rsidRPr="00F81F70">
              <w:t xml:space="preserve"> expressed differently. Benzathine benzylpenicillin tetrahydrate and benzylpenicillin benzathine are synonyms. </w:t>
            </w:r>
          </w:p>
          <w:p w14:paraId="0A6F4330" w14:textId="380ABADB" w:rsidR="000E5629" w:rsidRPr="00072AF5" w:rsidRDefault="000E5629" w:rsidP="002B7C3B">
            <w:r w:rsidRPr="00F81F70">
              <w:t xml:space="preserve">The </w:t>
            </w:r>
            <w:hyperlink r:id="rId48" w:history="1">
              <w:r w:rsidRPr="00F81F70">
                <w:rPr>
                  <w:rStyle w:val="Hyperlink"/>
                </w:rPr>
                <w:t>Principles for safe selection and storage of medicines</w:t>
              </w:r>
            </w:hyperlink>
            <w:r w:rsidRPr="00F81F70">
              <w:t xml:space="preserve"> should be applied</w:t>
            </w:r>
            <w:r>
              <w:t xml:space="preserve"> – for example,</w:t>
            </w:r>
            <w:r w:rsidRPr="00F81F70">
              <w:t xml:space="preserve"> when selecting from a drop down menu within prescribing and dispensing</w:t>
            </w:r>
            <w:r>
              <w:t> </w:t>
            </w:r>
            <w:r w:rsidRPr="00F81F70">
              <w:t>systems.</w:t>
            </w:r>
          </w:p>
        </w:tc>
      </w:tr>
      <w:tr w:rsidR="000E5629" w:rsidRPr="00072AF5" w14:paraId="2C3FA348" w14:textId="69712EA6" w:rsidTr="00AF7810">
        <w:tc>
          <w:tcPr>
            <w:tcW w:w="1565" w:type="dxa"/>
            <w:gridSpan w:val="2"/>
          </w:tcPr>
          <w:p w14:paraId="606201F1" w14:textId="1D82D1A5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Appearance and formulation</w:t>
            </w:r>
          </w:p>
        </w:tc>
        <w:tc>
          <w:tcPr>
            <w:tcW w:w="2598" w:type="dxa"/>
            <w:gridSpan w:val="2"/>
          </w:tcPr>
          <w:p w14:paraId="1A5DB44B" w14:textId="77777777" w:rsidR="000E5629" w:rsidRPr="00032847" w:rsidRDefault="000E5629" w:rsidP="00032847">
            <w:r w:rsidRPr="00032847">
              <w:t>White fluid suspension in a pre-filled syringe</w:t>
            </w:r>
          </w:p>
          <w:p w14:paraId="2AF1755C" w14:textId="3166670C" w:rsidR="000E5629" w:rsidRPr="00032847" w:rsidRDefault="000E5629" w:rsidP="007864A9">
            <w:pPr>
              <w:jc w:val="center"/>
            </w:pPr>
            <w:r w:rsidRPr="00032847">
              <w:rPr>
                <w:noProof/>
              </w:rPr>
              <w:drawing>
                <wp:inline distT="0" distB="0" distL="0" distR="0" wp14:anchorId="408C0D74" wp14:editId="19453E45">
                  <wp:extent cx="2001231" cy="631825"/>
                  <wp:effectExtent l="0" t="1270" r="4445" b="4445"/>
                  <wp:docPr id="1" name="Picture 1" descr="White fluid suspension in a pre-filled syri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White fluid suspension in a pre-filled syringe"/>
                          <pic:cNvPicPr/>
                        </pic:nvPicPr>
                        <pic:blipFill rotWithShape="1">
                          <a:blip r:embed="rId49"/>
                          <a:srcRect t="27439" b="25203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004632" cy="632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gridSpan w:val="2"/>
          </w:tcPr>
          <w:p w14:paraId="3DF42489" w14:textId="096EEC5E" w:rsidR="000E5629" w:rsidRPr="00032847" w:rsidRDefault="000E5629" w:rsidP="00032847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0B6B9B2" wp14:editId="354642B8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897255</wp:posOffset>
                  </wp:positionV>
                  <wp:extent cx="1280795" cy="1983105"/>
                  <wp:effectExtent l="0" t="0" r="0" b="0"/>
                  <wp:wrapSquare wrapText="bothSides"/>
                  <wp:docPr id="677228397" name="Picture 2" descr="Picture of LENTOCILIN S 1200 benzathine benzylpenicillin 1200000 IU/4 mL powder and solvent for suspension for injection - v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of LENTOCILIN S 1200 benzathine benzylpenicillin 1200000 IU/4 mL powder and solvent for suspension for injection - v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P</w:t>
            </w:r>
            <w:r w:rsidRPr="005873EE">
              <w:t xml:space="preserve">owder </w:t>
            </w:r>
            <w:r>
              <w:t xml:space="preserve">(white/almost white) </w:t>
            </w:r>
            <w:r w:rsidRPr="005873EE">
              <w:t xml:space="preserve">and </w:t>
            </w:r>
            <w:r>
              <w:t>solvent (</w:t>
            </w:r>
            <w:r w:rsidRPr="005873EE">
              <w:t>clear, practically colo</w:t>
            </w:r>
            <w:r>
              <w:t xml:space="preserve">urless) </w:t>
            </w:r>
            <w:r w:rsidRPr="00F81F70">
              <w:t>for suspension for</w:t>
            </w:r>
            <w:r>
              <w:t> </w:t>
            </w:r>
            <w:r w:rsidRPr="00F81F70">
              <w:t>injection</w:t>
            </w:r>
          </w:p>
        </w:tc>
        <w:tc>
          <w:tcPr>
            <w:tcW w:w="2599" w:type="dxa"/>
            <w:gridSpan w:val="2"/>
          </w:tcPr>
          <w:p w14:paraId="727ABF75" w14:textId="66C77F72" w:rsidR="000E5629" w:rsidRPr="00F81F70" w:rsidRDefault="000E5629" w:rsidP="00A336CE">
            <w:r w:rsidRPr="00F81F70">
              <w:t>Powder (white/off-white) for suspension for injection</w:t>
            </w:r>
          </w:p>
          <w:p w14:paraId="6A0FCDE2" w14:textId="17007C5A" w:rsidR="000E5629" w:rsidRPr="00F81F70" w:rsidRDefault="000E5629" w:rsidP="00896A96">
            <w:pPr>
              <w:jc w:val="center"/>
            </w:pPr>
            <w:r w:rsidRPr="00F81F70">
              <w:rPr>
                <w:noProof/>
              </w:rPr>
              <w:drawing>
                <wp:inline distT="0" distB="0" distL="0" distR="0" wp14:anchorId="6872F753" wp14:editId="620C9016">
                  <wp:extent cx="1085215" cy="1195070"/>
                  <wp:effectExtent l="0" t="0" r="635" b="5080"/>
                  <wp:docPr id="1243553771" name="Picture 1243553771" descr="Powder (white/off-white) and solvent (clear/colourless liquid) for suspension for inj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53771" name="Picture 1243553771" descr="Powder (white/off-white) and solvent (clear/colourless liquid) for suspension for inj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5A43F8" w14:textId="581887EF" w:rsidR="000E5629" w:rsidRDefault="000E5629" w:rsidP="00A336CE">
            <w:pPr>
              <w:pStyle w:val="Pa12"/>
              <w:spacing w:after="40"/>
              <w:rPr>
                <w:rFonts w:cs="Open Sans"/>
                <w:color w:val="000000"/>
                <w:sz w:val="17"/>
                <w:szCs w:val="17"/>
              </w:rPr>
            </w:pPr>
            <w:r>
              <w:rPr>
                <w:rStyle w:val="A12"/>
                <w:rFonts w:eastAsiaTheme="majorEastAsia"/>
              </w:rPr>
              <w:t xml:space="preserve">The image is a vial of powder for suspension </w:t>
            </w:r>
          </w:p>
          <w:p w14:paraId="2BF88E20" w14:textId="49084E99" w:rsidR="000E5629" w:rsidRPr="00072AF5" w:rsidRDefault="000E5629" w:rsidP="00A336CE">
            <w:r w:rsidRPr="00E35E3C">
              <w:rPr>
                <w:bCs/>
              </w:rPr>
              <w:t>Reconstitution may be undertaken with</w:t>
            </w:r>
            <w:r>
              <w:rPr>
                <w:bCs/>
              </w:rPr>
              <w:t xml:space="preserve"> water for injection (WFI) or</w:t>
            </w:r>
            <w:r w:rsidRPr="00E35E3C">
              <w:rPr>
                <w:bCs/>
              </w:rPr>
              <w:t xml:space="preserve"> injectable lidocaine solution</w:t>
            </w:r>
            <w:r>
              <w:rPr>
                <w:bCs/>
              </w:rPr>
              <w:t xml:space="preserve"> 1%</w:t>
            </w:r>
            <w:r w:rsidRPr="00E35E3C">
              <w:rPr>
                <w:bCs/>
              </w:rPr>
              <w:t xml:space="preserve"> (not</w:t>
            </w:r>
            <w:r>
              <w:rPr>
                <w:bCs/>
              </w:rPr>
              <w:t> </w:t>
            </w:r>
            <w:r w:rsidRPr="00E35E3C">
              <w:rPr>
                <w:bCs/>
              </w:rPr>
              <w:t>supplied)</w:t>
            </w:r>
          </w:p>
        </w:tc>
        <w:tc>
          <w:tcPr>
            <w:tcW w:w="2599" w:type="dxa"/>
            <w:gridSpan w:val="2"/>
          </w:tcPr>
          <w:p w14:paraId="1B37DE09" w14:textId="77777777" w:rsidR="00F95918" w:rsidRDefault="00F95918" w:rsidP="00F95918">
            <w:r>
              <w:t xml:space="preserve">Powder (white/almost white) and solvent (clear, colourless) for suspension for injection </w:t>
            </w:r>
          </w:p>
          <w:p w14:paraId="494DC314" w14:textId="77777777" w:rsidR="00F95918" w:rsidRDefault="00F95918" w:rsidP="00F95918">
            <w:r w:rsidRPr="0064478C">
              <w:rPr>
                <w:noProof/>
              </w:rPr>
              <w:drawing>
                <wp:inline distT="0" distB="0" distL="0" distR="0" wp14:anchorId="40441401" wp14:editId="796CE084">
                  <wp:extent cx="1500188" cy="1000125"/>
                  <wp:effectExtent l="0" t="0" r="5080" b="0"/>
                  <wp:docPr id="2052875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7561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2" cy="100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5084F" w14:textId="60EE338B" w:rsidR="000E5629" w:rsidRPr="00F81F70" w:rsidRDefault="00F95918" w:rsidP="00F95918">
            <w:r>
              <w:t>Once the vial has been reconstituted with the contents of the solvent ampoule, a white or almost milky white suspension is obtained</w:t>
            </w:r>
          </w:p>
        </w:tc>
        <w:tc>
          <w:tcPr>
            <w:tcW w:w="2600" w:type="dxa"/>
          </w:tcPr>
          <w:p w14:paraId="4C20703E" w14:textId="19122D6A" w:rsidR="000E5629" w:rsidRDefault="000E5629" w:rsidP="00A336CE">
            <w:r w:rsidRPr="00F81F70">
              <w:t xml:space="preserve">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>, differ from the Australian registered</w:t>
            </w:r>
            <w:r>
              <w:t xml:space="preserve"> (ARTG-listed)</w:t>
            </w:r>
            <w:r w:rsidRPr="00F81F70">
              <w:t xml:space="preserve"> product in presentation and</w:t>
            </w:r>
            <w:r>
              <w:t> </w:t>
            </w:r>
            <w:r w:rsidRPr="00F81F70">
              <w:t xml:space="preserve">storage. </w:t>
            </w:r>
          </w:p>
          <w:p w14:paraId="137EE7C6" w14:textId="36020B4B" w:rsidR="000E5629" w:rsidRPr="00F81F70" w:rsidRDefault="000E5629" w:rsidP="00A336CE">
            <w:r>
              <w:t>T</w:t>
            </w:r>
            <w:r w:rsidRPr="00F81F70">
              <w:t xml:space="preserve">he </w:t>
            </w:r>
            <w:r w:rsidRPr="00702DA8">
              <w:rPr>
                <w:b/>
                <w:bCs/>
              </w:rPr>
              <w:t>S19A alternative</w:t>
            </w:r>
            <w:r>
              <w:rPr>
                <w:b/>
                <w:bCs/>
              </w:rPr>
              <w:t>s</w:t>
            </w:r>
            <w:r w:rsidRPr="00F81F70">
              <w:t xml:space="preserve"> </w:t>
            </w:r>
            <w:r>
              <w:t xml:space="preserve">also </w:t>
            </w:r>
            <w:r w:rsidRPr="00F81F70">
              <w:t>require reconstitution prior to administration</w:t>
            </w:r>
            <w:r>
              <w:t> </w:t>
            </w:r>
            <w:r w:rsidRPr="00F81F70">
              <w:t>by:</w:t>
            </w:r>
          </w:p>
          <w:p w14:paraId="228A6073" w14:textId="3623157C" w:rsidR="00412E08" w:rsidRPr="00702DA8" w:rsidRDefault="00412E08" w:rsidP="00D125FE">
            <w:pPr>
              <w:pStyle w:val="Bulletlist"/>
              <w:ind w:left="284"/>
            </w:pPr>
            <w:r>
              <w:t>Drawing up the recommended volume and diluent for the product and adding this to the vial containing the powder</w:t>
            </w:r>
          </w:p>
          <w:p w14:paraId="1E448CE0" w14:textId="167BDE6A" w:rsidR="000E5629" w:rsidRPr="00702DA8" w:rsidRDefault="000E5629" w:rsidP="00D125FE">
            <w:pPr>
              <w:pStyle w:val="Bulletlist"/>
              <w:ind w:left="284"/>
            </w:pPr>
            <w:r>
              <w:t>A</w:t>
            </w:r>
            <w:r w:rsidRPr="00702DA8">
              <w:t>gitating the suspension carefully for at least 20</w:t>
            </w:r>
            <w:r>
              <w:t> </w:t>
            </w:r>
            <w:r w:rsidRPr="00702DA8">
              <w:t>seconds until a homogeneous suspension is</w:t>
            </w:r>
            <w:r>
              <w:t> </w:t>
            </w:r>
            <w:r w:rsidRPr="00702DA8">
              <w:t>obtained.</w:t>
            </w:r>
          </w:p>
          <w:p w14:paraId="36178892" w14:textId="29E8321C" w:rsidR="000E5629" w:rsidRPr="00072AF5" w:rsidRDefault="000E5629" w:rsidP="004241E2">
            <w:r w:rsidRPr="00F81F70">
              <w:t xml:space="preserve">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must be administered immediately once reconstituted.</w:t>
            </w:r>
          </w:p>
        </w:tc>
      </w:tr>
      <w:tr w:rsidR="000E5629" w:rsidRPr="00072AF5" w14:paraId="0593C9FA" w14:textId="3FDF22F4" w:rsidTr="00AF7810">
        <w:tc>
          <w:tcPr>
            <w:tcW w:w="1565" w:type="dxa"/>
            <w:gridSpan w:val="2"/>
          </w:tcPr>
          <w:p w14:paraId="2067DAC6" w14:textId="0F68DBEF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Volume required to administer 1,200,000 units dose</w:t>
            </w:r>
          </w:p>
        </w:tc>
        <w:tc>
          <w:tcPr>
            <w:tcW w:w="2598" w:type="dxa"/>
            <w:gridSpan w:val="2"/>
          </w:tcPr>
          <w:p w14:paraId="4B409AB2" w14:textId="46F4B8F9" w:rsidR="000E5629" w:rsidRPr="00072AF5" w:rsidRDefault="000E5629" w:rsidP="00A336CE">
            <w:r w:rsidRPr="00F81F70">
              <w:rPr>
                <w:b/>
              </w:rPr>
              <w:t>2.3 mL</w:t>
            </w:r>
          </w:p>
        </w:tc>
        <w:tc>
          <w:tcPr>
            <w:tcW w:w="2599" w:type="dxa"/>
            <w:gridSpan w:val="2"/>
          </w:tcPr>
          <w:p w14:paraId="2B0866AC" w14:textId="0379ACDF" w:rsidR="000E5629" w:rsidRPr="00AF7C53" w:rsidRDefault="000E5629" w:rsidP="00A336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4mL </w:t>
            </w:r>
            <w:r w:rsidRPr="00210E69">
              <w:t>(plus powder displacement volume)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599" w:type="dxa"/>
            <w:gridSpan w:val="2"/>
          </w:tcPr>
          <w:p w14:paraId="0500B891" w14:textId="17FD159F" w:rsidR="000E5629" w:rsidRPr="00072AF5" w:rsidRDefault="000E5629" w:rsidP="00A336CE">
            <w:r w:rsidRPr="00F81F70">
              <w:t xml:space="preserve">3.5 mL diluent (WFI) + powder displacement volume (results in a final volume of approximately </w:t>
            </w:r>
            <w:r w:rsidRPr="00F81F70">
              <w:rPr>
                <w:b/>
              </w:rPr>
              <w:t>4.5 mL</w:t>
            </w:r>
            <w:r w:rsidRPr="00F81F70">
              <w:t>)</w:t>
            </w:r>
          </w:p>
        </w:tc>
        <w:tc>
          <w:tcPr>
            <w:tcW w:w="2599" w:type="dxa"/>
            <w:gridSpan w:val="2"/>
          </w:tcPr>
          <w:p w14:paraId="6D800BC6" w14:textId="323E0048" w:rsidR="000E5629" w:rsidRPr="00F81F70" w:rsidRDefault="006F6669" w:rsidP="00A336CE">
            <w:r>
              <w:t>4.8mL (Final volume once the vial has been reconstituted with 4mL of water)</w:t>
            </w:r>
          </w:p>
        </w:tc>
        <w:tc>
          <w:tcPr>
            <w:tcW w:w="2600" w:type="dxa"/>
          </w:tcPr>
          <w:p w14:paraId="1742B869" w14:textId="63FC9F81" w:rsidR="000E5629" w:rsidRPr="00F81F70" w:rsidRDefault="000E5629" w:rsidP="00A336CE">
            <w:r w:rsidRPr="00F81F70">
              <w:t xml:space="preserve">The final volume of </w:t>
            </w:r>
            <w:r>
              <w:t>both</w:t>
            </w:r>
            <w:r w:rsidRPr="00F81F70">
              <w:t xml:space="preserve"> </w:t>
            </w:r>
            <w:r w:rsidRPr="00702DA8">
              <w:rPr>
                <w:b/>
                <w:bCs/>
              </w:rPr>
              <w:t>S19A alternative</w:t>
            </w:r>
            <w:r>
              <w:rPr>
                <w:b/>
                <w:bCs/>
              </w:rPr>
              <w:t>s</w:t>
            </w:r>
            <w:r w:rsidRPr="00F81F70">
              <w:t xml:space="preserve"> is </w:t>
            </w:r>
            <w:r>
              <w:t xml:space="preserve">approximately </w:t>
            </w:r>
            <w:r w:rsidRPr="00F81F70">
              <w:t xml:space="preserve">double </w:t>
            </w:r>
            <w:r>
              <w:t xml:space="preserve">that of </w:t>
            </w:r>
            <w:r w:rsidRPr="00F81F70">
              <w:t>the ARTG</w:t>
            </w:r>
            <w:r>
              <w:t>-</w:t>
            </w:r>
            <w:r w:rsidRPr="00F81F70">
              <w:t>listed product. This has implications particularly in paediatrics.</w:t>
            </w:r>
          </w:p>
          <w:p w14:paraId="6E4CC347" w14:textId="5EBC3266" w:rsidR="000E5629" w:rsidRPr="00072AF5" w:rsidRDefault="000E5629" w:rsidP="00A336CE">
            <w:r w:rsidRPr="00CF2CB2">
              <w:t xml:space="preserve">The use of a local anaesthetic, such as lidocaine </w:t>
            </w:r>
            <w:r>
              <w:t xml:space="preserve">1.5% (Portugal) or </w:t>
            </w:r>
            <w:r w:rsidRPr="00CF2CB2">
              <w:t xml:space="preserve">1% </w:t>
            </w:r>
            <w:r>
              <w:t>(UK)</w:t>
            </w:r>
            <w:r w:rsidRPr="00CF2CB2">
              <w:t xml:space="preserve">, </w:t>
            </w:r>
            <w:r w:rsidRPr="00CF2CB2">
              <w:rPr>
                <w:b/>
              </w:rPr>
              <w:t>in place of water for injection (WFI)</w:t>
            </w:r>
            <w:r w:rsidRPr="00CF2CB2">
              <w:t>, will potentially reduce pain at the injection site</w:t>
            </w:r>
            <w:r>
              <w:t>. See product information relevant to each product.</w:t>
            </w:r>
          </w:p>
        </w:tc>
      </w:tr>
      <w:tr w:rsidR="000E5629" w:rsidRPr="00072AF5" w14:paraId="759011EA" w14:textId="77777777" w:rsidTr="00AF7810">
        <w:tc>
          <w:tcPr>
            <w:tcW w:w="1565" w:type="dxa"/>
            <w:gridSpan w:val="2"/>
          </w:tcPr>
          <w:p w14:paraId="7564B8BD" w14:textId="0F69C0CC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Consumer medicines information (CMI)</w:t>
            </w:r>
          </w:p>
        </w:tc>
        <w:tc>
          <w:tcPr>
            <w:tcW w:w="2598" w:type="dxa"/>
            <w:gridSpan w:val="2"/>
          </w:tcPr>
          <w:p w14:paraId="34102B3D" w14:textId="4DA49709" w:rsidR="000E5629" w:rsidRPr="00072AF5" w:rsidRDefault="000E5629" w:rsidP="00A336CE">
            <w:r w:rsidRPr="00F81F70">
              <w:t>Access the Australian CMI</w:t>
            </w:r>
            <w:r>
              <w:t> </w:t>
            </w:r>
            <w:hyperlink r:id="rId53" w:history="1">
              <w:r w:rsidRPr="00F81F70">
                <w:rPr>
                  <w:rStyle w:val="Hyperlink"/>
                </w:rPr>
                <w:t>here</w:t>
              </w:r>
            </w:hyperlink>
          </w:p>
        </w:tc>
        <w:tc>
          <w:tcPr>
            <w:tcW w:w="2599" w:type="dxa"/>
            <w:gridSpan w:val="2"/>
          </w:tcPr>
          <w:p w14:paraId="47AE1B85" w14:textId="6CAC3050" w:rsidR="000E5629" w:rsidRDefault="000E5629" w:rsidP="00A336CE">
            <w:r>
              <w:t xml:space="preserve">Access to TGA guidance </w:t>
            </w:r>
            <w:hyperlink r:id="rId54" w:history="1">
              <w:r w:rsidRPr="000C0381">
                <w:rPr>
                  <w:rStyle w:val="Hyperlink"/>
                </w:rPr>
                <w:t>here</w:t>
              </w:r>
            </w:hyperlink>
          </w:p>
        </w:tc>
        <w:tc>
          <w:tcPr>
            <w:tcW w:w="2599" w:type="dxa"/>
            <w:gridSpan w:val="2"/>
          </w:tcPr>
          <w:p w14:paraId="196E6ED9" w14:textId="2CB4D941" w:rsidR="000E5629" w:rsidRPr="00072AF5" w:rsidRDefault="000E5629" w:rsidP="00A336CE">
            <w:r w:rsidRPr="00F81F70">
              <w:t xml:space="preserve">Access the UK leaflet </w:t>
            </w:r>
            <w:hyperlink r:id="rId55" w:history="1">
              <w:r w:rsidRPr="004E2B4F">
                <w:rPr>
                  <w:rStyle w:val="Hyperlink"/>
                </w:rPr>
                <w:t>here</w:t>
              </w:r>
            </w:hyperlink>
          </w:p>
        </w:tc>
        <w:tc>
          <w:tcPr>
            <w:tcW w:w="2599" w:type="dxa"/>
            <w:gridSpan w:val="2"/>
          </w:tcPr>
          <w:p w14:paraId="05BF294E" w14:textId="6647FD2D" w:rsidR="000E5629" w:rsidRPr="00F81F70" w:rsidRDefault="006F6669" w:rsidP="00A336CE">
            <w:r>
              <w:t xml:space="preserve">The CMI is not publicly available in English, contact </w:t>
            </w:r>
            <w:hyperlink r:id="rId56" w:anchor="alternative-products-approved-to-support-supply" w:history="1">
              <w:r>
                <w:rPr>
                  <w:rStyle w:val="Hyperlink"/>
                </w:rPr>
                <w:t>Phero Pharma</w:t>
              </w:r>
            </w:hyperlink>
            <w:r>
              <w:t xml:space="preserve"> for access. </w:t>
            </w:r>
          </w:p>
        </w:tc>
        <w:tc>
          <w:tcPr>
            <w:tcW w:w="2600" w:type="dxa"/>
          </w:tcPr>
          <w:p w14:paraId="46102CB6" w14:textId="6450AB0E" w:rsidR="000E5629" w:rsidRPr="00072AF5" w:rsidRDefault="000E5629" w:rsidP="00A336CE">
            <w:r w:rsidRPr="00F81F70">
              <w:t>The medicines information leaflet</w:t>
            </w:r>
            <w:r>
              <w:t>s</w:t>
            </w:r>
            <w:r w:rsidRPr="00F81F70">
              <w:t xml:space="preserve"> for 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contain similar information but </w:t>
            </w:r>
            <w:r>
              <w:t>are</w:t>
            </w:r>
            <w:r w:rsidRPr="00F81F70">
              <w:t xml:space="preserve"> not </w:t>
            </w:r>
            <w:r>
              <w:t xml:space="preserve">TGA </w:t>
            </w:r>
            <w:r w:rsidRPr="00F81F70">
              <w:t xml:space="preserve">approved. </w:t>
            </w:r>
          </w:p>
        </w:tc>
      </w:tr>
      <w:tr w:rsidR="000E5629" w:rsidRPr="00072AF5" w14:paraId="7FD0425E" w14:textId="77777777" w:rsidTr="00AF7810">
        <w:tc>
          <w:tcPr>
            <w:tcW w:w="1565" w:type="dxa"/>
            <w:gridSpan w:val="2"/>
          </w:tcPr>
          <w:p w14:paraId="6B473036" w14:textId="78AC07F9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Product Information (PI)</w:t>
            </w:r>
          </w:p>
        </w:tc>
        <w:tc>
          <w:tcPr>
            <w:tcW w:w="2598" w:type="dxa"/>
            <w:gridSpan w:val="2"/>
          </w:tcPr>
          <w:p w14:paraId="25117756" w14:textId="0C538CA1" w:rsidR="000E5629" w:rsidRPr="00072AF5" w:rsidRDefault="000E5629" w:rsidP="00A336CE">
            <w:r w:rsidRPr="00F81F70">
              <w:t>Access the Australian PI</w:t>
            </w:r>
            <w:r>
              <w:t> </w:t>
            </w:r>
            <w:hyperlink r:id="rId57" w:history="1">
              <w:r w:rsidRPr="00F81F70">
                <w:rPr>
                  <w:rStyle w:val="Hyperlink"/>
                </w:rPr>
                <w:t>here</w:t>
              </w:r>
            </w:hyperlink>
          </w:p>
        </w:tc>
        <w:tc>
          <w:tcPr>
            <w:tcW w:w="2599" w:type="dxa"/>
            <w:gridSpan w:val="2"/>
          </w:tcPr>
          <w:p w14:paraId="19D04D39" w14:textId="77777777" w:rsidR="000E5629" w:rsidRDefault="000E5629" w:rsidP="00A336CE">
            <w:r>
              <w:t xml:space="preserve">Access to TGA guidance </w:t>
            </w:r>
            <w:hyperlink r:id="rId58" w:history="1">
              <w:r w:rsidRPr="000C0381">
                <w:rPr>
                  <w:rStyle w:val="Hyperlink"/>
                </w:rPr>
                <w:t>here</w:t>
              </w:r>
            </w:hyperlink>
          </w:p>
          <w:p w14:paraId="483CC300" w14:textId="6F43EC6E" w:rsidR="000E5629" w:rsidRDefault="000E5629" w:rsidP="00A336CE">
            <w:r w:rsidRPr="00F50E96">
              <w:rPr>
                <w:i/>
                <w:iCs/>
              </w:rPr>
              <w:t xml:space="preserve">Each LENTOCILIN S 1200 product is required to be packaged with an English language product information leaflet (either as a package </w:t>
            </w:r>
            <w:proofErr w:type="gramStart"/>
            <w:r w:rsidRPr="00F50E96">
              <w:rPr>
                <w:i/>
                <w:iCs/>
              </w:rPr>
              <w:t>insert, or</w:t>
            </w:r>
            <w:proofErr w:type="gramEnd"/>
            <w:r w:rsidRPr="00F50E96">
              <w:rPr>
                <w:i/>
                <w:iCs/>
              </w:rPr>
              <w:t xml:space="preserve"> included alongside). If additional copies of this product information are required, please contact the section 19A approval holder, Neon Healthcare Pty Ltd, on (02) 7255 8455 or via </w:t>
            </w:r>
            <w:hyperlink r:id="rId59" w:tgtFrame="_blank" w:tooltip="mailto:office@neonhealthcare.com.au" w:history="1">
              <w:r w:rsidRPr="00F50E96">
                <w:rPr>
                  <w:rStyle w:val="Hyperlink"/>
                  <w:i/>
                  <w:iCs/>
                </w:rPr>
                <w:t>office@neonhealthcare.com.au</w:t>
              </w:r>
            </w:hyperlink>
            <w:r w:rsidRPr="00F50E96">
              <w:t>.</w:t>
            </w:r>
          </w:p>
        </w:tc>
        <w:tc>
          <w:tcPr>
            <w:tcW w:w="2599" w:type="dxa"/>
            <w:gridSpan w:val="2"/>
          </w:tcPr>
          <w:p w14:paraId="0D0C1AAF" w14:textId="52D4597A" w:rsidR="000E5629" w:rsidRPr="00072AF5" w:rsidRDefault="000E5629" w:rsidP="00A336CE">
            <w:r w:rsidRPr="00F81F70">
              <w:t xml:space="preserve">Access the UK Summary of Product Characteristics (SmPC) </w:t>
            </w:r>
            <w:hyperlink r:id="rId60" w:history="1">
              <w:r w:rsidRPr="004C7458">
                <w:rPr>
                  <w:rStyle w:val="Hyperlink"/>
                  <w:szCs w:val="20"/>
                </w:rPr>
                <w:t>here</w:t>
              </w:r>
            </w:hyperlink>
          </w:p>
        </w:tc>
        <w:tc>
          <w:tcPr>
            <w:tcW w:w="2599" w:type="dxa"/>
            <w:gridSpan w:val="2"/>
          </w:tcPr>
          <w:p w14:paraId="4FB9A6D8" w14:textId="2EFB197E" w:rsidR="000E5629" w:rsidRPr="00F81F70" w:rsidRDefault="006F6669" w:rsidP="004241E2">
            <w:r>
              <w:t xml:space="preserve">The PI is not publicly available in English, contact </w:t>
            </w:r>
            <w:hyperlink r:id="rId61" w:anchor="alternative-products-approved-to-support-supply" w:history="1">
              <w:r>
                <w:rPr>
                  <w:rStyle w:val="Hyperlink"/>
                </w:rPr>
                <w:t>Phero Pharma</w:t>
              </w:r>
            </w:hyperlink>
            <w:r>
              <w:t xml:space="preserve"> for access.</w:t>
            </w:r>
          </w:p>
        </w:tc>
        <w:tc>
          <w:tcPr>
            <w:tcW w:w="2600" w:type="dxa"/>
          </w:tcPr>
          <w:p w14:paraId="559CEA2A" w14:textId="11A05A6C" w:rsidR="000E5629" w:rsidRPr="00072AF5" w:rsidRDefault="000E5629" w:rsidP="004241E2">
            <w:r w:rsidRPr="00F81F70">
              <w:t xml:space="preserve">The product information for 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contain similar information but </w:t>
            </w:r>
            <w:r>
              <w:t>are</w:t>
            </w:r>
            <w:r w:rsidRPr="00F81F70">
              <w:t xml:space="preserve"> not </w:t>
            </w:r>
            <w:r>
              <w:t>TGA </w:t>
            </w:r>
            <w:r w:rsidRPr="00F81F70">
              <w:t>approved.</w:t>
            </w:r>
          </w:p>
        </w:tc>
      </w:tr>
      <w:tr w:rsidR="000E5629" w:rsidRPr="00072AF5" w14:paraId="68F21768" w14:textId="77777777" w:rsidTr="00AF7810">
        <w:tc>
          <w:tcPr>
            <w:tcW w:w="1565" w:type="dxa"/>
            <w:gridSpan w:val="2"/>
          </w:tcPr>
          <w:p w14:paraId="714B56A5" w14:textId="72A34849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Labelling</w:t>
            </w:r>
          </w:p>
        </w:tc>
        <w:tc>
          <w:tcPr>
            <w:tcW w:w="2598" w:type="dxa"/>
            <w:gridSpan w:val="2"/>
          </w:tcPr>
          <w:p w14:paraId="7247F4C5" w14:textId="4EDC8635" w:rsidR="000E5629" w:rsidRPr="00072AF5" w:rsidRDefault="000E5629" w:rsidP="00A336CE">
            <w:r w:rsidRPr="00F81F70">
              <w:t>English</w:t>
            </w:r>
          </w:p>
        </w:tc>
        <w:tc>
          <w:tcPr>
            <w:tcW w:w="2599" w:type="dxa"/>
            <w:gridSpan w:val="2"/>
          </w:tcPr>
          <w:p w14:paraId="665589D0" w14:textId="49FFCBCC" w:rsidR="000E5629" w:rsidRDefault="000E5629" w:rsidP="00A336CE">
            <w:r>
              <w:t xml:space="preserve">Portuguese </w:t>
            </w:r>
          </w:p>
        </w:tc>
        <w:tc>
          <w:tcPr>
            <w:tcW w:w="2599" w:type="dxa"/>
            <w:gridSpan w:val="2"/>
          </w:tcPr>
          <w:p w14:paraId="2CC9D5AA" w14:textId="7D1575CB" w:rsidR="000E5629" w:rsidRPr="00072AF5" w:rsidRDefault="000E5629" w:rsidP="00A336CE">
            <w:r>
              <w:t>English</w:t>
            </w:r>
          </w:p>
        </w:tc>
        <w:tc>
          <w:tcPr>
            <w:tcW w:w="2599" w:type="dxa"/>
            <w:gridSpan w:val="2"/>
          </w:tcPr>
          <w:p w14:paraId="31AEC750" w14:textId="1B8FB85C" w:rsidR="000E5629" w:rsidRPr="008F6255" w:rsidRDefault="00E54D09" w:rsidP="00A336CE">
            <w:r>
              <w:t>Spanish</w:t>
            </w:r>
          </w:p>
        </w:tc>
        <w:tc>
          <w:tcPr>
            <w:tcW w:w="2600" w:type="dxa"/>
          </w:tcPr>
          <w:p w14:paraId="3BA5F699" w14:textId="0602B2CF" w:rsidR="000E5629" w:rsidRPr="00072AF5" w:rsidRDefault="000E5629" w:rsidP="00A336CE">
            <w:r w:rsidRPr="008F6255">
              <w:t xml:space="preserve">The active ingredient is in English. </w:t>
            </w:r>
            <w:r w:rsidR="00E54D09" w:rsidRPr="008F6255">
              <w:t>However,</w:t>
            </w:r>
            <w:r w:rsidRPr="008F6255">
              <w:t xml:space="preserve"> the labelling for the </w:t>
            </w:r>
            <w:r w:rsidRPr="008F6255">
              <w:rPr>
                <w:b/>
              </w:rPr>
              <w:t xml:space="preserve">S19A alternative from </w:t>
            </w:r>
            <w:r>
              <w:rPr>
                <w:b/>
              </w:rPr>
              <w:t>Portugal</w:t>
            </w:r>
            <w:r w:rsidR="00E54D09">
              <w:rPr>
                <w:b/>
              </w:rPr>
              <w:t xml:space="preserve"> and Spain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is</w:t>
            </w:r>
            <w:r w:rsidRPr="00DA5437">
              <w:rPr>
                <w:bCs/>
              </w:rPr>
              <w:t xml:space="preserve"> in</w:t>
            </w:r>
            <w:r w:rsidRPr="008F6255">
              <w:t xml:space="preserve"> </w:t>
            </w:r>
            <w:r>
              <w:t>Portuguese</w:t>
            </w:r>
            <w:r w:rsidR="00E54D09">
              <w:t xml:space="preserve"> and Spanish, respectively</w:t>
            </w:r>
          </w:p>
        </w:tc>
      </w:tr>
      <w:tr w:rsidR="000E5629" w:rsidRPr="00072AF5" w14:paraId="34984D0C" w14:textId="77777777" w:rsidTr="00AF7810">
        <w:tc>
          <w:tcPr>
            <w:tcW w:w="1565" w:type="dxa"/>
            <w:gridSpan w:val="2"/>
          </w:tcPr>
          <w:p w14:paraId="3566514D" w14:textId="4B23FAAA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Preparation requirements</w:t>
            </w:r>
          </w:p>
        </w:tc>
        <w:tc>
          <w:tcPr>
            <w:tcW w:w="2598" w:type="dxa"/>
            <w:gridSpan w:val="2"/>
          </w:tcPr>
          <w:p w14:paraId="3149C2BA" w14:textId="434BD40D" w:rsidR="000E5629" w:rsidRPr="00072AF5" w:rsidRDefault="000E5629" w:rsidP="00A336CE">
            <w:r w:rsidRPr="00F81F70">
              <w:t>The suspension for injection</w:t>
            </w:r>
            <w:r>
              <w:t xml:space="preserve"> is already</w:t>
            </w:r>
            <w:r w:rsidRPr="00F81F70">
              <w:t xml:space="preserve"> in </w:t>
            </w:r>
            <w:r>
              <w:t>a</w:t>
            </w:r>
            <w:r w:rsidRPr="00F81F70">
              <w:t xml:space="preserve"> prefilled for </w:t>
            </w:r>
            <w:r w:rsidRPr="00F81F70">
              <w:rPr>
                <w:b/>
              </w:rPr>
              <w:t>single use</w:t>
            </w:r>
            <w:r>
              <w:t> </w:t>
            </w:r>
            <w:r w:rsidRPr="00702DA8">
              <w:rPr>
                <w:b/>
                <w:bCs/>
              </w:rPr>
              <w:t>only</w:t>
            </w:r>
            <w:r w:rsidRPr="00F81F70">
              <w:t xml:space="preserve">. </w:t>
            </w:r>
          </w:p>
        </w:tc>
        <w:tc>
          <w:tcPr>
            <w:tcW w:w="2599" w:type="dxa"/>
            <w:gridSpan w:val="2"/>
          </w:tcPr>
          <w:p w14:paraId="3AEBCEA8" w14:textId="421AACDF" w:rsidR="000E5629" w:rsidRPr="00F81F70" w:rsidRDefault="000E5629" w:rsidP="00A336CE">
            <w:r w:rsidRPr="00F81F70">
              <w:t xml:space="preserve">The suspension for injection </w:t>
            </w:r>
            <w:r w:rsidRPr="008434AB">
              <w:rPr>
                <w:b/>
                <w:bCs/>
              </w:rPr>
              <w:t>must be reconstituted</w:t>
            </w:r>
            <w:r w:rsidRPr="00F81F70">
              <w:t xml:space="preserve"> </w:t>
            </w:r>
            <w:r>
              <w:t xml:space="preserve">with diluent </w:t>
            </w:r>
            <w:r w:rsidRPr="00F81F70">
              <w:t>before administration</w:t>
            </w:r>
            <w:r>
              <w:t>.</w:t>
            </w:r>
          </w:p>
        </w:tc>
        <w:tc>
          <w:tcPr>
            <w:tcW w:w="2599" w:type="dxa"/>
            <w:gridSpan w:val="2"/>
          </w:tcPr>
          <w:p w14:paraId="676D4CBD" w14:textId="0A7CA2D7" w:rsidR="000E5629" w:rsidRPr="00072AF5" w:rsidRDefault="000E5629" w:rsidP="00A336CE">
            <w:r w:rsidRPr="00F81F70">
              <w:t xml:space="preserve">The suspension for injection </w:t>
            </w:r>
            <w:r w:rsidRPr="008434AB">
              <w:rPr>
                <w:b/>
                <w:bCs/>
              </w:rPr>
              <w:t>must be reconstituted</w:t>
            </w:r>
            <w:r w:rsidRPr="00F81F70">
              <w:t xml:space="preserve"> </w:t>
            </w:r>
            <w:r>
              <w:t xml:space="preserve">with 3.5 mL diluent </w:t>
            </w:r>
            <w:r w:rsidRPr="00F81F70">
              <w:t>before administration</w:t>
            </w:r>
            <w:r>
              <w:t>.</w:t>
            </w:r>
          </w:p>
        </w:tc>
        <w:tc>
          <w:tcPr>
            <w:tcW w:w="2599" w:type="dxa"/>
            <w:gridSpan w:val="2"/>
          </w:tcPr>
          <w:p w14:paraId="27778895" w14:textId="180EF613" w:rsidR="000E5629" w:rsidRPr="00F81F70" w:rsidRDefault="00D36FA7" w:rsidP="00A336CE">
            <w:r>
              <w:t xml:space="preserve">The suspension for injection </w:t>
            </w:r>
            <w:r w:rsidRPr="00020F8A">
              <w:rPr>
                <w:b/>
                <w:bCs/>
              </w:rPr>
              <w:t>must be reconstituted</w:t>
            </w:r>
            <w:r>
              <w:t xml:space="preserve"> with 4mL solvent before administration.</w:t>
            </w:r>
          </w:p>
        </w:tc>
        <w:tc>
          <w:tcPr>
            <w:tcW w:w="2600" w:type="dxa"/>
          </w:tcPr>
          <w:p w14:paraId="34802F03" w14:textId="1921243A" w:rsidR="000E5629" w:rsidRPr="00072AF5" w:rsidRDefault="000E5629" w:rsidP="00A336CE">
            <w:r w:rsidRPr="00F81F70">
              <w:t xml:space="preserve">The </w:t>
            </w:r>
            <w:r w:rsidRPr="008434AB">
              <w:rPr>
                <w:b/>
                <w:bCs/>
              </w:rPr>
              <w:t>S19A alternative</w:t>
            </w:r>
            <w:r>
              <w:rPr>
                <w:b/>
                <w:bCs/>
              </w:rPr>
              <w:t>s</w:t>
            </w:r>
            <w:r w:rsidRPr="00F81F70">
              <w:t xml:space="preserve"> must be reconstituted using </w:t>
            </w:r>
            <w:hyperlink r:id="rId62" w:history="1">
              <w:r w:rsidRPr="00F81F70">
                <w:rPr>
                  <w:rStyle w:val="Hyperlink"/>
                </w:rPr>
                <w:t>aseptic technique</w:t>
              </w:r>
            </w:hyperlink>
            <w:r w:rsidRPr="00F81F70">
              <w:t>.</w:t>
            </w:r>
          </w:p>
        </w:tc>
      </w:tr>
      <w:tr w:rsidR="00AF7810" w:rsidRPr="00072AF5" w14:paraId="52EA8D25" w14:textId="77777777" w:rsidTr="005A32CB">
        <w:trPr>
          <w:trHeight w:val="2353"/>
        </w:trPr>
        <w:tc>
          <w:tcPr>
            <w:tcW w:w="1565" w:type="dxa"/>
            <w:gridSpan w:val="2"/>
          </w:tcPr>
          <w:p w14:paraId="556ACB03" w14:textId="4D31FB81" w:rsidR="00AF7810" w:rsidRPr="003F0268" w:rsidRDefault="00AF7810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Route of administration</w:t>
            </w:r>
          </w:p>
        </w:tc>
        <w:tc>
          <w:tcPr>
            <w:tcW w:w="10337" w:type="dxa"/>
            <w:gridSpan w:val="7"/>
            <w:shd w:val="clear" w:color="auto" w:fill="808080" w:themeFill="background1" w:themeFillShade="80"/>
          </w:tcPr>
          <w:p w14:paraId="3FB9D7B3" w14:textId="77777777" w:rsidR="00AF7810" w:rsidRDefault="00AF7810" w:rsidP="00AF7810">
            <w:pPr>
              <w:jc w:val="center"/>
            </w:pPr>
          </w:p>
          <w:p w14:paraId="5794CA0A" w14:textId="77777777" w:rsidR="00AF7810" w:rsidRDefault="00AF7810" w:rsidP="00AF7810">
            <w:pPr>
              <w:jc w:val="center"/>
            </w:pPr>
          </w:p>
          <w:p w14:paraId="61F21365" w14:textId="0217BD93" w:rsidR="00AF7810" w:rsidRPr="00F81F70" w:rsidRDefault="00AF7810" w:rsidP="00AF7810">
            <w:pPr>
              <w:jc w:val="center"/>
            </w:pPr>
            <w:r w:rsidRPr="000A64EC">
              <w:rPr>
                <w:b/>
                <w:bCs/>
                <w:color w:val="FFFFFF" w:themeColor="background1"/>
              </w:rPr>
              <w:t>For deep intramuscular (IM) injection only</w:t>
            </w:r>
          </w:p>
        </w:tc>
        <w:tc>
          <w:tcPr>
            <w:tcW w:w="2658" w:type="dxa"/>
            <w:gridSpan w:val="2"/>
          </w:tcPr>
          <w:p w14:paraId="2050B2DD" w14:textId="2FBF88DB" w:rsidR="00AF7810" w:rsidRPr="00F81F70" w:rsidRDefault="00AF7810" w:rsidP="00A336CE">
            <w:r w:rsidRPr="00F81F70">
              <w:t xml:space="preserve">Refer local clinical practice guidelines on appropriate administration technique for deep IM injection in conjunction with full details on method of administration </w:t>
            </w:r>
            <w:r>
              <w:t>for each product</w:t>
            </w:r>
            <w:r w:rsidRPr="00F81F70">
              <w:t xml:space="preserve"> including specific instructions for </w:t>
            </w:r>
            <w:r>
              <w:t>paediatric patients (including neonates)</w:t>
            </w:r>
            <w:r w:rsidRPr="00F81F70">
              <w:t>.</w:t>
            </w:r>
          </w:p>
        </w:tc>
      </w:tr>
      <w:tr w:rsidR="000E5629" w:rsidRPr="00072AF5" w14:paraId="388AE492" w14:textId="77777777" w:rsidTr="00AF7810">
        <w:trPr>
          <w:trHeight w:val="2353"/>
        </w:trPr>
        <w:tc>
          <w:tcPr>
            <w:tcW w:w="1565" w:type="dxa"/>
            <w:gridSpan w:val="2"/>
          </w:tcPr>
          <w:p w14:paraId="780B5BFD" w14:textId="3C9DB6FB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Storage conditions</w:t>
            </w:r>
          </w:p>
        </w:tc>
        <w:tc>
          <w:tcPr>
            <w:tcW w:w="2598" w:type="dxa"/>
            <w:gridSpan w:val="2"/>
          </w:tcPr>
          <w:p w14:paraId="4927F3E6" w14:textId="51ED92BE" w:rsidR="000E5629" w:rsidRPr="00F81F70" w:rsidRDefault="000E5629" w:rsidP="00A336CE">
            <w:r w:rsidRPr="00F81F70">
              <w:t>2 to 8 degrees Celsius*</w:t>
            </w:r>
            <w:r>
              <w:br/>
            </w:r>
            <w:r w:rsidRPr="00F81F70">
              <w:t>(Refrigerate, do not</w:t>
            </w:r>
            <w:r>
              <w:t> </w:t>
            </w:r>
            <w:r w:rsidRPr="00F81F70">
              <w:t>freeze)</w:t>
            </w:r>
          </w:p>
          <w:p w14:paraId="66D4E8A1" w14:textId="7541F2B8" w:rsidR="000E5629" w:rsidRPr="00072AF5" w:rsidRDefault="000E5629" w:rsidP="00A336CE">
            <w:r w:rsidRPr="00F81F70">
              <w:rPr>
                <w:i/>
              </w:rPr>
              <w:t>[*Storage at 30°C, is allowed for a single period of 2 months prior to batch</w:t>
            </w:r>
            <w:r>
              <w:rPr>
                <w:i/>
              </w:rPr>
              <w:t> </w:t>
            </w:r>
            <w:r w:rsidRPr="00F81F70">
              <w:rPr>
                <w:i/>
              </w:rPr>
              <w:t>expiry.]</w:t>
            </w:r>
          </w:p>
        </w:tc>
        <w:tc>
          <w:tcPr>
            <w:tcW w:w="2599" w:type="dxa"/>
            <w:gridSpan w:val="2"/>
          </w:tcPr>
          <w:p w14:paraId="05DE4595" w14:textId="36FD758F" w:rsidR="000E5629" w:rsidRPr="00F81F70" w:rsidRDefault="000E5629" w:rsidP="007D1340">
            <w:r w:rsidRPr="00F81F70">
              <w:t>Below 25 degrees Celsius</w:t>
            </w:r>
          </w:p>
        </w:tc>
        <w:tc>
          <w:tcPr>
            <w:tcW w:w="2599" w:type="dxa"/>
            <w:gridSpan w:val="2"/>
          </w:tcPr>
          <w:p w14:paraId="7A2A55C5" w14:textId="3B5100CC" w:rsidR="000E5629" w:rsidRPr="00072AF5" w:rsidRDefault="000E5629" w:rsidP="00A336CE">
            <w:r w:rsidRPr="00F81F70">
              <w:t>Below 25 degrees Celsius</w:t>
            </w:r>
          </w:p>
        </w:tc>
        <w:tc>
          <w:tcPr>
            <w:tcW w:w="2599" w:type="dxa"/>
            <w:gridSpan w:val="2"/>
          </w:tcPr>
          <w:p w14:paraId="6C5215F5" w14:textId="5A24D96F" w:rsidR="000E5629" w:rsidRPr="00F81F70" w:rsidRDefault="005A32CB" w:rsidP="00A336CE">
            <w:r>
              <w:t>In a dry place</w:t>
            </w:r>
          </w:p>
        </w:tc>
        <w:tc>
          <w:tcPr>
            <w:tcW w:w="2600" w:type="dxa"/>
          </w:tcPr>
          <w:p w14:paraId="5E7B3AC8" w14:textId="1EDF01BB" w:rsidR="000E5629" w:rsidRPr="00072AF5" w:rsidRDefault="000E5629" w:rsidP="00A336CE">
            <w:r w:rsidRPr="00F81F70">
              <w:t xml:space="preserve">The </w:t>
            </w:r>
            <w:hyperlink r:id="rId63" w:history="1">
              <w:r w:rsidRPr="00F81F70">
                <w:rPr>
                  <w:rStyle w:val="Hyperlink"/>
                </w:rPr>
                <w:t>Principles for safe selection and storage of medicines</w:t>
              </w:r>
            </w:hyperlink>
            <w:r w:rsidRPr="00F81F70">
              <w:t xml:space="preserve"> should be applied given that the storage location of 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will</w:t>
            </w:r>
            <w:r>
              <w:t> </w:t>
            </w:r>
            <w:r w:rsidRPr="00F81F70">
              <w:t>differ.</w:t>
            </w:r>
          </w:p>
        </w:tc>
      </w:tr>
      <w:tr w:rsidR="000E5629" w:rsidRPr="00072AF5" w14:paraId="1F03DC87" w14:textId="77777777" w:rsidTr="00AF7810">
        <w:trPr>
          <w:trHeight w:val="77"/>
        </w:trPr>
        <w:tc>
          <w:tcPr>
            <w:tcW w:w="1565" w:type="dxa"/>
            <w:gridSpan w:val="2"/>
          </w:tcPr>
          <w:p w14:paraId="3B67C9BF" w14:textId="098184B1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Additional excipients</w:t>
            </w:r>
          </w:p>
        </w:tc>
        <w:tc>
          <w:tcPr>
            <w:tcW w:w="2598" w:type="dxa"/>
            <w:gridSpan w:val="2"/>
          </w:tcPr>
          <w:p w14:paraId="670C8033" w14:textId="77777777" w:rsidR="000E5629" w:rsidRPr="00F81F70" w:rsidRDefault="000E5629" w:rsidP="00A336CE">
            <w:r w:rsidRPr="00F81F70">
              <w:t xml:space="preserve">Sodium citrate; </w:t>
            </w:r>
            <w:r>
              <w:t xml:space="preserve">soy </w:t>
            </w:r>
            <w:r w:rsidRPr="00F81F70">
              <w:t>lecithin</w:t>
            </w:r>
            <w:r w:rsidRPr="00F81F70">
              <w:rPr>
                <w:vertAlign w:val="superscript"/>
              </w:rPr>
              <w:t>#</w:t>
            </w:r>
            <w:r w:rsidRPr="00F81F70">
              <w:t xml:space="preserve">; </w:t>
            </w:r>
            <w:proofErr w:type="spellStart"/>
            <w:r w:rsidRPr="00F81F70">
              <w:t>carmellose</w:t>
            </w:r>
            <w:proofErr w:type="spellEnd"/>
            <w:r w:rsidRPr="00F81F70">
              <w:t xml:space="preserve"> sodium; povidone; and preservatives: </w:t>
            </w:r>
          </w:p>
          <w:p w14:paraId="659F0362" w14:textId="77777777" w:rsidR="000E5629" w:rsidRPr="001C2C65" w:rsidRDefault="000E5629" w:rsidP="001C2C65">
            <w:pPr>
              <w:keepLines/>
            </w:pPr>
            <w:r w:rsidRPr="001C2C65">
              <w:t>methyl hydroxybenzoate</w:t>
            </w:r>
          </w:p>
          <w:p w14:paraId="17B3862C" w14:textId="2051C528" w:rsidR="000E5629" w:rsidRPr="00072AF5" w:rsidRDefault="000E5629" w:rsidP="00A336CE">
            <w:r w:rsidRPr="00702DA8">
              <w:t>propyl hydroxybenzoate</w:t>
            </w:r>
          </w:p>
        </w:tc>
        <w:tc>
          <w:tcPr>
            <w:tcW w:w="2599" w:type="dxa"/>
            <w:gridSpan w:val="2"/>
          </w:tcPr>
          <w:p w14:paraId="58C74AB4" w14:textId="085B21E0" w:rsidR="000E5629" w:rsidRPr="007D1340" w:rsidRDefault="000E5629" w:rsidP="00AE0BA3">
            <w:r>
              <w:t>S</w:t>
            </w:r>
            <w:r w:rsidRPr="00AE0BA3">
              <w:t>odium citrate, lecithin</w:t>
            </w:r>
            <w:r w:rsidRPr="00F81F70">
              <w:rPr>
                <w:vertAlign w:val="superscript"/>
              </w:rPr>
              <w:t>#</w:t>
            </w:r>
            <w:r w:rsidRPr="00AE0BA3">
              <w:t xml:space="preserve"> and</w:t>
            </w:r>
            <w:r>
              <w:t xml:space="preserve"> </w:t>
            </w:r>
            <w:r w:rsidRPr="00AE0BA3">
              <w:t xml:space="preserve">polysorbate 80 </w:t>
            </w:r>
          </w:p>
        </w:tc>
        <w:tc>
          <w:tcPr>
            <w:tcW w:w="2599" w:type="dxa"/>
            <w:gridSpan w:val="2"/>
          </w:tcPr>
          <w:p w14:paraId="6E6152D2" w14:textId="7C056159" w:rsidR="000E5629" w:rsidRPr="00072AF5" w:rsidRDefault="000E5629" w:rsidP="00A336CE">
            <w:r w:rsidRPr="00F81F70">
              <w:t>Soy lecithin</w:t>
            </w:r>
            <w:r w:rsidRPr="00F81F70">
              <w:rPr>
                <w:vertAlign w:val="superscript"/>
              </w:rPr>
              <w:t>#</w:t>
            </w:r>
            <w:r w:rsidRPr="00F81F70">
              <w:t xml:space="preserve">; polysorbate 80; sodium citrate; </w:t>
            </w:r>
            <w:proofErr w:type="spellStart"/>
            <w:r w:rsidRPr="00F81F70">
              <w:t>carmellose</w:t>
            </w:r>
            <w:proofErr w:type="spellEnd"/>
            <w:r w:rsidRPr="00F81F70">
              <w:t xml:space="preserve"> sodium; and povidone</w:t>
            </w:r>
          </w:p>
        </w:tc>
        <w:tc>
          <w:tcPr>
            <w:tcW w:w="2599" w:type="dxa"/>
            <w:gridSpan w:val="2"/>
          </w:tcPr>
          <w:p w14:paraId="2C842EF9" w14:textId="11BBC379" w:rsidR="000E5629" w:rsidRPr="00F81F70" w:rsidRDefault="005A32CB" w:rsidP="00A336CE">
            <w:r w:rsidRPr="00F81F70">
              <w:t>Soy lecithin</w:t>
            </w:r>
            <w:proofErr w:type="gramStart"/>
            <w:r w:rsidRPr="00F81F70">
              <w:rPr>
                <w:vertAlign w:val="superscript"/>
              </w:rPr>
              <w:t>#</w:t>
            </w:r>
            <w:r w:rsidRPr="00F81F70">
              <w:t>;</w:t>
            </w:r>
            <w:r>
              <w:t>Tween</w:t>
            </w:r>
            <w:proofErr w:type="gramEnd"/>
            <w:r>
              <w:t xml:space="preserve"> 80; sodium citrate (E-331)</w:t>
            </w:r>
          </w:p>
        </w:tc>
        <w:tc>
          <w:tcPr>
            <w:tcW w:w="2600" w:type="dxa"/>
          </w:tcPr>
          <w:p w14:paraId="14270910" w14:textId="24214C98" w:rsidR="000E5629" w:rsidRDefault="000E5629" w:rsidP="00A336CE">
            <w:r w:rsidRPr="00F81F70">
              <w:t>The</w:t>
            </w:r>
            <w:r>
              <w:t xml:space="preserve"> list of excipients within the</w:t>
            </w:r>
            <w:r w:rsidRPr="00F81F70">
              <w:t xml:space="preserve">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>,</w:t>
            </w:r>
            <w:r>
              <w:t xml:space="preserve"> </w:t>
            </w:r>
            <w:r w:rsidRPr="00F81F70">
              <w:t>differ from the Australian registered product</w:t>
            </w:r>
            <w:r>
              <w:t>.</w:t>
            </w:r>
          </w:p>
          <w:p w14:paraId="4480DF50" w14:textId="389359A5" w:rsidR="000E5629" w:rsidRPr="00072AF5" w:rsidRDefault="000E5629" w:rsidP="00A336CE">
            <w:r w:rsidRPr="001F5EC4">
              <w:rPr>
                <w:i/>
                <w:iCs/>
                <w:vertAlign w:val="superscript"/>
              </w:rPr>
              <w:t>#</w:t>
            </w:r>
            <w:r w:rsidRPr="001F5EC4">
              <w:rPr>
                <w:i/>
                <w:iCs/>
              </w:rPr>
              <w:t>The presence of excipients such as soy lecithin should be considered, especially for consumers with a soy or peanut allergy</w:t>
            </w:r>
            <w:r w:rsidRPr="00F81F70">
              <w:t>.</w:t>
            </w:r>
          </w:p>
        </w:tc>
      </w:tr>
      <w:tr w:rsidR="000E5629" w:rsidRPr="00072AF5" w14:paraId="2E9C1C6B" w14:textId="77777777" w:rsidTr="00AF7810">
        <w:trPr>
          <w:trHeight w:val="77"/>
        </w:trPr>
        <w:tc>
          <w:tcPr>
            <w:tcW w:w="1565" w:type="dxa"/>
            <w:gridSpan w:val="2"/>
          </w:tcPr>
          <w:p w14:paraId="453E1590" w14:textId="28B567CE" w:rsidR="000E5629" w:rsidRPr="003F0268" w:rsidRDefault="000E5629" w:rsidP="00A336C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Included solvent</w:t>
            </w:r>
          </w:p>
        </w:tc>
        <w:tc>
          <w:tcPr>
            <w:tcW w:w="2598" w:type="dxa"/>
            <w:gridSpan w:val="2"/>
          </w:tcPr>
          <w:p w14:paraId="79CE1D2A" w14:textId="03EE7716" w:rsidR="000E5629" w:rsidRPr="00F81F70" w:rsidRDefault="000E5629" w:rsidP="00A336CE">
            <w:r>
              <w:t>Nil</w:t>
            </w:r>
          </w:p>
        </w:tc>
        <w:tc>
          <w:tcPr>
            <w:tcW w:w="2599" w:type="dxa"/>
            <w:gridSpan w:val="2"/>
          </w:tcPr>
          <w:p w14:paraId="7341BBA8" w14:textId="59CA3231" w:rsidR="000E5629" w:rsidRDefault="000E5629" w:rsidP="00AE0BA3">
            <w:r>
              <w:t xml:space="preserve">Lidocaine hydrochloride 1.5% solution </w:t>
            </w:r>
          </w:p>
        </w:tc>
        <w:tc>
          <w:tcPr>
            <w:tcW w:w="2599" w:type="dxa"/>
            <w:gridSpan w:val="2"/>
          </w:tcPr>
          <w:p w14:paraId="2B5E91CA" w14:textId="6426ED0A" w:rsidR="000E5629" w:rsidRPr="00F81F70" w:rsidRDefault="000E5629" w:rsidP="00A336CE">
            <w:r>
              <w:t>Water for injection</w:t>
            </w:r>
          </w:p>
        </w:tc>
        <w:tc>
          <w:tcPr>
            <w:tcW w:w="2599" w:type="dxa"/>
            <w:gridSpan w:val="2"/>
          </w:tcPr>
          <w:p w14:paraId="4837CD35" w14:textId="51BFAC0E" w:rsidR="000E5629" w:rsidRPr="00DA5437" w:rsidRDefault="005A32CB" w:rsidP="0018082D">
            <w:r>
              <w:t>Water for injection</w:t>
            </w:r>
          </w:p>
        </w:tc>
        <w:tc>
          <w:tcPr>
            <w:tcW w:w="2600" w:type="dxa"/>
          </w:tcPr>
          <w:p w14:paraId="6B9E2FC9" w14:textId="660AD26F" w:rsidR="000E5629" w:rsidRPr="00F81F70" w:rsidRDefault="000E5629" w:rsidP="0018082D">
            <w:r w:rsidRPr="00DA5437">
              <w:t>Caution is recommended in some patient groups if lidocaine</w:t>
            </w:r>
            <w:r>
              <w:t xml:space="preserve"> </w:t>
            </w:r>
            <w:r w:rsidRPr="00210E69">
              <w:t xml:space="preserve">1.5% </w:t>
            </w:r>
            <w:r w:rsidRPr="00DA5437">
              <w:t xml:space="preserve">is used as the solvent. Alternatively, water for injection may be used to reconstitute </w:t>
            </w:r>
            <w:proofErr w:type="spellStart"/>
            <w:r w:rsidRPr="0018082D">
              <w:t>Lentocilin</w:t>
            </w:r>
            <w:proofErr w:type="spellEnd"/>
            <w:r>
              <w:t xml:space="preserve"> S 1200</w:t>
            </w:r>
            <w:r w:rsidRPr="00DA5437">
              <w:t xml:space="preserve">. Note: Lidocaine 1.5% is a Schedule 4 medicine and requires a separate prescription in addition to that for </w:t>
            </w:r>
            <w:proofErr w:type="spellStart"/>
            <w:r w:rsidRPr="0018082D">
              <w:t>Lentocilin</w:t>
            </w:r>
            <w:proofErr w:type="spellEnd"/>
            <w:r>
              <w:t xml:space="preserve"> S 1200</w:t>
            </w:r>
            <w:r w:rsidRPr="00DA5437">
              <w:t>.</w:t>
            </w:r>
          </w:p>
        </w:tc>
      </w:tr>
      <w:tr w:rsidR="000E5629" w:rsidRPr="00072AF5" w14:paraId="0E146E9C" w14:textId="77777777" w:rsidTr="00AF7810">
        <w:tc>
          <w:tcPr>
            <w:tcW w:w="1565" w:type="dxa"/>
            <w:gridSpan w:val="2"/>
          </w:tcPr>
          <w:p w14:paraId="619C454E" w14:textId="57BF5583" w:rsidR="000E5629" w:rsidRPr="003F0268" w:rsidRDefault="000E5629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Doses per</w:t>
            </w:r>
            <w:r>
              <w:rPr>
                <w:b/>
                <w:bCs/>
              </w:rPr>
              <w:t> </w:t>
            </w:r>
            <w:r w:rsidRPr="003F0268">
              <w:rPr>
                <w:b/>
                <w:bCs/>
              </w:rPr>
              <w:t>pack</w:t>
            </w:r>
          </w:p>
        </w:tc>
        <w:tc>
          <w:tcPr>
            <w:tcW w:w="2598" w:type="dxa"/>
            <w:gridSpan w:val="2"/>
          </w:tcPr>
          <w:p w14:paraId="431BB40D" w14:textId="07E2D694" w:rsidR="000E5629" w:rsidRPr="00072AF5" w:rsidRDefault="000E5629" w:rsidP="00A336CE">
            <w:r w:rsidRPr="00F81F70">
              <w:t>10 (individual pre-filled syringes)</w:t>
            </w:r>
          </w:p>
        </w:tc>
        <w:tc>
          <w:tcPr>
            <w:tcW w:w="2599" w:type="dxa"/>
            <w:gridSpan w:val="2"/>
          </w:tcPr>
          <w:p w14:paraId="71478415" w14:textId="736F739F" w:rsidR="000E5629" w:rsidRPr="00F81F70" w:rsidRDefault="000E5629" w:rsidP="00A336CE">
            <w:r w:rsidRPr="00F81F70">
              <w:t>1 x vial of</w:t>
            </w:r>
            <w:r>
              <w:t xml:space="preserve"> </w:t>
            </w:r>
            <w:r w:rsidRPr="00F81F70">
              <w:t>powder for suspension</w:t>
            </w:r>
            <w:r>
              <w:br/>
            </w:r>
            <w:r w:rsidRPr="00F81F70">
              <w:t>1 x glass ampoule containing</w:t>
            </w:r>
            <w:r>
              <w:t xml:space="preserve"> lidocaine 1.5%</w:t>
            </w:r>
          </w:p>
        </w:tc>
        <w:tc>
          <w:tcPr>
            <w:tcW w:w="2599" w:type="dxa"/>
            <w:gridSpan w:val="2"/>
          </w:tcPr>
          <w:p w14:paraId="12F5EFE9" w14:textId="027F24B6" w:rsidR="000E5629" w:rsidRPr="00072AF5" w:rsidRDefault="000E5629" w:rsidP="00A336CE">
            <w:r w:rsidRPr="00F81F70">
              <w:t>1 x vial of powder for</w:t>
            </w:r>
            <w:r>
              <w:t> </w:t>
            </w:r>
            <w:r w:rsidRPr="00F81F70">
              <w:t>suspension</w:t>
            </w:r>
          </w:p>
        </w:tc>
        <w:tc>
          <w:tcPr>
            <w:tcW w:w="2599" w:type="dxa"/>
            <w:gridSpan w:val="2"/>
          </w:tcPr>
          <w:p w14:paraId="2A331C13" w14:textId="3303F5F5" w:rsidR="005A32CB" w:rsidRDefault="005A32CB" w:rsidP="005A32CB">
            <w:r>
              <w:t xml:space="preserve">1 x vial of powder for suspension </w:t>
            </w:r>
          </w:p>
          <w:p w14:paraId="601D0792" w14:textId="05C8D0CF" w:rsidR="000E5629" w:rsidRPr="00072AF5" w:rsidRDefault="005A32CB" w:rsidP="005A32CB">
            <w:r>
              <w:t>1 x glass ampoule containing water for injection</w:t>
            </w:r>
          </w:p>
        </w:tc>
        <w:tc>
          <w:tcPr>
            <w:tcW w:w="2600" w:type="dxa"/>
          </w:tcPr>
          <w:p w14:paraId="520467F1" w14:textId="1FC83EC6" w:rsidR="000E5629" w:rsidRPr="00072AF5" w:rsidRDefault="000E5629" w:rsidP="00A336CE"/>
        </w:tc>
      </w:tr>
    </w:tbl>
    <w:p w14:paraId="11B82BC7" w14:textId="77777777" w:rsidR="009B626A" w:rsidRPr="00732675" w:rsidRDefault="009B626A" w:rsidP="004F4210"/>
    <w:sectPr w:rsidR="009B626A" w:rsidRPr="00732675" w:rsidSect="00071419">
      <w:headerReference w:type="default" r:id="rId64"/>
      <w:footerReference w:type="default" r:id="rId65"/>
      <w:headerReference w:type="first" r:id="rId66"/>
      <w:footerReference w:type="first" r:id="rId67"/>
      <w:pgSz w:w="16838" w:h="11906" w:orient="landscape" w:code="9"/>
      <w:pgMar w:top="1531" w:right="1134" w:bottom="1531" w:left="1134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F462F" w14:textId="77777777" w:rsidR="00343A17" w:rsidRDefault="00343A17" w:rsidP="001D0AFC">
      <w:r>
        <w:separator/>
      </w:r>
    </w:p>
    <w:p w14:paraId="4C04322B" w14:textId="77777777" w:rsidR="00343A17" w:rsidRDefault="00343A17"/>
    <w:p w14:paraId="58058532" w14:textId="77777777" w:rsidR="00343A17" w:rsidRDefault="00343A17"/>
    <w:p w14:paraId="66D3A661" w14:textId="77777777" w:rsidR="00343A17" w:rsidRDefault="00343A17"/>
  </w:endnote>
  <w:endnote w:type="continuationSeparator" w:id="0">
    <w:p w14:paraId="5EE8817C" w14:textId="77777777" w:rsidR="00343A17" w:rsidRDefault="00343A17" w:rsidP="001D0AFC">
      <w:r>
        <w:continuationSeparator/>
      </w:r>
    </w:p>
    <w:p w14:paraId="18BC5987" w14:textId="77777777" w:rsidR="00343A17" w:rsidRDefault="00343A17"/>
    <w:p w14:paraId="0CC33D9A" w14:textId="77777777" w:rsidR="00343A17" w:rsidRDefault="00343A17"/>
    <w:p w14:paraId="391F0135" w14:textId="77777777" w:rsidR="00343A17" w:rsidRDefault="00343A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BBD3C" w14:textId="77777777" w:rsidR="009C5BF4" w:rsidRDefault="009C5B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46711" w14:textId="10E200BA" w:rsidR="00831CA3" w:rsidRPr="00A2648F" w:rsidRDefault="00831CA3" w:rsidP="00831CA3">
    <w:pPr>
      <w:pStyle w:val="Footer"/>
      <w:ind w:left="284"/>
      <w:rPr>
        <w:b/>
        <w:bCs/>
      </w:rPr>
    </w:pPr>
    <w:r w:rsidRPr="005F110C">
      <w:rPr>
        <w:noProof/>
        <w:color w:val="FF0000"/>
      </w:rPr>
      <w:drawing>
        <wp:anchor distT="0" distB="0" distL="114300" distR="114300" simplePos="0" relativeHeight="251675648" behindDoc="0" locked="0" layoutInCell="1" allowOverlap="1" wp14:anchorId="1D12EE04" wp14:editId="7A41C639">
          <wp:simplePos x="0" y="0"/>
          <wp:positionH relativeFrom="column">
            <wp:posOffset>0</wp:posOffset>
          </wp:positionH>
          <wp:positionV relativeFrom="paragraph">
            <wp:posOffset>-27432</wp:posOffset>
          </wp:positionV>
          <wp:extent cx="138948" cy="180000"/>
          <wp:effectExtent l="0" t="0" r="0" b="0"/>
          <wp:wrapNone/>
          <wp:docPr id="952830089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222773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lang w:val="en-GB"/>
      </w:rPr>
      <w:t xml:space="preserve">Fact Sheet: </w:t>
    </w:r>
    <w:r w:rsidRPr="007723D3">
      <w:rPr>
        <w:bCs/>
        <w:lang w:val="en-GB"/>
      </w:rPr>
      <w:t>Benzathine benzylpenicillin (</w:t>
    </w:r>
    <w:proofErr w:type="spellStart"/>
    <w:r w:rsidRPr="007723D3">
      <w:rPr>
        <w:bCs/>
        <w:lang w:val="en-GB"/>
      </w:rPr>
      <w:t>Bicillin</w:t>
    </w:r>
    <w:proofErr w:type="spellEnd"/>
    <w:r w:rsidRPr="007723D3">
      <w:rPr>
        <w:bCs/>
        <w:lang w:val="en-GB"/>
      </w:rPr>
      <w:t xml:space="preserve"> L-A) disruption to suppl</w:t>
    </w:r>
    <w:r>
      <w:rPr>
        <w:bCs/>
        <w:lang w:val="en-GB"/>
      </w:rPr>
      <w:t xml:space="preserve">y </w:t>
    </w:r>
    <w:r w:rsidRPr="00D33B8A">
      <w:rPr>
        <w:bCs/>
        <w:lang w:val="en-GB"/>
      </w:rPr>
      <w:t xml:space="preserve">– </w:t>
    </w:r>
    <w:r w:rsidR="003466CD">
      <w:rPr>
        <w:bCs/>
        <w:lang w:val="en-GB"/>
      </w:rPr>
      <w:t>May 2026</w:t>
    </w:r>
    <w:r w:rsidRPr="00033439">
      <w:tab/>
    </w:r>
    <w:r w:rsidRPr="00E74653">
      <w:rPr>
        <w:b/>
        <w:bCs/>
      </w:rPr>
      <w:fldChar w:fldCharType="begin"/>
    </w:r>
    <w:r w:rsidRPr="00E74653">
      <w:rPr>
        <w:b/>
        <w:bCs/>
      </w:rPr>
      <w:instrText xml:space="preserve"> PAGE   \* MERGEFORMAT </w:instrText>
    </w:r>
    <w:r w:rsidRPr="00E74653">
      <w:rPr>
        <w:b/>
        <w:bCs/>
      </w:rPr>
      <w:fldChar w:fldCharType="separate"/>
    </w:r>
    <w:r>
      <w:rPr>
        <w:b/>
        <w:bCs/>
      </w:rPr>
      <w:t>2</w:t>
    </w:r>
    <w:r w:rsidRPr="00E74653">
      <w:rPr>
        <w:b/>
        <w:bCs/>
      </w:rPr>
      <w:fldChar w:fldCharType="end"/>
    </w:r>
  </w:p>
  <w:p w14:paraId="0AAD0ACD" w14:textId="05320988" w:rsidR="00A2648F" w:rsidRPr="00831CA3" w:rsidRDefault="00A2648F" w:rsidP="00831C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31E9D" w14:textId="60557FD8" w:rsidR="00831CA3" w:rsidRPr="00BB429E" w:rsidRDefault="00831CA3" w:rsidP="00831CA3">
    <w:pPr>
      <w:pStyle w:val="Footer"/>
      <w:ind w:left="284"/>
      <w:rPr>
        <w:b/>
        <w:bCs/>
      </w:rPr>
    </w:pPr>
    <w:r w:rsidRPr="005F110C">
      <w:rPr>
        <w:noProof/>
        <w:color w:val="FF0000"/>
      </w:rPr>
      <w:drawing>
        <wp:anchor distT="0" distB="0" distL="114300" distR="114300" simplePos="0" relativeHeight="251673600" behindDoc="0" locked="0" layoutInCell="1" allowOverlap="1" wp14:anchorId="7BFA7314" wp14:editId="521DC4D2">
          <wp:simplePos x="0" y="0"/>
          <wp:positionH relativeFrom="column">
            <wp:posOffset>0</wp:posOffset>
          </wp:positionH>
          <wp:positionV relativeFrom="paragraph">
            <wp:posOffset>-27432</wp:posOffset>
          </wp:positionV>
          <wp:extent cx="138948" cy="180000"/>
          <wp:effectExtent l="0" t="0" r="0" b="0"/>
          <wp:wrapNone/>
          <wp:docPr id="1516422736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79742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1CA3">
      <w:rPr>
        <w:bCs/>
        <w:lang w:val="en-GB"/>
      </w:rPr>
      <w:t xml:space="preserve"> </w:t>
    </w:r>
    <w:r>
      <w:rPr>
        <w:bCs/>
        <w:lang w:val="en-GB"/>
      </w:rPr>
      <w:t xml:space="preserve">Fact Sheet: </w:t>
    </w:r>
    <w:r w:rsidRPr="007723D3">
      <w:rPr>
        <w:bCs/>
        <w:lang w:val="en-GB"/>
      </w:rPr>
      <w:t xml:space="preserve">Benzathine benzylpenicillin </w:t>
    </w:r>
    <w:r w:rsidR="00EE2FBA">
      <w:rPr>
        <w:bCs/>
        <w:lang w:val="en-GB"/>
      </w:rPr>
      <w:t>safety during suppl</w:t>
    </w:r>
    <w:r>
      <w:rPr>
        <w:bCs/>
        <w:lang w:val="en-GB"/>
      </w:rPr>
      <w:t>y</w:t>
    </w:r>
    <w:r w:rsidR="00EE2FBA">
      <w:rPr>
        <w:bCs/>
        <w:lang w:val="en-GB"/>
      </w:rPr>
      <w:t xml:space="preserve"> disruption</w:t>
    </w:r>
    <w:r>
      <w:rPr>
        <w:bCs/>
        <w:lang w:val="en-GB"/>
      </w:rPr>
      <w:t xml:space="preserve"> </w:t>
    </w:r>
    <w:r w:rsidRPr="00D33B8A">
      <w:rPr>
        <w:bCs/>
        <w:lang w:val="en-GB"/>
      </w:rPr>
      <w:t>–</w:t>
    </w:r>
    <w:r w:rsidR="005A6F92">
      <w:rPr>
        <w:bCs/>
        <w:lang w:val="en-GB"/>
      </w:rPr>
      <w:t xml:space="preserve"> </w:t>
    </w:r>
    <w:r w:rsidR="00B15AE2">
      <w:rPr>
        <w:bCs/>
        <w:lang w:val="en-GB"/>
      </w:rPr>
      <w:t>May 2026</w:t>
    </w:r>
    <w:r w:rsidRPr="00033439">
      <w:tab/>
    </w:r>
    <w:r w:rsidRPr="00E74653">
      <w:rPr>
        <w:b/>
        <w:bCs/>
      </w:rPr>
      <w:fldChar w:fldCharType="begin"/>
    </w:r>
    <w:r w:rsidRPr="00E74653">
      <w:rPr>
        <w:b/>
        <w:bCs/>
      </w:rPr>
      <w:instrText xml:space="preserve"> PAGE   \* MERGEFORMAT </w:instrText>
    </w:r>
    <w:r w:rsidRPr="00E74653">
      <w:rPr>
        <w:b/>
        <w:bCs/>
      </w:rPr>
      <w:fldChar w:fldCharType="separate"/>
    </w:r>
    <w:r>
      <w:rPr>
        <w:b/>
        <w:bCs/>
      </w:rPr>
      <w:t>1</w:t>
    </w:r>
    <w:r w:rsidRPr="00E74653">
      <w:rPr>
        <w:b/>
        <w:bCs/>
      </w:rPr>
      <w:fldChar w:fldCharType="end"/>
    </w:r>
  </w:p>
  <w:p w14:paraId="4FC26F57" w14:textId="1FD99C05" w:rsidR="00BB429E" w:rsidRPr="00831CA3" w:rsidRDefault="00BB429E" w:rsidP="00831CA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7E747" w14:textId="0D95B30E" w:rsidR="00531C8E" w:rsidRPr="00A2648F" w:rsidRDefault="00531C8E" w:rsidP="00A2648F">
    <w:pPr>
      <w:pStyle w:val="Footer"/>
      <w:ind w:left="284"/>
      <w:rPr>
        <w:b/>
        <w:bCs/>
      </w:rPr>
    </w:pPr>
    <w:r w:rsidRPr="005F110C">
      <w:rPr>
        <w:noProof/>
        <w:color w:val="FF0000"/>
      </w:rPr>
      <w:drawing>
        <wp:anchor distT="0" distB="0" distL="114300" distR="114300" simplePos="0" relativeHeight="251671552" behindDoc="0" locked="0" layoutInCell="1" allowOverlap="1" wp14:anchorId="25D08B40" wp14:editId="4C7AE4D9">
          <wp:simplePos x="0" y="0"/>
          <wp:positionH relativeFrom="column">
            <wp:posOffset>0</wp:posOffset>
          </wp:positionH>
          <wp:positionV relativeFrom="paragraph">
            <wp:posOffset>-27432</wp:posOffset>
          </wp:positionV>
          <wp:extent cx="138948" cy="180000"/>
          <wp:effectExtent l="0" t="0" r="0" b="0"/>
          <wp:wrapNone/>
          <wp:docPr id="1886318107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222773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4ADD">
      <w:rPr>
        <w:bCs/>
        <w:lang w:val="en-GB"/>
      </w:rPr>
      <w:t xml:space="preserve"> </w:t>
    </w:r>
    <w:r>
      <w:rPr>
        <w:bCs/>
        <w:lang w:val="en-GB"/>
      </w:rPr>
      <w:t xml:space="preserve">Fact </w:t>
    </w:r>
    <w:r w:rsidR="00232E50">
      <w:rPr>
        <w:bCs/>
        <w:lang w:val="en-GB"/>
      </w:rPr>
      <w:t>s</w:t>
    </w:r>
    <w:r>
      <w:rPr>
        <w:bCs/>
        <w:lang w:val="en-GB"/>
      </w:rPr>
      <w:t xml:space="preserve">heet: </w:t>
    </w:r>
    <w:r w:rsidRPr="007723D3">
      <w:rPr>
        <w:bCs/>
        <w:lang w:val="en-GB"/>
      </w:rPr>
      <w:t>Benzathine benzylpenicillin (</w:t>
    </w:r>
    <w:proofErr w:type="spellStart"/>
    <w:r w:rsidRPr="007723D3">
      <w:rPr>
        <w:bCs/>
        <w:lang w:val="en-GB"/>
      </w:rPr>
      <w:t>Bicillin</w:t>
    </w:r>
    <w:proofErr w:type="spellEnd"/>
    <w:r w:rsidRPr="007723D3">
      <w:rPr>
        <w:bCs/>
        <w:lang w:val="en-GB"/>
      </w:rPr>
      <w:t xml:space="preserve"> L-A) disruption to suppl</w:t>
    </w:r>
    <w:r>
      <w:rPr>
        <w:bCs/>
        <w:lang w:val="en-GB"/>
      </w:rPr>
      <w:t xml:space="preserve">y </w:t>
    </w:r>
    <w:r w:rsidRPr="00D33B8A">
      <w:rPr>
        <w:bCs/>
        <w:lang w:val="en-GB"/>
      </w:rPr>
      <w:t xml:space="preserve">– </w:t>
    </w:r>
    <w:r w:rsidR="00F37B4F">
      <w:rPr>
        <w:bCs/>
        <w:lang w:val="en-GB"/>
      </w:rPr>
      <w:t>May 2026</w:t>
    </w:r>
    <w:r w:rsidRPr="00033439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E74653">
      <w:rPr>
        <w:b/>
        <w:bCs/>
      </w:rPr>
      <w:fldChar w:fldCharType="begin"/>
    </w:r>
    <w:r w:rsidRPr="00E74653">
      <w:rPr>
        <w:b/>
        <w:bCs/>
      </w:rPr>
      <w:instrText xml:space="preserve"> PAGE   \* MERGEFORMAT </w:instrText>
    </w:r>
    <w:r w:rsidRPr="00E74653">
      <w:rPr>
        <w:b/>
        <w:bCs/>
      </w:rPr>
      <w:fldChar w:fldCharType="separate"/>
    </w:r>
    <w:r>
      <w:rPr>
        <w:b/>
        <w:bCs/>
      </w:rPr>
      <w:t>1</w:t>
    </w:r>
    <w:r w:rsidRPr="00E74653">
      <w:rPr>
        <w:b/>
        <w:bCs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59CAC" w14:textId="4AC04072" w:rsidR="00531C8E" w:rsidRPr="00BB429E" w:rsidRDefault="00531C8E" w:rsidP="00BB429E">
    <w:pPr>
      <w:pStyle w:val="Footer"/>
      <w:ind w:left="284"/>
      <w:rPr>
        <w:b/>
        <w:bCs/>
      </w:rPr>
    </w:pPr>
    <w:r w:rsidRPr="005F110C">
      <w:rPr>
        <w:noProof/>
        <w:color w:val="FF0000"/>
      </w:rPr>
      <w:drawing>
        <wp:anchor distT="0" distB="0" distL="114300" distR="114300" simplePos="0" relativeHeight="251669504" behindDoc="0" locked="0" layoutInCell="1" allowOverlap="1" wp14:anchorId="79D84DE5" wp14:editId="7A313B1B">
          <wp:simplePos x="0" y="0"/>
          <wp:positionH relativeFrom="column">
            <wp:posOffset>0</wp:posOffset>
          </wp:positionH>
          <wp:positionV relativeFrom="paragraph">
            <wp:posOffset>-27432</wp:posOffset>
          </wp:positionV>
          <wp:extent cx="138948" cy="180000"/>
          <wp:effectExtent l="0" t="0" r="0" b="0"/>
          <wp:wrapNone/>
          <wp:docPr id="330328046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79742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4ADD">
      <w:rPr>
        <w:bCs/>
        <w:lang w:val="en-GB"/>
      </w:rPr>
      <w:t xml:space="preserve"> </w:t>
    </w:r>
    <w:r>
      <w:rPr>
        <w:bCs/>
        <w:lang w:val="en-GB"/>
      </w:rPr>
      <w:t xml:space="preserve">Fact Sheet: </w:t>
    </w:r>
    <w:r w:rsidRPr="007723D3">
      <w:rPr>
        <w:bCs/>
        <w:lang w:val="en-GB"/>
      </w:rPr>
      <w:t>Benzathine benzylpenicillin (</w:t>
    </w:r>
    <w:proofErr w:type="spellStart"/>
    <w:r w:rsidRPr="007723D3">
      <w:rPr>
        <w:bCs/>
        <w:lang w:val="en-GB"/>
      </w:rPr>
      <w:t>Bicillin</w:t>
    </w:r>
    <w:proofErr w:type="spellEnd"/>
    <w:r w:rsidRPr="007723D3">
      <w:rPr>
        <w:bCs/>
        <w:lang w:val="en-GB"/>
      </w:rPr>
      <w:t xml:space="preserve"> L-A) disruption to suppl</w:t>
    </w:r>
    <w:r>
      <w:rPr>
        <w:bCs/>
        <w:lang w:val="en-GB"/>
      </w:rPr>
      <w:t xml:space="preserve">y </w:t>
    </w:r>
    <w:r w:rsidRPr="00D33B8A">
      <w:rPr>
        <w:bCs/>
        <w:lang w:val="en-GB"/>
      </w:rPr>
      <w:t xml:space="preserve">– </w:t>
    </w:r>
    <w:r w:rsidR="00B15AE2">
      <w:rPr>
        <w:bCs/>
        <w:lang w:val="en-GB"/>
      </w:rPr>
      <w:t>May 2026</w:t>
    </w:r>
    <w:r w:rsidRPr="00033439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A339B" w14:textId="77777777" w:rsidR="00343A17" w:rsidRDefault="00343A17" w:rsidP="001D0AFC">
      <w:r>
        <w:separator/>
      </w:r>
    </w:p>
    <w:p w14:paraId="5C4A8A4A" w14:textId="77777777" w:rsidR="00343A17" w:rsidRDefault="00343A17"/>
  </w:footnote>
  <w:footnote w:type="continuationSeparator" w:id="0">
    <w:p w14:paraId="746A5A4F" w14:textId="77777777" w:rsidR="00343A17" w:rsidRDefault="00343A17" w:rsidP="001D0AFC">
      <w:r>
        <w:continuationSeparator/>
      </w:r>
    </w:p>
    <w:p w14:paraId="2F1775B9" w14:textId="77777777" w:rsidR="00343A17" w:rsidRDefault="00343A17"/>
  </w:footnote>
  <w:footnote w:type="continuationNotice" w:id="1">
    <w:p w14:paraId="1053911C" w14:textId="77777777" w:rsidR="00343A17" w:rsidRDefault="00343A17">
      <w:pPr>
        <w:spacing w:before="0" w:after="0"/>
      </w:pPr>
    </w:p>
    <w:p w14:paraId="70F29617" w14:textId="77777777" w:rsidR="00343A17" w:rsidRDefault="00343A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5F42B" w14:textId="77777777" w:rsidR="009C5BF4" w:rsidRDefault="009C5B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="625" w:tblpY="625"/>
      <w:tblOverlap w:val="never"/>
      <w:tblW w:w="1024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105"/>
      <w:gridCol w:w="2142"/>
    </w:tblGrid>
    <w:tr w:rsidR="00E6329D" w14:paraId="0C0FC586" w14:textId="77777777" w:rsidTr="008450A2">
      <w:trPr>
        <w:trHeight w:hRule="exact" w:val="879"/>
      </w:trPr>
      <w:tc>
        <w:tcPr>
          <w:tcW w:w="8105" w:type="dxa"/>
        </w:tcPr>
        <w:p w14:paraId="36AEC7B5" w14:textId="77777777" w:rsidR="00E6329D" w:rsidRDefault="00E6329D" w:rsidP="008450A2">
          <w:pPr>
            <w:pStyle w:val="Header"/>
          </w:pPr>
          <w:r w:rsidRPr="009527AE">
            <w:rPr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02C0C0FA" wp14:editId="37B7F4B6">
                <wp:extent cx="1511250" cy="539305"/>
                <wp:effectExtent l="0" t="0" r="0" b="0"/>
                <wp:docPr id="1380871310" name="Graphic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7763C-B648-1C2B-592F-16266CACB79A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1298621" name="Graphic 11">
                          <a:extLst>
                            <a:ext uri="{FF2B5EF4-FFF2-40B4-BE49-F238E27FC236}">
                              <a16:creationId xmlns:a16="http://schemas.microsoft.com/office/drawing/2014/main" id="{03A7763C-B648-1C2B-592F-16266CACB79A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250" cy="53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2" w:type="dxa"/>
          <w:vAlign w:val="bottom"/>
        </w:tcPr>
        <w:p w14:paraId="0019EAFB" w14:textId="77777777" w:rsidR="00F04ADD" w:rsidRPr="00F04ADD" w:rsidRDefault="00F04ADD" w:rsidP="00F04ADD">
          <w:pPr>
            <w:pStyle w:val="Header"/>
            <w:rPr>
              <w:b/>
              <w:bCs/>
              <w:color w:val="auto"/>
            </w:rPr>
          </w:pPr>
          <w:r w:rsidRPr="00F04ADD">
            <w:rPr>
              <w:b/>
              <w:bCs/>
              <w:color w:val="auto"/>
            </w:rPr>
            <w:t>Fact sheet</w:t>
          </w:r>
        </w:p>
        <w:p w14:paraId="55C1EF8D" w14:textId="299B162A" w:rsidR="00E6329D" w:rsidRDefault="00F04ADD" w:rsidP="00F04ADD">
          <w:pPr>
            <w:pStyle w:val="Header"/>
          </w:pPr>
          <w:r w:rsidRPr="00F04ADD">
            <w:rPr>
              <w:color w:val="auto"/>
            </w:rPr>
            <w:t xml:space="preserve">for health service </w:t>
          </w:r>
          <w:r w:rsidRPr="00F04ADD">
            <w:rPr>
              <w:color w:val="auto"/>
            </w:rPr>
            <w:br/>
            <w:t>organisations and clinicians</w:t>
          </w:r>
          <w:r>
            <w:t xml:space="preserve"> </w:t>
          </w:r>
          <w:sdt>
            <w:sdtPr>
              <w:id w:val="-1009361078"/>
              <w:temporary/>
              <w:text w:multiLine="1"/>
            </w:sdtPr>
            <w:sdtContent/>
          </w:sdt>
        </w:p>
      </w:tc>
    </w:tr>
  </w:tbl>
  <w:p w14:paraId="54195C3A" w14:textId="77777777" w:rsidR="00E6329D" w:rsidRDefault="00E632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="625" w:tblpY="625"/>
      <w:tblOverlap w:val="never"/>
      <w:tblW w:w="1573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105"/>
      <w:gridCol w:w="7630"/>
    </w:tblGrid>
    <w:tr w:rsidR="00BB429E" w14:paraId="214C3646" w14:textId="77777777" w:rsidTr="00720896">
      <w:trPr>
        <w:trHeight w:hRule="exact" w:val="879"/>
      </w:trPr>
      <w:tc>
        <w:tcPr>
          <w:tcW w:w="8105" w:type="dxa"/>
        </w:tcPr>
        <w:p w14:paraId="04AD6E3A" w14:textId="0CA2017C" w:rsidR="00BB429E" w:rsidRDefault="00BB429E" w:rsidP="008450A2">
          <w:pPr>
            <w:pStyle w:val="Header"/>
          </w:pPr>
          <w:r w:rsidRPr="009527AE">
            <w:rPr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16563392" wp14:editId="78D00997">
                <wp:extent cx="1511250" cy="539305"/>
                <wp:effectExtent l="0" t="0" r="0" b="0"/>
                <wp:docPr id="891056286" name="Graphic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7763C-B648-1C2B-592F-16266CACB79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594319" name="Graphic 11">
                          <a:extLst>
                            <a:ext uri="{FF2B5EF4-FFF2-40B4-BE49-F238E27FC236}">
                              <a16:creationId xmlns:a16="http://schemas.microsoft.com/office/drawing/2014/main" id="{03A7763C-B648-1C2B-592F-16266CACB79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250" cy="53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30" w:type="dxa"/>
          <w:vAlign w:val="bottom"/>
        </w:tcPr>
        <w:p w14:paraId="0C6A69FC" w14:textId="77777777" w:rsidR="00BB429E" w:rsidRPr="00F04ADD" w:rsidRDefault="005F110C" w:rsidP="008450A2">
          <w:pPr>
            <w:pStyle w:val="Header"/>
            <w:rPr>
              <w:b/>
              <w:bCs/>
              <w:color w:val="auto"/>
            </w:rPr>
          </w:pPr>
          <w:r w:rsidRPr="00F04ADD">
            <w:rPr>
              <w:b/>
              <w:bCs/>
              <w:color w:val="auto"/>
            </w:rPr>
            <w:t>Fact sheet</w:t>
          </w:r>
        </w:p>
        <w:p w14:paraId="6970A3E3" w14:textId="3C33CBCF" w:rsidR="00BB429E" w:rsidRPr="005F110C" w:rsidRDefault="00F04ADD" w:rsidP="00232E50">
          <w:pPr>
            <w:pStyle w:val="Header"/>
            <w:ind w:right="5242"/>
            <w:rPr>
              <w:color w:val="FF0000"/>
            </w:rPr>
          </w:pPr>
          <w:r w:rsidRPr="00F04ADD">
            <w:rPr>
              <w:color w:val="auto"/>
            </w:rPr>
            <w:t xml:space="preserve">for health service </w:t>
          </w:r>
          <w:r w:rsidRPr="00F04ADD">
            <w:rPr>
              <w:color w:val="auto"/>
            </w:rPr>
            <w:br/>
            <w:t>organisations and</w:t>
          </w:r>
          <w:r w:rsidR="002E7555">
            <w:rPr>
              <w:color w:val="auto"/>
            </w:rPr>
            <w:t> </w:t>
          </w:r>
          <w:r w:rsidRPr="00F04ADD">
            <w:rPr>
              <w:color w:val="auto"/>
            </w:rPr>
            <w:t>clinicians</w:t>
          </w:r>
        </w:p>
      </w:tc>
    </w:tr>
  </w:tbl>
  <w:p w14:paraId="03CAEA1C" w14:textId="77777777" w:rsidR="00BB429E" w:rsidRPr="00BB429E" w:rsidRDefault="00BB429E" w:rsidP="00BB429E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2622F9C" wp14:editId="1BC9456C">
          <wp:simplePos x="0" y="0"/>
          <wp:positionH relativeFrom="page">
            <wp:align>left</wp:align>
          </wp:positionH>
          <wp:positionV relativeFrom="page">
            <wp:posOffset>1440180</wp:posOffset>
          </wp:positionV>
          <wp:extent cx="7560000" cy="1515600"/>
          <wp:effectExtent l="0" t="0" r="3175" b="8890"/>
          <wp:wrapNone/>
          <wp:docPr id="395080275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82995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="625" w:tblpY="625"/>
      <w:tblOverlap w:val="never"/>
      <w:tblW w:w="1545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750"/>
      <w:gridCol w:w="1701"/>
    </w:tblGrid>
    <w:tr w:rsidR="00531C8E" w14:paraId="7081A0EF" w14:textId="77777777" w:rsidTr="003F0268">
      <w:trPr>
        <w:trHeight w:hRule="exact" w:val="879"/>
      </w:trPr>
      <w:tc>
        <w:tcPr>
          <w:tcW w:w="13750" w:type="dxa"/>
        </w:tcPr>
        <w:p w14:paraId="69F1FA94" w14:textId="77777777" w:rsidR="00531C8E" w:rsidRDefault="00531C8E" w:rsidP="008450A2">
          <w:pPr>
            <w:pStyle w:val="Header"/>
          </w:pPr>
          <w:r w:rsidRPr="009527AE">
            <w:rPr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22296120" wp14:editId="287FE025">
                <wp:extent cx="1511250" cy="539305"/>
                <wp:effectExtent l="0" t="0" r="0" b="0"/>
                <wp:docPr id="1847758077" name="Graphic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7763C-B648-1C2B-592F-16266CACB79A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1298621" name="Graphic 11">
                          <a:extLst>
                            <a:ext uri="{FF2B5EF4-FFF2-40B4-BE49-F238E27FC236}">
                              <a16:creationId xmlns:a16="http://schemas.microsoft.com/office/drawing/2014/main" id="{03A7763C-B648-1C2B-592F-16266CACB79A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250" cy="53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bottom"/>
        </w:tcPr>
        <w:p w14:paraId="0326FBA0" w14:textId="77777777" w:rsidR="00531C8E" w:rsidRPr="00F04ADD" w:rsidRDefault="00531C8E" w:rsidP="00F04ADD">
          <w:pPr>
            <w:pStyle w:val="Header"/>
            <w:rPr>
              <w:b/>
              <w:bCs/>
              <w:color w:val="auto"/>
            </w:rPr>
          </w:pPr>
          <w:r w:rsidRPr="00F04ADD">
            <w:rPr>
              <w:b/>
              <w:bCs/>
              <w:color w:val="auto"/>
            </w:rPr>
            <w:t>Fact sheet</w:t>
          </w:r>
        </w:p>
        <w:p w14:paraId="098FE645" w14:textId="2A3D68B2" w:rsidR="00531C8E" w:rsidRDefault="00531C8E" w:rsidP="00F04ADD">
          <w:pPr>
            <w:pStyle w:val="Header"/>
          </w:pPr>
          <w:r w:rsidRPr="00F04ADD">
            <w:rPr>
              <w:color w:val="auto"/>
            </w:rPr>
            <w:t xml:space="preserve">for health service </w:t>
          </w:r>
          <w:r w:rsidRPr="00F04ADD">
            <w:rPr>
              <w:color w:val="auto"/>
            </w:rPr>
            <w:br/>
            <w:t>organisations and</w:t>
          </w:r>
          <w:r w:rsidR="002E7555">
            <w:rPr>
              <w:color w:val="auto"/>
            </w:rPr>
            <w:t> </w:t>
          </w:r>
          <w:r w:rsidRPr="00F04ADD">
            <w:rPr>
              <w:color w:val="auto"/>
            </w:rPr>
            <w:t>clinicians</w:t>
          </w:r>
          <w:r>
            <w:t xml:space="preserve"> </w:t>
          </w:r>
          <w:sdt>
            <w:sdtPr>
              <w:id w:val="1884053962"/>
              <w:temporary/>
              <w:text w:multiLine="1"/>
            </w:sdtPr>
            <w:sdtContent/>
          </w:sdt>
        </w:p>
      </w:tc>
    </w:tr>
  </w:tbl>
  <w:p w14:paraId="3807E6AE" w14:textId="77777777" w:rsidR="00531C8E" w:rsidRDefault="00531C8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="625" w:tblpY="625"/>
      <w:tblOverlap w:val="never"/>
      <w:tblW w:w="1573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750"/>
      <w:gridCol w:w="1985"/>
    </w:tblGrid>
    <w:tr w:rsidR="00531C8E" w14:paraId="5F13EE17" w14:textId="77777777" w:rsidTr="00531C8E">
      <w:trPr>
        <w:trHeight w:hRule="exact" w:val="879"/>
      </w:trPr>
      <w:tc>
        <w:tcPr>
          <w:tcW w:w="13750" w:type="dxa"/>
        </w:tcPr>
        <w:p w14:paraId="469707A3" w14:textId="794F4F33" w:rsidR="00531C8E" w:rsidRDefault="00531C8E" w:rsidP="008450A2">
          <w:pPr>
            <w:pStyle w:val="Header"/>
          </w:pPr>
          <w:r w:rsidRPr="009527AE">
            <w:rPr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4A396E9F" wp14:editId="1855A22E">
                <wp:extent cx="1511250" cy="539305"/>
                <wp:effectExtent l="0" t="0" r="0" b="0"/>
                <wp:docPr id="690245515" name="Graphic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7763C-B648-1C2B-592F-16266CACB79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594319" name="Graphic 11">
                          <a:extLst>
                            <a:ext uri="{FF2B5EF4-FFF2-40B4-BE49-F238E27FC236}">
                              <a16:creationId xmlns:a16="http://schemas.microsoft.com/office/drawing/2014/main" id="{03A7763C-B648-1C2B-592F-16266CACB79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250" cy="53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vAlign w:val="bottom"/>
        </w:tcPr>
        <w:p w14:paraId="2B0CDB7F" w14:textId="77777777" w:rsidR="00531C8E" w:rsidRPr="00F04ADD" w:rsidRDefault="00531C8E" w:rsidP="008450A2">
          <w:pPr>
            <w:pStyle w:val="Header"/>
            <w:rPr>
              <w:b/>
              <w:bCs/>
              <w:color w:val="auto"/>
            </w:rPr>
          </w:pPr>
          <w:r w:rsidRPr="00F04ADD">
            <w:rPr>
              <w:b/>
              <w:bCs/>
              <w:color w:val="auto"/>
            </w:rPr>
            <w:t>Fact sheet</w:t>
          </w:r>
        </w:p>
        <w:p w14:paraId="274D6477" w14:textId="77777777" w:rsidR="00531C8E" w:rsidRPr="005F110C" w:rsidRDefault="00531C8E" w:rsidP="00F04ADD">
          <w:pPr>
            <w:pStyle w:val="Header"/>
            <w:rPr>
              <w:color w:val="FF0000"/>
            </w:rPr>
          </w:pPr>
          <w:r w:rsidRPr="00F04ADD">
            <w:rPr>
              <w:color w:val="auto"/>
            </w:rPr>
            <w:t xml:space="preserve">for health service </w:t>
          </w:r>
          <w:r w:rsidRPr="00F04ADD">
            <w:rPr>
              <w:color w:val="auto"/>
            </w:rPr>
            <w:br/>
            <w:t>organisations and clinicians</w:t>
          </w:r>
        </w:p>
      </w:tc>
    </w:tr>
  </w:tbl>
  <w:p w14:paraId="1AA1BF6D" w14:textId="3DE8D4C0" w:rsidR="00531C8E" w:rsidRPr="00BB429E" w:rsidRDefault="00531C8E" w:rsidP="00BB42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ED84F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9C32EB"/>
    <w:multiLevelType w:val="multilevel"/>
    <w:tmpl w:val="D1DCA2EC"/>
    <w:lvl w:ilvl="0">
      <w:start w:val="1"/>
      <w:numFmt w:val="bullet"/>
      <w:pStyle w:val="Bulletlist"/>
      <w:lvlText w:val=""/>
      <w:lvlJc w:val="left"/>
      <w:pPr>
        <w:ind w:left="-744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-460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489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84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20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56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2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8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49" w:hanging="360"/>
      </w:pPr>
      <w:rPr>
        <w:rFonts w:hint="default"/>
      </w:rPr>
    </w:lvl>
  </w:abstractNum>
  <w:abstractNum w:abstractNumId="2" w15:restartNumberingAfterBreak="0">
    <w:nsid w:val="1C2C0617"/>
    <w:multiLevelType w:val="multilevel"/>
    <w:tmpl w:val="5896C6E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3" w15:restartNumberingAfterBreak="0">
    <w:nsid w:val="26F77E30"/>
    <w:multiLevelType w:val="multilevel"/>
    <w:tmpl w:val="F3AA75CA"/>
    <w:lvl w:ilvl="0">
      <w:start w:val="1"/>
      <w:numFmt w:val="lowerLetter"/>
      <w:pStyle w:val="List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2">
      <w:start w:val="1"/>
      <w:numFmt w:val="upperLetter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  <w:color w:val="auto"/>
      </w:rPr>
    </w:lvl>
    <w:lvl w:ilvl="4">
      <w:start w:val="1"/>
      <w:numFmt w:val="lowerRoman"/>
      <w:lvlText w:val="(%5)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upperLetter"/>
      <w:lvlText w:val="(%6)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lowerLetter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Roman"/>
      <w:lvlText w:val="%8.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upperLetter"/>
      <w:lvlText w:val="%9."/>
      <w:lvlJc w:val="left"/>
      <w:pPr>
        <w:ind w:left="3240" w:hanging="360"/>
      </w:pPr>
      <w:rPr>
        <w:rFonts w:hint="default"/>
        <w:color w:val="auto"/>
      </w:rPr>
    </w:lvl>
  </w:abstractNum>
  <w:abstractNum w:abstractNumId="4" w15:restartNumberingAfterBreak="0">
    <w:nsid w:val="3DFF2F55"/>
    <w:multiLevelType w:val="hybridMultilevel"/>
    <w:tmpl w:val="FECECA62"/>
    <w:lvl w:ilvl="0" w:tplc="4B906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975F5"/>
    <w:multiLevelType w:val="multilevel"/>
    <w:tmpl w:val="0C09001D"/>
    <w:styleLink w:val="BulletsLeve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DEF5FE2"/>
    <w:multiLevelType w:val="hybridMultilevel"/>
    <w:tmpl w:val="4F2E16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4D2FF6"/>
    <w:multiLevelType w:val="hybridMultilevel"/>
    <w:tmpl w:val="6652C2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F824ED"/>
    <w:multiLevelType w:val="hybridMultilevel"/>
    <w:tmpl w:val="8F8A309E"/>
    <w:lvl w:ilvl="0" w:tplc="4B9069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1F7723"/>
    <w:multiLevelType w:val="multilevel"/>
    <w:tmpl w:val="50D0D142"/>
    <w:lvl w:ilvl="0">
      <w:start w:val="1"/>
      <w:numFmt w:val="decimal"/>
      <w:pStyle w:val="Caption"/>
      <w:lvlText w:val="Figure %1"/>
      <w:lvlJc w:val="left"/>
      <w:pPr>
        <w:ind w:left="360" w:hanging="360"/>
      </w:pPr>
      <w:rPr>
        <w:rFonts w:ascii="Arial Bold" w:hAnsi="Arial Bold" w:hint="default"/>
        <w:b/>
        <w:i w:val="0"/>
        <w:color w:val="auto"/>
        <w:spacing w:val="0"/>
        <w:w w:val="100"/>
        <w:position w:val="0"/>
        <w:sz w:val="20"/>
        <w:u w:val="none"/>
        <w14:ligatures w14:val="none"/>
        <w14:numForm w14:val="default"/>
        <w14:numSpacing w14:val="default"/>
        <w14:stylisticSet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681546A7"/>
    <w:multiLevelType w:val="multilevel"/>
    <w:tmpl w:val="9104B9E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44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Theme="minorHAnsi" w:hAnsiTheme="minorHAnsi" w:hint="default"/>
        <w:b/>
        <w:i w:val="0"/>
        <w:color w:val="auto"/>
        <w:sz w:val="20"/>
      </w:rPr>
    </w:lvl>
  </w:abstractNum>
  <w:abstractNum w:abstractNumId="11" w15:restartNumberingAfterBreak="0">
    <w:nsid w:val="71F6279A"/>
    <w:multiLevelType w:val="hybridMultilevel"/>
    <w:tmpl w:val="1C0656F2"/>
    <w:lvl w:ilvl="0" w:tplc="E8046B28">
      <w:start w:val="1"/>
      <w:numFmt w:val="decimal"/>
      <w:pStyle w:val="Tablecaption"/>
      <w:lvlText w:val="Table %1"/>
      <w:lvlJc w:val="left"/>
      <w:pPr>
        <w:ind w:left="720" w:hanging="360"/>
      </w:pPr>
      <w:rPr>
        <w:rFonts w:ascii="Arial Bold" w:hAnsi="Arial Bold" w:hint="default"/>
        <w:b/>
        <w:i w:val="0"/>
        <w:color w:val="auto"/>
        <w:spacing w:val="0"/>
        <w:w w:val="100"/>
        <w:position w:val="0"/>
        <w:sz w:val="20"/>
        <w:u w:val="none"/>
        <w14:ligatures w14:val="none"/>
        <w14:numForm w14:val="default"/>
        <w14:numSpacing w14:val="default"/>
        <w14:stylisticSet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7E4D88"/>
    <w:multiLevelType w:val="multilevel"/>
    <w:tmpl w:val="CA804B2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hint="default"/>
        <w:color w:val="auto"/>
        <w:sz w:val="22"/>
      </w:rPr>
    </w:lvl>
    <w:lvl w:ilvl="2">
      <w:start w:val="1"/>
      <w:numFmt w:val="bullet"/>
      <w:pStyle w:val="ListBullet3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2"/>
      </w:rPr>
    </w:lvl>
    <w:lvl w:ilvl="3">
      <w:start w:val="1"/>
      <w:numFmt w:val="bullet"/>
      <w:pStyle w:val="ListBullet4"/>
      <w:lvlText w:val="–"/>
      <w:lvlJc w:val="left"/>
      <w:pPr>
        <w:ind w:left="1440" w:hanging="360"/>
      </w:pPr>
      <w:rPr>
        <w:rFonts w:ascii="Arial" w:hAnsi="Arial" w:hint="default"/>
        <w:color w:val="auto"/>
        <w:sz w:val="22"/>
      </w:rPr>
    </w:lvl>
    <w:lvl w:ilvl="4">
      <w:start w:val="1"/>
      <w:numFmt w:val="bullet"/>
      <w:pStyle w:val="ListBullet5"/>
      <w:lvlText w:val="–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  <w:color w:val="auto"/>
      </w:rPr>
    </w:lvl>
  </w:abstractNum>
  <w:num w:numId="1" w16cid:durableId="186523040">
    <w:abstractNumId w:val="3"/>
  </w:num>
  <w:num w:numId="2" w16cid:durableId="1231190212">
    <w:abstractNumId w:val="10"/>
  </w:num>
  <w:num w:numId="3" w16cid:durableId="579215263">
    <w:abstractNumId w:val="9"/>
  </w:num>
  <w:num w:numId="4" w16cid:durableId="327100884">
    <w:abstractNumId w:val="12"/>
  </w:num>
  <w:num w:numId="5" w16cid:durableId="844396454">
    <w:abstractNumId w:val="0"/>
  </w:num>
  <w:num w:numId="6" w16cid:durableId="2069956620">
    <w:abstractNumId w:val="11"/>
  </w:num>
  <w:num w:numId="7" w16cid:durableId="595404401">
    <w:abstractNumId w:val="1"/>
  </w:num>
  <w:num w:numId="8" w16cid:durableId="554245737">
    <w:abstractNumId w:val="7"/>
  </w:num>
  <w:num w:numId="9" w16cid:durableId="639455716">
    <w:abstractNumId w:val="6"/>
  </w:num>
  <w:num w:numId="10" w16cid:durableId="1065641617">
    <w:abstractNumId w:val="5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1" w16cid:durableId="1201473396">
    <w:abstractNumId w:val="2"/>
  </w:num>
  <w:num w:numId="12" w16cid:durableId="281302430">
    <w:abstractNumId w:val="8"/>
  </w:num>
  <w:num w:numId="13" w16cid:durableId="1225025207">
    <w:abstractNumId w:val="4"/>
  </w:num>
  <w:num w:numId="14" w16cid:durableId="79522363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227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zNjcyNTezMLI0MjdS0lEKTi0uzszPAykwrgUAl714LiwAAAA="/>
  </w:docVars>
  <w:rsids>
    <w:rsidRoot w:val="00E93293"/>
    <w:rsid w:val="0000021D"/>
    <w:rsid w:val="00005B0D"/>
    <w:rsid w:val="00011EBE"/>
    <w:rsid w:val="000121BA"/>
    <w:rsid w:val="000134CB"/>
    <w:rsid w:val="000136A5"/>
    <w:rsid w:val="00013E33"/>
    <w:rsid w:val="00015555"/>
    <w:rsid w:val="0001627D"/>
    <w:rsid w:val="000164A5"/>
    <w:rsid w:val="00016AF9"/>
    <w:rsid w:val="00020CF3"/>
    <w:rsid w:val="0002234B"/>
    <w:rsid w:val="000237BA"/>
    <w:rsid w:val="00024813"/>
    <w:rsid w:val="00025D25"/>
    <w:rsid w:val="0003148E"/>
    <w:rsid w:val="00032388"/>
    <w:rsid w:val="00032847"/>
    <w:rsid w:val="00033439"/>
    <w:rsid w:val="00034043"/>
    <w:rsid w:val="00035A79"/>
    <w:rsid w:val="000369EA"/>
    <w:rsid w:val="00036FE5"/>
    <w:rsid w:val="00037DE5"/>
    <w:rsid w:val="0004078A"/>
    <w:rsid w:val="00041055"/>
    <w:rsid w:val="00046136"/>
    <w:rsid w:val="00053982"/>
    <w:rsid w:val="000555D8"/>
    <w:rsid w:val="00056BC0"/>
    <w:rsid w:val="00061B61"/>
    <w:rsid w:val="000635BC"/>
    <w:rsid w:val="0006369F"/>
    <w:rsid w:val="000658B5"/>
    <w:rsid w:val="00065F7E"/>
    <w:rsid w:val="00071419"/>
    <w:rsid w:val="00072AF5"/>
    <w:rsid w:val="000760F4"/>
    <w:rsid w:val="00080037"/>
    <w:rsid w:val="00080168"/>
    <w:rsid w:val="00081BFA"/>
    <w:rsid w:val="00083A58"/>
    <w:rsid w:val="00083FD2"/>
    <w:rsid w:val="0008584C"/>
    <w:rsid w:val="000872A3"/>
    <w:rsid w:val="00091A80"/>
    <w:rsid w:val="00096866"/>
    <w:rsid w:val="000A054F"/>
    <w:rsid w:val="000A1273"/>
    <w:rsid w:val="000A1738"/>
    <w:rsid w:val="000A1916"/>
    <w:rsid w:val="000A1EF9"/>
    <w:rsid w:val="000A2E7B"/>
    <w:rsid w:val="000A336E"/>
    <w:rsid w:val="000A3F90"/>
    <w:rsid w:val="000A4DA7"/>
    <w:rsid w:val="000A5B5A"/>
    <w:rsid w:val="000A64EC"/>
    <w:rsid w:val="000A64FC"/>
    <w:rsid w:val="000A66C9"/>
    <w:rsid w:val="000B19D3"/>
    <w:rsid w:val="000B3106"/>
    <w:rsid w:val="000B3336"/>
    <w:rsid w:val="000B40C2"/>
    <w:rsid w:val="000B5598"/>
    <w:rsid w:val="000B5729"/>
    <w:rsid w:val="000C0381"/>
    <w:rsid w:val="000C0CA6"/>
    <w:rsid w:val="000C1B92"/>
    <w:rsid w:val="000C4291"/>
    <w:rsid w:val="000C5879"/>
    <w:rsid w:val="000C618F"/>
    <w:rsid w:val="000D19FF"/>
    <w:rsid w:val="000D22A8"/>
    <w:rsid w:val="000D788B"/>
    <w:rsid w:val="000D793D"/>
    <w:rsid w:val="000D7D92"/>
    <w:rsid w:val="000D7F92"/>
    <w:rsid w:val="000E1EAF"/>
    <w:rsid w:val="000E552A"/>
    <w:rsid w:val="000E5629"/>
    <w:rsid w:val="000E76FA"/>
    <w:rsid w:val="000F2461"/>
    <w:rsid w:val="000F2EDC"/>
    <w:rsid w:val="000F5A29"/>
    <w:rsid w:val="000F5CB5"/>
    <w:rsid w:val="000F6463"/>
    <w:rsid w:val="000F6579"/>
    <w:rsid w:val="000F7990"/>
    <w:rsid w:val="00100584"/>
    <w:rsid w:val="001010A9"/>
    <w:rsid w:val="00103B28"/>
    <w:rsid w:val="00104B7F"/>
    <w:rsid w:val="00105E27"/>
    <w:rsid w:val="0010640F"/>
    <w:rsid w:val="00106F60"/>
    <w:rsid w:val="00113EA9"/>
    <w:rsid w:val="001141D0"/>
    <w:rsid w:val="001175CB"/>
    <w:rsid w:val="00117894"/>
    <w:rsid w:val="001178D7"/>
    <w:rsid w:val="0012062F"/>
    <w:rsid w:val="00120E3D"/>
    <w:rsid w:val="001239E7"/>
    <w:rsid w:val="0012449A"/>
    <w:rsid w:val="001279BB"/>
    <w:rsid w:val="00131D34"/>
    <w:rsid w:val="00133783"/>
    <w:rsid w:val="001338BA"/>
    <w:rsid w:val="00135692"/>
    <w:rsid w:val="001368BE"/>
    <w:rsid w:val="00136B50"/>
    <w:rsid w:val="001425A7"/>
    <w:rsid w:val="001432FE"/>
    <w:rsid w:val="00144282"/>
    <w:rsid w:val="00144718"/>
    <w:rsid w:val="00144E74"/>
    <w:rsid w:val="001457C0"/>
    <w:rsid w:val="00145B28"/>
    <w:rsid w:val="00151F47"/>
    <w:rsid w:val="00152AC1"/>
    <w:rsid w:val="00153178"/>
    <w:rsid w:val="00153AEF"/>
    <w:rsid w:val="001547CB"/>
    <w:rsid w:val="00154C1A"/>
    <w:rsid w:val="00156042"/>
    <w:rsid w:val="001567DD"/>
    <w:rsid w:val="00156D02"/>
    <w:rsid w:val="00157AB6"/>
    <w:rsid w:val="00157CE7"/>
    <w:rsid w:val="00163F82"/>
    <w:rsid w:val="00164F02"/>
    <w:rsid w:val="00165F83"/>
    <w:rsid w:val="001714D3"/>
    <w:rsid w:val="00174708"/>
    <w:rsid w:val="0018082D"/>
    <w:rsid w:val="00182D27"/>
    <w:rsid w:val="00187C93"/>
    <w:rsid w:val="00191178"/>
    <w:rsid w:val="00191513"/>
    <w:rsid w:val="00191CC2"/>
    <w:rsid w:val="00192329"/>
    <w:rsid w:val="00193699"/>
    <w:rsid w:val="00197290"/>
    <w:rsid w:val="0019759D"/>
    <w:rsid w:val="00197ADC"/>
    <w:rsid w:val="00197E66"/>
    <w:rsid w:val="001A03FE"/>
    <w:rsid w:val="001A0E88"/>
    <w:rsid w:val="001A1097"/>
    <w:rsid w:val="001A2B7F"/>
    <w:rsid w:val="001A41EB"/>
    <w:rsid w:val="001A4611"/>
    <w:rsid w:val="001A5727"/>
    <w:rsid w:val="001A67A7"/>
    <w:rsid w:val="001A7D74"/>
    <w:rsid w:val="001B3928"/>
    <w:rsid w:val="001B709F"/>
    <w:rsid w:val="001B7FA1"/>
    <w:rsid w:val="001C28D3"/>
    <w:rsid w:val="001C2C65"/>
    <w:rsid w:val="001C3BEB"/>
    <w:rsid w:val="001C3FD0"/>
    <w:rsid w:val="001C48D8"/>
    <w:rsid w:val="001C4B8A"/>
    <w:rsid w:val="001C5149"/>
    <w:rsid w:val="001C52C2"/>
    <w:rsid w:val="001C6BB6"/>
    <w:rsid w:val="001C728C"/>
    <w:rsid w:val="001D0AFC"/>
    <w:rsid w:val="001D1EF4"/>
    <w:rsid w:val="001D2019"/>
    <w:rsid w:val="001D3383"/>
    <w:rsid w:val="001D633E"/>
    <w:rsid w:val="001D7528"/>
    <w:rsid w:val="001D76E4"/>
    <w:rsid w:val="001E25C4"/>
    <w:rsid w:val="001E2E15"/>
    <w:rsid w:val="001E3A54"/>
    <w:rsid w:val="001E41E5"/>
    <w:rsid w:val="001E49C9"/>
    <w:rsid w:val="001E509D"/>
    <w:rsid w:val="001E50A1"/>
    <w:rsid w:val="001E5108"/>
    <w:rsid w:val="001E5F8E"/>
    <w:rsid w:val="001F1430"/>
    <w:rsid w:val="001F25C8"/>
    <w:rsid w:val="001F3C12"/>
    <w:rsid w:val="001F40EE"/>
    <w:rsid w:val="00202C71"/>
    <w:rsid w:val="00202F7F"/>
    <w:rsid w:val="00207CBE"/>
    <w:rsid w:val="00210409"/>
    <w:rsid w:val="002105F2"/>
    <w:rsid w:val="00210E69"/>
    <w:rsid w:val="00210E8D"/>
    <w:rsid w:val="0021123A"/>
    <w:rsid w:val="0021134B"/>
    <w:rsid w:val="00212D1D"/>
    <w:rsid w:val="00214C8D"/>
    <w:rsid w:val="00216854"/>
    <w:rsid w:val="00217D19"/>
    <w:rsid w:val="0022009C"/>
    <w:rsid w:val="00223F37"/>
    <w:rsid w:val="00226249"/>
    <w:rsid w:val="00227152"/>
    <w:rsid w:val="002307E1"/>
    <w:rsid w:val="00231BB5"/>
    <w:rsid w:val="002320CE"/>
    <w:rsid w:val="00232E50"/>
    <w:rsid w:val="00233385"/>
    <w:rsid w:val="002333C5"/>
    <w:rsid w:val="002349BF"/>
    <w:rsid w:val="00242034"/>
    <w:rsid w:val="002422FD"/>
    <w:rsid w:val="00242678"/>
    <w:rsid w:val="00244887"/>
    <w:rsid w:val="00244E46"/>
    <w:rsid w:val="002468CF"/>
    <w:rsid w:val="00253E2B"/>
    <w:rsid w:val="002574B2"/>
    <w:rsid w:val="00257A55"/>
    <w:rsid w:val="00257DF3"/>
    <w:rsid w:val="00260209"/>
    <w:rsid w:val="00262769"/>
    <w:rsid w:val="002632B7"/>
    <w:rsid w:val="00264464"/>
    <w:rsid w:val="0026489B"/>
    <w:rsid w:val="00264F4D"/>
    <w:rsid w:val="002669C7"/>
    <w:rsid w:val="00272AAC"/>
    <w:rsid w:val="00274521"/>
    <w:rsid w:val="00275504"/>
    <w:rsid w:val="002776FA"/>
    <w:rsid w:val="00277E47"/>
    <w:rsid w:val="0028070D"/>
    <w:rsid w:val="0028662A"/>
    <w:rsid w:val="002871D8"/>
    <w:rsid w:val="00291082"/>
    <w:rsid w:val="002934C0"/>
    <w:rsid w:val="002936D3"/>
    <w:rsid w:val="00295234"/>
    <w:rsid w:val="00296ADC"/>
    <w:rsid w:val="00297206"/>
    <w:rsid w:val="00297CB5"/>
    <w:rsid w:val="002A02B1"/>
    <w:rsid w:val="002A1211"/>
    <w:rsid w:val="002A12DA"/>
    <w:rsid w:val="002A1929"/>
    <w:rsid w:val="002A50AE"/>
    <w:rsid w:val="002A521B"/>
    <w:rsid w:val="002A66E5"/>
    <w:rsid w:val="002B0323"/>
    <w:rsid w:val="002B1417"/>
    <w:rsid w:val="002B161A"/>
    <w:rsid w:val="002B16A7"/>
    <w:rsid w:val="002B1F2D"/>
    <w:rsid w:val="002B38C1"/>
    <w:rsid w:val="002B3C79"/>
    <w:rsid w:val="002B7C3B"/>
    <w:rsid w:val="002C0BE4"/>
    <w:rsid w:val="002C147F"/>
    <w:rsid w:val="002C1E4B"/>
    <w:rsid w:val="002C2769"/>
    <w:rsid w:val="002C2E1B"/>
    <w:rsid w:val="002C3AFC"/>
    <w:rsid w:val="002C4209"/>
    <w:rsid w:val="002C4848"/>
    <w:rsid w:val="002C585D"/>
    <w:rsid w:val="002D291F"/>
    <w:rsid w:val="002D374F"/>
    <w:rsid w:val="002D521E"/>
    <w:rsid w:val="002D5552"/>
    <w:rsid w:val="002D62CE"/>
    <w:rsid w:val="002D6677"/>
    <w:rsid w:val="002D67D3"/>
    <w:rsid w:val="002D7462"/>
    <w:rsid w:val="002E001E"/>
    <w:rsid w:val="002E038B"/>
    <w:rsid w:val="002E1998"/>
    <w:rsid w:val="002E2CB1"/>
    <w:rsid w:val="002E2F01"/>
    <w:rsid w:val="002E41A9"/>
    <w:rsid w:val="002E6842"/>
    <w:rsid w:val="002E6D7C"/>
    <w:rsid w:val="002E7555"/>
    <w:rsid w:val="002E7E37"/>
    <w:rsid w:val="002F0E89"/>
    <w:rsid w:val="002F208B"/>
    <w:rsid w:val="002F2926"/>
    <w:rsid w:val="002F2993"/>
    <w:rsid w:val="002F52F7"/>
    <w:rsid w:val="002F6F32"/>
    <w:rsid w:val="003004FA"/>
    <w:rsid w:val="00303CD4"/>
    <w:rsid w:val="0030669E"/>
    <w:rsid w:val="0030795C"/>
    <w:rsid w:val="00307979"/>
    <w:rsid w:val="00312FF5"/>
    <w:rsid w:val="00313F81"/>
    <w:rsid w:val="00317616"/>
    <w:rsid w:val="00320667"/>
    <w:rsid w:val="003233EA"/>
    <w:rsid w:val="00327466"/>
    <w:rsid w:val="003300BD"/>
    <w:rsid w:val="003351DF"/>
    <w:rsid w:val="00336E8A"/>
    <w:rsid w:val="00337255"/>
    <w:rsid w:val="00337769"/>
    <w:rsid w:val="0033785B"/>
    <w:rsid w:val="0034210B"/>
    <w:rsid w:val="00342671"/>
    <w:rsid w:val="00342B0C"/>
    <w:rsid w:val="00343A17"/>
    <w:rsid w:val="00343C87"/>
    <w:rsid w:val="00344219"/>
    <w:rsid w:val="003450AC"/>
    <w:rsid w:val="003466CD"/>
    <w:rsid w:val="00351CED"/>
    <w:rsid w:val="0035330E"/>
    <w:rsid w:val="00353DC5"/>
    <w:rsid w:val="00360579"/>
    <w:rsid w:val="00360A9A"/>
    <w:rsid w:val="00360BC0"/>
    <w:rsid w:val="0036434E"/>
    <w:rsid w:val="00371CB5"/>
    <w:rsid w:val="003734D9"/>
    <w:rsid w:val="00375370"/>
    <w:rsid w:val="0037537A"/>
    <w:rsid w:val="00380AA5"/>
    <w:rsid w:val="00381281"/>
    <w:rsid w:val="0038259F"/>
    <w:rsid w:val="00383855"/>
    <w:rsid w:val="00384233"/>
    <w:rsid w:val="003845DF"/>
    <w:rsid w:val="00387966"/>
    <w:rsid w:val="00387AAC"/>
    <w:rsid w:val="00397A3B"/>
    <w:rsid w:val="003A0533"/>
    <w:rsid w:val="003A5810"/>
    <w:rsid w:val="003A5F1D"/>
    <w:rsid w:val="003A67D8"/>
    <w:rsid w:val="003A68CB"/>
    <w:rsid w:val="003B3D1A"/>
    <w:rsid w:val="003B551F"/>
    <w:rsid w:val="003B5C68"/>
    <w:rsid w:val="003C1731"/>
    <w:rsid w:val="003C17BB"/>
    <w:rsid w:val="003C1B98"/>
    <w:rsid w:val="003C27E2"/>
    <w:rsid w:val="003C3CC4"/>
    <w:rsid w:val="003C469B"/>
    <w:rsid w:val="003C7C1B"/>
    <w:rsid w:val="003D0D9C"/>
    <w:rsid w:val="003D17FB"/>
    <w:rsid w:val="003D2652"/>
    <w:rsid w:val="003D2B5A"/>
    <w:rsid w:val="003D3321"/>
    <w:rsid w:val="003D3C6D"/>
    <w:rsid w:val="003D5D9E"/>
    <w:rsid w:val="003D70C7"/>
    <w:rsid w:val="003D7314"/>
    <w:rsid w:val="003E0987"/>
    <w:rsid w:val="003E0F3F"/>
    <w:rsid w:val="003E14DC"/>
    <w:rsid w:val="003E19F9"/>
    <w:rsid w:val="003E1AC6"/>
    <w:rsid w:val="003E37B6"/>
    <w:rsid w:val="003E3CF0"/>
    <w:rsid w:val="003E49C6"/>
    <w:rsid w:val="003E4D00"/>
    <w:rsid w:val="003E634D"/>
    <w:rsid w:val="003E7795"/>
    <w:rsid w:val="003F0176"/>
    <w:rsid w:val="003F0268"/>
    <w:rsid w:val="003F0791"/>
    <w:rsid w:val="003F0DE2"/>
    <w:rsid w:val="003F3930"/>
    <w:rsid w:val="003F4615"/>
    <w:rsid w:val="003F4678"/>
    <w:rsid w:val="004003DB"/>
    <w:rsid w:val="00401788"/>
    <w:rsid w:val="00402148"/>
    <w:rsid w:val="00402E02"/>
    <w:rsid w:val="00402F1C"/>
    <w:rsid w:val="00407E7F"/>
    <w:rsid w:val="00411636"/>
    <w:rsid w:val="00411B7D"/>
    <w:rsid w:val="00412E08"/>
    <w:rsid w:val="00416267"/>
    <w:rsid w:val="00416788"/>
    <w:rsid w:val="0042039D"/>
    <w:rsid w:val="00421E99"/>
    <w:rsid w:val="004223ED"/>
    <w:rsid w:val="004241E2"/>
    <w:rsid w:val="00424406"/>
    <w:rsid w:val="004252F4"/>
    <w:rsid w:val="00425C5C"/>
    <w:rsid w:val="004265BE"/>
    <w:rsid w:val="00431975"/>
    <w:rsid w:val="00433093"/>
    <w:rsid w:val="004339D6"/>
    <w:rsid w:val="00435303"/>
    <w:rsid w:val="0044217F"/>
    <w:rsid w:val="004438AC"/>
    <w:rsid w:val="00444B74"/>
    <w:rsid w:val="00445F6A"/>
    <w:rsid w:val="0044750A"/>
    <w:rsid w:val="00447F86"/>
    <w:rsid w:val="00450AEF"/>
    <w:rsid w:val="0045454F"/>
    <w:rsid w:val="0045567D"/>
    <w:rsid w:val="004562F3"/>
    <w:rsid w:val="004622D6"/>
    <w:rsid w:val="004624F7"/>
    <w:rsid w:val="00462C1E"/>
    <w:rsid w:val="004642D9"/>
    <w:rsid w:val="00466AF8"/>
    <w:rsid w:val="00467B74"/>
    <w:rsid w:val="00467CE7"/>
    <w:rsid w:val="0047130C"/>
    <w:rsid w:val="00473D7E"/>
    <w:rsid w:val="004753EA"/>
    <w:rsid w:val="0048437F"/>
    <w:rsid w:val="00495969"/>
    <w:rsid w:val="00497959"/>
    <w:rsid w:val="004A0ED4"/>
    <w:rsid w:val="004A1736"/>
    <w:rsid w:val="004A1BC5"/>
    <w:rsid w:val="004A3278"/>
    <w:rsid w:val="004A4B45"/>
    <w:rsid w:val="004A58E5"/>
    <w:rsid w:val="004A6A7C"/>
    <w:rsid w:val="004A6D7F"/>
    <w:rsid w:val="004A7DA8"/>
    <w:rsid w:val="004B17FB"/>
    <w:rsid w:val="004B3359"/>
    <w:rsid w:val="004B38F6"/>
    <w:rsid w:val="004B53E9"/>
    <w:rsid w:val="004C26DA"/>
    <w:rsid w:val="004C2CBD"/>
    <w:rsid w:val="004C2D38"/>
    <w:rsid w:val="004C6084"/>
    <w:rsid w:val="004C6C62"/>
    <w:rsid w:val="004C7458"/>
    <w:rsid w:val="004D0DC8"/>
    <w:rsid w:val="004D181B"/>
    <w:rsid w:val="004D1D34"/>
    <w:rsid w:val="004D1FE3"/>
    <w:rsid w:val="004D3380"/>
    <w:rsid w:val="004D5342"/>
    <w:rsid w:val="004D7430"/>
    <w:rsid w:val="004E0042"/>
    <w:rsid w:val="004E06CD"/>
    <w:rsid w:val="004E0750"/>
    <w:rsid w:val="004E138E"/>
    <w:rsid w:val="004E169F"/>
    <w:rsid w:val="004E18F2"/>
    <w:rsid w:val="004E2765"/>
    <w:rsid w:val="004E2B4F"/>
    <w:rsid w:val="004E38D4"/>
    <w:rsid w:val="004E5861"/>
    <w:rsid w:val="004E5EEB"/>
    <w:rsid w:val="004F16FA"/>
    <w:rsid w:val="004F4210"/>
    <w:rsid w:val="004F6546"/>
    <w:rsid w:val="00504AE4"/>
    <w:rsid w:val="00505381"/>
    <w:rsid w:val="005062D4"/>
    <w:rsid w:val="0050706D"/>
    <w:rsid w:val="005071B9"/>
    <w:rsid w:val="00507D3A"/>
    <w:rsid w:val="00507DED"/>
    <w:rsid w:val="00510A99"/>
    <w:rsid w:val="00512BE7"/>
    <w:rsid w:val="005138A5"/>
    <w:rsid w:val="00515751"/>
    <w:rsid w:val="00520281"/>
    <w:rsid w:val="00521C5A"/>
    <w:rsid w:val="00521CCB"/>
    <w:rsid w:val="005234AB"/>
    <w:rsid w:val="005266C3"/>
    <w:rsid w:val="00527D0A"/>
    <w:rsid w:val="005316C5"/>
    <w:rsid w:val="00531C8E"/>
    <w:rsid w:val="00537ECB"/>
    <w:rsid w:val="005410C1"/>
    <w:rsid w:val="00544BC3"/>
    <w:rsid w:val="005520BC"/>
    <w:rsid w:val="00552F86"/>
    <w:rsid w:val="005532C6"/>
    <w:rsid w:val="005559C1"/>
    <w:rsid w:val="00557A48"/>
    <w:rsid w:val="00562DF0"/>
    <w:rsid w:val="005634B4"/>
    <w:rsid w:val="0056463F"/>
    <w:rsid w:val="005646CD"/>
    <w:rsid w:val="0056489B"/>
    <w:rsid w:val="00570151"/>
    <w:rsid w:val="0057402B"/>
    <w:rsid w:val="005743DF"/>
    <w:rsid w:val="00582037"/>
    <w:rsid w:val="00583BF3"/>
    <w:rsid w:val="00584EA0"/>
    <w:rsid w:val="00585058"/>
    <w:rsid w:val="00585314"/>
    <w:rsid w:val="00585FC6"/>
    <w:rsid w:val="00586756"/>
    <w:rsid w:val="005873EE"/>
    <w:rsid w:val="005915AE"/>
    <w:rsid w:val="0059331F"/>
    <w:rsid w:val="00593C4E"/>
    <w:rsid w:val="005943E4"/>
    <w:rsid w:val="00594996"/>
    <w:rsid w:val="00595909"/>
    <w:rsid w:val="00595AB3"/>
    <w:rsid w:val="005963C4"/>
    <w:rsid w:val="005A046C"/>
    <w:rsid w:val="005A22A5"/>
    <w:rsid w:val="005A32CB"/>
    <w:rsid w:val="005A5C44"/>
    <w:rsid w:val="005A647D"/>
    <w:rsid w:val="005A6F92"/>
    <w:rsid w:val="005B158F"/>
    <w:rsid w:val="005B1BD1"/>
    <w:rsid w:val="005B3A1A"/>
    <w:rsid w:val="005B4808"/>
    <w:rsid w:val="005B5231"/>
    <w:rsid w:val="005C317B"/>
    <w:rsid w:val="005C3BCC"/>
    <w:rsid w:val="005C3C53"/>
    <w:rsid w:val="005C3D26"/>
    <w:rsid w:val="005C54BC"/>
    <w:rsid w:val="005C76E3"/>
    <w:rsid w:val="005D1997"/>
    <w:rsid w:val="005D2EBD"/>
    <w:rsid w:val="005D32BE"/>
    <w:rsid w:val="005D65FE"/>
    <w:rsid w:val="005D6D3D"/>
    <w:rsid w:val="005D7DCC"/>
    <w:rsid w:val="005E2763"/>
    <w:rsid w:val="005E3C4D"/>
    <w:rsid w:val="005E3E4E"/>
    <w:rsid w:val="005E476B"/>
    <w:rsid w:val="005F08D9"/>
    <w:rsid w:val="005F110C"/>
    <w:rsid w:val="005F36C3"/>
    <w:rsid w:val="005F43CB"/>
    <w:rsid w:val="005F4740"/>
    <w:rsid w:val="005F59AA"/>
    <w:rsid w:val="0060327D"/>
    <w:rsid w:val="00603D3A"/>
    <w:rsid w:val="00606ED1"/>
    <w:rsid w:val="0060777F"/>
    <w:rsid w:val="00607D8E"/>
    <w:rsid w:val="00610149"/>
    <w:rsid w:val="006113DA"/>
    <w:rsid w:val="0061259C"/>
    <w:rsid w:val="00616063"/>
    <w:rsid w:val="00616A8F"/>
    <w:rsid w:val="0062006A"/>
    <w:rsid w:val="00620692"/>
    <w:rsid w:val="00622A8D"/>
    <w:rsid w:val="0062348C"/>
    <w:rsid w:val="00630DBE"/>
    <w:rsid w:val="006330DA"/>
    <w:rsid w:val="006355F6"/>
    <w:rsid w:val="006367D6"/>
    <w:rsid w:val="00640006"/>
    <w:rsid w:val="0064041E"/>
    <w:rsid w:val="00640B02"/>
    <w:rsid w:val="00643F67"/>
    <w:rsid w:val="00644F41"/>
    <w:rsid w:val="006454C7"/>
    <w:rsid w:val="006458A1"/>
    <w:rsid w:val="0064638E"/>
    <w:rsid w:val="00646514"/>
    <w:rsid w:val="00647F38"/>
    <w:rsid w:val="00652DDC"/>
    <w:rsid w:val="00656D2E"/>
    <w:rsid w:val="0065754D"/>
    <w:rsid w:val="00662B82"/>
    <w:rsid w:val="00663A07"/>
    <w:rsid w:val="00663EB2"/>
    <w:rsid w:val="00664625"/>
    <w:rsid w:val="00665F53"/>
    <w:rsid w:val="006666F0"/>
    <w:rsid w:val="006728AA"/>
    <w:rsid w:val="006761D1"/>
    <w:rsid w:val="0068065E"/>
    <w:rsid w:val="006818CB"/>
    <w:rsid w:val="00681DC4"/>
    <w:rsid w:val="00682690"/>
    <w:rsid w:val="00686747"/>
    <w:rsid w:val="006869E7"/>
    <w:rsid w:val="00687FC3"/>
    <w:rsid w:val="006909B3"/>
    <w:rsid w:val="006910B9"/>
    <w:rsid w:val="00691B1E"/>
    <w:rsid w:val="00693793"/>
    <w:rsid w:val="00693A71"/>
    <w:rsid w:val="00693D43"/>
    <w:rsid w:val="00696F71"/>
    <w:rsid w:val="006A0D5B"/>
    <w:rsid w:val="006A261D"/>
    <w:rsid w:val="006A35DD"/>
    <w:rsid w:val="006A3CDA"/>
    <w:rsid w:val="006A3D01"/>
    <w:rsid w:val="006A780A"/>
    <w:rsid w:val="006A7FC2"/>
    <w:rsid w:val="006B0C33"/>
    <w:rsid w:val="006B3A4B"/>
    <w:rsid w:val="006B63DC"/>
    <w:rsid w:val="006B6CB3"/>
    <w:rsid w:val="006C1340"/>
    <w:rsid w:val="006C1E76"/>
    <w:rsid w:val="006C2813"/>
    <w:rsid w:val="006C2EEC"/>
    <w:rsid w:val="006C3EE5"/>
    <w:rsid w:val="006C3FCD"/>
    <w:rsid w:val="006C4497"/>
    <w:rsid w:val="006C4C15"/>
    <w:rsid w:val="006C5560"/>
    <w:rsid w:val="006C58F0"/>
    <w:rsid w:val="006C5BC4"/>
    <w:rsid w:val="006C5ED9"/>
    <w:rsid w:val="006C643E"/>
    <w:rsid w:val="006C658C"/>
    <w:rsid w:val="006D0E06"/>
    <w:rsid w:val="006D118B"/>
    <w:rsid w:val="006D16CC"/>
    <w:rsid w:val="006D2526"/>
    <w:rsid w:val="006D41CA"/>
    <w:rsid w:val="006D6392"/>
    <w:rsid w:val="006E0022"/>
    <w:rsid w:val="006E281A"/>
    <w:rsid w:val="006E362E"/>
    <w:rsid w:val="006E546F"/>
    <w:rsid w:val="006E5981"/>
    <w:rsid w:val="006E6195"/>
    <w:rsid w:val="006E777C"/>
    <w:rsid w:val="006E7EA8"/>
    <w:rsid w:val="006F0D69"/>
    <w:rsid w:val="006F169C"/>
    <w:rsid w:val="006F297E"/>
    <w:rsid w:val="006F3439"/>
    <w:rsid w:val="006F50F5"/>
    <w:rsid w:val="006F5C6F"/>
    <w:rsid w:val="006F6669"/>
    <w:rsid w:val="006F7CB3"/>
    <w:rsid w:val="007023B2"/>
    <w:rsid w:val="00702FBE"/>
    <w:rsid w:val="0070784B"/>
    <w:rsid w:val="00707B0F"/>
    <w:rsid w:val="00710AEE"/>
    <w:rsid w:val="00711370"/>
    <w:rsid w:val="00716958"/>
    <w:rsid w:val="007175A9"/>
    <w:rsid w:val="00720896"/>
    <w:rsid w:val="0072344E"/>
    <w:rsid w:val="00724799"/>
    <w:rsid w:val="00732675"/>
    <w:rsid w:val="00732F33"/>
    <w:rsid w:val="00733BB6"/>
    <w:rsid w:val="00734448"/>
    <w:rsid w:val="007345C6"/>
    <w:rsid w:val="0073698E"/>
    <w:rsid w:val="007369FD"/>
    <w:rsid w:val="00740F95"/>
    <w:rsid w:val="0074293D"/>
    <w:rsid w:val="00742A2A"/>
    <w:rsid w:val="00742D15"/>
    <w:rsid w:val="00743223"/>
    <w:rsid w:val="00743F2B"/>
    <w:rsid w:val="007454B9"/>
    <w:rsid w:val="007467E3"/>
    <w:rsid w:val="00751B97"/>
    <w:rsid w:val="00752D37"/>
    <w:rsid w:val="007531C4"/>
    <w:rsid w:val="00754945"/>
    <w:rsid w:val="00755A69"/>
    <w:rsid w:val="00756E38"/>
    <w:rsid w:val="007577DB"/>
    <w:rsid w:val="00760E66"/>
    <w:rsid w:val="00762818"/>
    <w:rsid w:val="00763211"/>
    <w:rsid w:val="007641A7"/>
    <w:rsid w:val="0076540B"/>
    <w:rsid w:val="0077172B"/>
    <w:rsid w:val="00772BCA"/>
    <w:rsid w:val="0077668B"/>
    <w:rsid w:val="007776CE"/>
    <w:rsid w:val="00780046"/>
    <w:rsid w:val="00780A83"/>
    <w:rsid w:val="007819DD"/>
    <w:rsid w:val="00781D4D"/>
    <w:rsid w:val="00782669"/>
    <w:rsid w:val="007864A9"/>
    <w:rsid w:val="00794B20"/>
    <w:rsid w:val="00796DE6"/>
    <w:rsid w:val="007974DA"/>
    <w:rsid w:val="007A049D"/>
    <w:rsid w:val="007A63DD"/>
    <w:rsid w:val="007B03B8"/>
    <w:rsid w:val="007B20FE"/>
    <w:rsid w:val="007B3904"/>
    <w:rsid w:val="007B3E5D"/>
    <w:rsid w:val="007B5FB6"/>
    <w:rsid w:val="007B730B"/>
    <w:rsid w:val="007C0D01"/>
    <w:rsid w:val="007C13F1"/>
    <w:rsid w:val="007C5286"/>
    <w:rsid w:val="007C5B4F"/>
    <w:rsid w:val="007C5FAE"/>
    <w:rsid w:val="007C68A4"/>
    <w:rsid w:val="007D0359"/>
    <w:rsid w:val="007D1340"/>
    <w:rsid w:val="007D1845"/>
    <w:rsid w:val="007D1CC1"/>
    <w:rsid w:val="007D287C"/>
    <w:rsid w:val="007D302D"/>
    <w:rsid w:val="007D3944"/>
    <w:rsid w:val="007D4B18"/>
    <w:rsid w:val="007E20AE"/>
    <w:rsid w:val="007E4792"/>
    <w:rsid w:val="007E6C0C"/>
    <w:rsid w:val="007F1006"/>
    <w:rsid w:val="007F15BC"/>
    <w:rsid w:val="007F5009"/>
    <w:rsid w:val="007F6088"/>
    <w:rsid w:val="007F7683"/>
    <w:rsid w:val="007F7F9B"/>
    <w:rsid w:val="00800F49"/>
    <w:rsid w:val="00802574"/>
    <w:rsid w:val="00803042"/>
    <w:rsid w:val="008043C0"/>
    <w:rsid w:val="008044C2"/>
    <w:rsid w:val="00806A1D"/>
    <w:rsid w:val="00807516"/>
    <w:rsid w:val="0080756E"/>
    <w:rsid w:val="00807B89"/>
    <w:rsid w:val="00810054"/>
    <w:rsid w:val="008106C1"/>
    <w:rsid w:val="00810F2C"/>
    <w:rsid w:val="008125CA"/>
    <w:rsid w:val="00813D71"/>
    <w:rsid w:val="00814EB6"/>
    <w:rsid w:val="00814EEE"/>
    <w:rsid w:val="00815B59"/>
    <w:rsid w:val="00817CD8"/>
    <w:rsid w:val="00823B41"/>
    <w:rsid w:val="008254F9"/>
    <w:rsid w:val="00825F78"/>
    <w:rsid w:val="00826D89"/>
    <w:rsid w:val="0082700C"/>
    <w:rsid w:val="00831855"/>
    <w:rsid w:val="00831CA3"/>
    <w:rsid w:val="008326EB"/>
    <w:rsid w:val="008327AB"/>
    <w:rsid w:val="0083442E"/>
    <w:rsid w:val="00834459"/>
    <w:rsid w:val="00835736"/>
    <w:rsid w:val="00835D56"/>
    <w:rsid w:val="008375B1"/>
    <w:rsid w:val="008450A2"/>
    <w:rsid w:val="008520E2"/>
    <w:rsid w:val="00853537"/>
    <w:rsid w:val="0086000C"/>
    <w:rsid w:val="008603FF"/>
    <w:rsid w:val="00862CD1"/>
    <w:rsid w:val="00862D9B"/>
    <w:rsid w:val="00862E72"/>
    <w:rsid w:val="0086323A"/>
    <w:rsid w:val="00864F9E"/>
    <w:rsid w:val="00867C7F"/>
    <w:rsid w:val="00867FD1"/>
    <w:rsid w:val="0087248E"/>
    <w:rsid w:val="00872DBB"/>
    <w:rsid w:val="00873EEA"/>
    <w:rsid w:val="00875B30"/>
    <w:rsid w:val="00880FAF"/>
    <w:rsid w:val="008877E5"/>
    <w:rsid w:val="0088797B"/>
    <w:rsid w:val="00894893"/>
    <w:rsid w:val="0089641A"/>
    <w:rsid w:val="008969F7"/>
    <w:rsid w:val="00896A96"/>
    <w:rsid w:val="00896BFF"/>
    <w:rsid w:val="00897C17"/>
    <w:rsid w:val="008A0298"/>
    <w:rsid w:val="008A1F47"/>
    <w:rsid w:val="008A6F64"/>
    <w:rsid w:val="008B0557"/>
    <w:rsid w:val="008B1EDB"/>
    <w:rsid w:val="008B4110"/>
    <w:rsid w:val="008B41E5"/>
    <w:rsid w:val="008B4594"/>
    <w:rsid w:val="008B513E"/>
    <w:rsid w:val="008B6BA7"/>
    <w:rsid w:val="008B7C1C"/>
    <w:rsid w:val="008C20AC"/>
    <w:rsid w:val="008C3C5D"/>
    <w:rsid w:val="008D1C45"/>
    <w:rsid w:val="008D1DE2"/>
    <w:rsid w:val="008D2DF2"/>
    <w:rsid w:val="008D5EA6"/>
    <w:rsid w:val="008D6976"/>
    <w:rsid w:val="008D7966"/>
    <w:rsid w:val="008E0BDC"/>
    <w:rsid w:val="008E2748"/>
    <w:rsid w:val="008E2A0E"/>
    <w:rsid w:val="008E37C3"/>
    <w:rsid w:val="008E6310"/>
    <w:rsid w:val="008E76B2"/>
    <w:rsid w:val="008F22DF"/>
    <w:rsid w:val="008F348D"/>
    <w:rsid w:val="008F68E6"/>
    <w:rsid w:val="009042B2"/>
    <w:rsid w:val="00905EE7"/>
    <w:rsid w:val="00906354"/>
    <w:rsid w:val="00907414"/>
    <w:rsid w:val="009074A8"/>
    <w:rsid w:val="009078A0"/>
    <w:rsid w:val="00907D31"/>
    <w:rsid w:val="009147E6"/>
    <w:rsid w:val="009148B4"/>
    <w:rsid w:val="009173AC"/>
    <w:rsid w:val="00924284"/>
    <w:rsid w:val="00930132"/>
    <w:rsid w:val="00930D4E"/>
    <w:rsid w:val="00932857"/>
    <w:rsid w:val="00934F89"/>
    <w:rsid w:val="009363FF"/>
    <w:rsid w:val="0093688A"/>
    <w:rsid w:val="00943667"/>
    <w:rsid w:val="00944B83"/>
    <w:rsid w:val="00944E01"/>
    <w:rsid w:val="0094501B"/>
    <w:rsid w:val="00950CB7"/>
    <w:rsid w:val="00950F19"/>
    <w:rsid w:val="00951EA7"/>
    <w:rsid w:val="009527AE"/>
    <w:rsid w:val="0095289A"/>
    <w:rsid w:val="00953AB2"/>
    <w:rsid w:val="0095480D"/>
    <w:rsid w:val="00957C0B"/>
    <w:rsid w:val="009643B7"/>
    <w:rsid w:val="00965BCC"/>
    <w:rsid w:val="0096683E"/>
    <w:rsid w:val="009673AA"/>
    <w:rsid w:val="009720E5"/>
    <w:rsid w:val="00973C07"/>
    <w:rsid w:val="0097559E"/>
    <w:rsid w:val="009805D1"/>
    <w:rsid w:val="00983A0C"/>
    <w:rsid w:val="0098562A"/>
    <w:rsid w:val="00985941"/>
    <w:rsid w:val="009875F1"/>
    <w:rsid w:val="009939C2"/>
    <w:rsid w:val="009949CF"/>
    <w:rsid w:val="009951D1"/>
    <w:rsid w:val="009967DA"/>
    <w:rsid w:val="00996A28"/>
    <w:rsid w:val="009A1343"/>
    <w:rsid w:val="009A1B54"/>
    <w:rsid w:val="009A244B"/>
    <w:rsid w:val="009A2FB8"/>
    <w:rsid w:val="009A3301"/>
    <w:rsid w:val="009A4CF8"/>
    <w:rsid w:val="009A7E7C"/>
    <w:rsid w:val="009B08C9"/>
    <w:rsid w:val="009B2BD5"/>
    <w:rsid w:val="009B626A"/>
    <w:rsid w:val="009B6A74"/>
    <w:rsid w:val="009B7925"/>
    <w:rsid w:val="009C0985"/>
    <w:rsid w:val="009C48F8"/>
    <w:rsid w:val="009C5BF4"/>
    <w:rsid w:val="009C6862"/>
    <w:rsid w:val="009C69D1"/>
    <w:rsid w:val="009D04F8"/>
    <w:rsid w:val="009D18FC"/>
    <w:rsid w:val="009D27F9"/>
    <w:rsid w:val="009D5542"/>
    <w:rsid w:val="009D5614"/>
    <w:rsid w:val="009D6BAB"/>
    <w:rsid w:val="009D7365"/>
    <w:rsid w:val="009E0D5D"/>
    <w:rsid w:val="009E0E0C"/>
    <w:rsid w:val="009E2209"/>
    <w:rsid w:val="009E22DF"/>
    <w:rsid w:val="009E3ABE"/>
    <w:rsid w:val="009E3BB0"/>
    <w:rsid w:val="009E5530"/>
    <w:rsid w:val="009F1238"/>
    <w:rsid w:val="009F1578"/>
    <w:rsid w:val="009F3EB9"/>
    <w:rsid w:val="009F4403"/>
    <w:rsid w:val="009F5E32"/>
    <w:rsid w:val="00A002B2"/>
    <w:rsid w:val="00A0390D"/>
    <w:rsid w:val="00A040B2"/>
    <w:rsid w:val="00A049AD"/>
    <w:rsid w:val="00A05877"/>
    <w:rsid w:val="00A05B14"/>
    <w:rsid w:val="00A05CB3"/>
    <w:rsid w:val="00A10C8D"/>
    <w:rsid w:val="00A11010"/>
    <w:rsid w:val="00A121BE"/>
    <w:rsid w:val="00A124BD"/>
    <w:rsid w:val="00A169E0"/>
    <w:rsid w:val="00A1740D"/>
    <w:rsid w:val="00A2102A"/>
    <w:rsid w:val="00A21250"/>
    <w:rsid w:val="00A237CC"/>
    <w:rsid w:val="00A239E9"/>
    <w:rsid w:val="00A23CEE"/>
    <w:rsid w:val="00A24E7E"/>
    <w:rsid w:val="00A26237"/>
    <w:rsid w:val="00A263AC"/>
    <w:rsid w:val="00A2648F"/>
    <w:rsid w:val="00A270F4"/>
    <w:rsid w:val="00A27D1A"/>
    <w:rsid w:val="00A305C0"/>
    <w:rsid w:val="00A30B24"/>
    <w:rsid w:val="00A30B2F"/>
    <w:rsid w:val="00A30CA2"/>
    <w:rsid w:val="00A311EC"/>
    <w:rsid w:val="00A31F47"/>
    <w:rsid w:val="00A3271C"/>
    <w:rsid w:val="00A336CE"/>
    <w:rsid w:val="00A3563F"/>
    <w:rsid w:val="00A36F6E"/>
    <w:rsid w:val="00A37834"/>
    <w:rsid w:val="00A379D0"/>
    <w:rsid w:val="00A403DC"/>
    <w:rsid w:val="00A406C2"/>
    <w:rsid w:val="00A40702"/>
    <w:rsid w:val="00A40E79"/>
    <w:rsid w:val="00A41D2C"/>
    <w:rsid w:val="00A438DA"/>
    <w:rsid w:val="00A45CA9"/>
    <w:rsid w:val="00A504EC"/>
    <w:rsid w:val="00A549C7"/>
    <w:rsid w:val="00A54B77"/>
    <w:rsid w:val="00A554CC"/>
    <w:rsid w:val="00A56A95"/>
    <w:rsid w:val="00A57BEE"/>
    <w:rsid w:val="00A60798"/>
    <w:rsid w:val="00A608A2"/>
    <w:rsid w:val="00A61580"/>
    <w:rsid w:val="00A62057"/>
    <w:rsid w:val="00A62BBD"/>
    <w:rsid w:val="00A6586C"/>
    <w:rsid w:val="00A6719F"/>
    <w:rsid w:val="00A72917"/>
    <w:rsid w:val="00A738DB"/>
    <w:rsid w:val="00A76331"/>
    <w:rsid w:val="00A80C22"/>
    <w:rsid w:val="00A8239E"/>
    <w:rsid w:val="00A82C5F"/>
    <w:rsid w:val="00A82FCC"/>
    <w:rsid w:val="00A857C9"/>
    <w:rsid w:val="00A866B8"/>
    <w:rsid w:val="00A9073B"/>
    <w:rsid w:val="00A91389"/>
    <w:rsid w:val="00A96EDF"/>
    <w:rsid w:val="00A9727D"/>
    <w:rsid w:val="00A97298"/>
    <w:rsid w:val="00A97EE7"/>
    <w:rsid w:val="00AB0BBD"/>
    <w:rsid w:val="00AB0D0F"/>
    <w:rsid w:val="00AB3114"/>
    <w:rsid w:val="00AB3259"/>
    <w:rsid w:val="00AB396A"/>
    <w:rsid w:val="00AB3C56"/>
    <w:rsid w:val="00AB3E03"/>
    <w:rsid w:val="00AB6449"/>
    <w:rsid w:val="00AB64A7"/>
    <w:rsid w:val="00AC04BB"/>
    <w:rsid w:val="00AC2041"/>
    <w:rsid w:val="00AC2C84"/>
    <w:rsid w:val="00AC4303"/>
    <w:rsid w:val="00AC4B47"/>
    <w:rsid w:val="00AC4CF0"/>
    <w:rsid w:val="00AC5644"/>
    <w:rsid w:val="00AC6350"/>
    <w:rsid w:val="00AC75DC"/>
    <w:rsid w:val="00AD10B5"/>
    <w:rsid w:val="00AD186B"/>
    <w:rsid w:val="00AD374F"/>
    <w:rsid w:val="00AD3B5E"/>
    <w:rsid w:val="00AD54DB"/>
    <w:rsid w:val="00AD5C27"/>
    <w:rsid w:val="00AE0BA3"/>
    <w:rsid w:val="00AE0D1B"/>
    <w:rsid w:val="00AE2342"/>
    <w:rsid w:val="00AE2702"/>
    <w:rsid w:val="00AE5580"/>
    <w:rsid w:val="00AE5EDF"/>
    <w:rsid w:val="00AE6670"/>
    <w:rsid w:val="00AE7D1E"/>
    <w:rsid w:val="00AF1121"/>
    <w:rsid w:val="00AF5BDE"/>
    <w:rsid w:val="00AF72A3"/>
    <w:rsid w:val="00AF74B0"/>
    <w:rsid w:val="00AF7810"/>
    <w:rsid w:val="00AF7C53"/>
    <w:rsid w:val="00B014AA"/>
    <w:rsid w:val="00B01D4F"/>
    <w:rsid w:val="00B0201E"/>
    <w:rsid w:val="00B03FC2"/>
    <w:rsid w:val="00B044AE"/>
    <w:rsid w:val="00B0751F"/>
    <w:rsid w:val="00B10760"/>
    <w:rsid w:val="00B12ADD"/>
    <w:rsid w:val="00B146CB"/>
    <w:rsid w:val="00B15AE2"/>
    <w:rsid w:val="00B20E34"/>
    <w:rsid w:val="00B22EE5"/>
    <w:rsid w:val="00B232F6"/>
    <w:rsid w:val="00B23442"/>
    <w:rsid w:val="00B247BF"/>
    <w:rsid w:val="00B25811"/>
    <w:rsid w:val="00B3112C"/>
    <w:rsid w:val="00B3323C"/>
    <w:rsid w:val="00B33686"/>
    <w:rsid w:val="00B36484"/>
    <w:rsid w:val="00B36C02"/>
    <w:rsid w:val="00B41440"/>
    <w:rsid w:val="00B41C57"/>
    <w:rsid w:val="00B42F1B"/>
    <w:rsid w:val="00B46E65"/>
    <w:rsid w:val="00B52143"/>
    <w:rsid w:val="00B543B5"/>
    <w:rsid w:val="00B569DD"/>
    <w:rsid w:val="00B57046"/>
    <w:rsid w:val="00B5778A"/>
    <w:rsid w:val="00B6203C"/>
    <w:rsid w:val="00B62340"/>
    <w:rsid w:val="00B64364"/>
    <w:rsid w:val="00B67DE1"/>
    <w:rsid w:val="00B71030"/>
    <w:rsid w:val="00B715FF"/>
    <w:rsid w:val="00B72F90"/>
    <w:rsid w:val="00B761FF"/>
    <w:rsid w:val="00B81D57"/>
    <w:rsid w:val="00B81FB3"/>
    <w:rsid w:val="00B846A2"/>
    <w:rsid w:val="00B848DC"/>
    <w:rsid w:val="00B9092E"/>
    <w:rsid w:val="00B93D2E"/>
    <w:rsid w:val="00B94743"/>
    <w:rsid w:val="00B949E0"/>
    <w:rsid w:val="00B94A36"/>
    <w:rsid w:val="00BA0F0C"/>
    <w:rsid w:val="00BA28F9"/>
    <w:rsid w:val="00BA2B7C"/>
    <w:rsid w:val="00BA2D5F"/>
    <w:rsid w:val="00BA2E9D"/>
    <w:rsid w:val="00BA32F1"/>
    <w:rsid w:val="00BA39FF"/>
    <w:rsid w:val="00BA6AD7"/>
    <w:rsid w:val="00BA7EF2"/>
    <w:rsid w:val="00BB03F1"/>
    <w:rsid w:val="00BB1DCF"/>
    <w:rsid w:val="00BB3E60"/>
    <w:rsid w:val="00BB4210"/>
    <w:rsid w:val="00BB429E"/>
    <w:rsid w:val="00BB7373"/>
    <w:rsid w:val="00BC05DE"/>
    <w:rsid w:val="00BC2986"/>
    <w:rsid w:val="00BC4040"/>
    <w:rsid w:val="00BC4754"/>
    <w:rsid w:val="00BC488E"/>
    <w:rsid w:val="00BC4E55"/>
    <w:rsid w:val="00BC7E3E"/>
    <w:rsid w:val="00BD37B2"/>
    <w:rsid w:val="00BD5153"/>
    <w:rsid w:val="00BD68A2"/>
    <w:rsid w:val="00BE29D9"/>
    <w:rsid w:val="00BE2A20"/>
    <w:rsid w:val="00BE2DF2"/>
    <w:rsid w:val="00BE55DC"/>
    <w:rsid w:val="00BE5DF1"/>
    <w:rsid w:val="00BE6AD3"/>
    <w:rsid w:val="00BF4B63"/>
    <w:rsid w:val="00BF5F0E"/>
    <w:rsid w:val="00BF6B6C"/>
    <w:rsid w:val="00BF6D6A"/>
    <w:rsid w:val="00C02412"/>
    <w:rsid w:val="00C025D8"/>
    <w:rsid w:val="00C02EA8"/>
    <w:rsid w:val="00C05C65"/>
    <w:rsid w:val="00C064C8"/>
    <w:rsid w:val="00C07642"/>
    <w:rsid w:val="00C10D9D"/>
    <w:rsid w:val="00C115C2"/>
    <w:rsid w:val="00C11AB0"/>
    <w:rsid w:val="00C11EC4"/>
    <w:rsid w:val="00C1216D"/>
    <w:rsid w:val="00C1257C"/>
    <w:rsid w:val="00C127FA"/>
    <w:rsid w:val="00C14CBE"/>
    <w:rsid w:val="00C162F2"/>
    <w:rsid w:val="00C16318"/>
    <w:rsid w:val="00C17953"/>
    <w:rsid w:val="00C2062C"/>
    <w:rsid w:val="00C207DA"/>
    <w:rsid w:val="00C213C2"/>
    <w:rsid w:val="00C217DF"/>
    <w:rsid w:val="00C21834"/>
    <w:rsid w:val="00C227EC"/>
    <w:rsid w:val="00C238D8"/>
    <w:rsid w:val="00C24FE9"/>
    <w:rsid w:val="00C31329"/>
    <w:rsid w:val="00C31441"/>
    <w:rsid w:val="00C328CC"/>
    <w:rsid w:val="00C34991"/>
    <w:rsid w:val="00C34E35"/>
    <w:rsid w:val="00C409A5"/>
    <w:rsid w:val="00C45B5E"/>
    <w:rsid w:val="00C46294"/>
    <w:rsid w:val="00C46F97"/>
    <w:rsid w:val="00C471C4"/>
    <w:rsid w:val="00C50FF3"/>
    <w:rsid w:val="00C51F57"/>
    <w:rsid w:val="00C5647F"/>
    <w:rsid w:val="00C56A46"/>
    <w:rsid w:val="00C57E87"/>
    <w:rsid w:val="00C615E5"/>
    <w:rsid w:val="00C646A8"/>
    <w:rsid w:val="00C6547C"/>
    <w:rsid w:val="00C66147"/>
    <w:rsid w:val="00C663C0"/>
    <w:rsid w:val="00C671BA"/>
    <w:rsid w:val="00C72800"/>
    <w:rsid w:val="00C74D01"/>
    <w:rsid w:val="00C76B8E"/>
    <w:rsid w:val="00C779F1"/>
    <w:rsid w:val="00C77E67"/>
    <w:rsid w:val="00C80AA9"/>
    <w:rsid w:val="00C80B2D"/>
    <w:rsid w:val="00C80DDE"/>
    <w:rsid w:val="00C8199C"/>
    <w:rsid w:val="00C840D8"/>
    <w:rsid w:val="00C84E10"/>
    <w:rsid w:val="00C85349"/>
    <w:rsid w:val="00C86AF1"/>
    <w:rsid w:val="00C87D99"/>
    <w:rsid w:val="00C9029F"/>
    <w:rsid w:val="00C902FE"/>
    <w:rsid w:val="00C9039F"/>
    <w:rsid w:val="00C92477"/>
    <w:rsid w:val="00C92A32"/>
    <w:rsid w:val="00C9668B"/>
    <w:rsid w:val="00C96C49"/>
    <w:rsid w:val="00CA0EAF"/>
    <w:rsid w:val="00CA27B7"/>
    <w:rsid w:val="00CA2E95"/>
    <w:rsid w:val="00CA3318"/>
    <w:rsid w:val="00CA7572"/>
    <w:rsid w:val="00CA7F74"/>
    <w:rsid w:val="00CB0C32"/>
    <w:rsid w:val="00CB1248"/>
    <w:rsid w:val="00CB16D2"/>
    <w:rsid w:val="00CB1DFC"/>
    <w:rsid w:val="00CB2A32"/>
    <w:rsid w:val="00CB2D65"/>
    <w:rsid w:val="00CB6246"/>
    <w:rsid w:val="00CC0759"/>
    <w:rsid w:val="00CC2D1E"/>
    <w:rsid w:val="00CC3160"/>
    <w:rsid w:val="00CC4243"/>
    <w:rsid w:val="00CD2DBF"/>
    <w:rsid w:val="00CD4E24"/>
    <w:rsid w:val="00CD6207"/>
    <w:rsid w:val="00CD72A6"/>
    <w:rsid w:val="00CE39B8"/>
    <w:rsid w:val="00CE4A83"/>
    <w:rsid w:val="00CE525E"/>
    <w:rsid w:val="00CF1591"/>
    <w:rsid w:val="00CF1689"/>
    <w:rsid w:val="00CF4344"/>
    <w:rsid w:val="00CF5164"/>
    <w:rsid w:val="00CF55E6"/>
    <w:rsid w:val="00CF566C"/>
    <w:rsid w:val="00CF5B88"/>
    <w:rsid w:val="00CF72D7"/>
    <w:rsid w:val="00D00689"/>
    <w:rsid w:val="00D014A6"/>
    <w:rsid w:val="00D015A4"/>
    <w:rsid w:val="00D02F69"/>
    <w:rsid w:val="00D044FB"/>
    <w:rsid w:val="00D108BF"/>
    <w:rsid w:val="00D1092B"/>
    <w:rsid w:val="00D11DB8"/>
    <w:rsid w:val="00D125FE"/>
    <w:rsid w:val="00D13164"/>
    <w:rsid w:val="00D1423F"/>
    <w:rsid w:val="00D167D0"/>
    <w:rsid w:val="00D177A0"/>
    <w:rsid w:val="00D17DE2"/>
    <w:rsid w:val="00D20092"/>
    <w:rsid w:val="00D2069B"/>
    <w:rsid w:val="00D2293A"/>
    <w:rsid w:val="00D22E65"/>
    <w:rsid w:val="00D22EAF"/>
    <w:rsid w:val="00D2430E"/>
    <w:rsid w:val="00D251B7"/>
    <w:rsid w:val="00D2717B"/>
    <w:rsid w:val="00D306C9"/>
    <w:rsid w:val="00D3078B"/>
    <w:rsid w:val="00D3118E"/>
    <w:rsid w:val="00D31995"/>
    <w:rsid w:val="00D34BC5"/>
    <w:rsid w:val="00D36BA1"/>
    <w:rsid w:val="00D36C76"/>
    <w:rsid w:val="00D36FA7"/>
    <w:rsid w:val="00D37F07"/>
    <w:rsid w:val="00D41BB8"/>
    <w:rsid w:val="00D432BC"/>
    <w:rsid w:val="00D444E3"/>
    <w:rsid w:val="00D52AFA"/>
    <w:rsid w:val="00D5566B"/>
    <w:rsid w:val="00D57CA5"/>
    <w:rsid w:val="00D605D2"/>
    <w:rsid w:val="00D6102D"/>
    <w:rsid w:val="00D63381"/>
    <w:rsid w:val="00D643F8"/>
    <w:rsid w:val="00D677E1"/>
    <w:rsid w:val="00D67892"/>
    <w:rsid w:val="00D7119E"/>
    <w:rsid w:val="00D71BF6"/>
    <w:rsid w:val="00D72355"/>
    <w:rsid w:val="00D7590F"/>
    <w:rsid w:val="00D75ED8"/>
    <w:rsid w:val="00D8032A"/>
    <w:rsid w:val="00D85001"/>
    <w:rsid w:val="00D852A9"/>
    <w:rsid w:val="00D85656"/>
    <w:rsid w:val="00D96A00"/>
    <w:rsid w:val="00DA0143"/>
    <w:rsid w:val="00DA0378"/>
    <w:rsid w:val="00DA0EA5"/>
    <w:rsid w:val="00DA1664"/>
    <w:rsid w:val="00DA258B"/>
    <w:rsid w:val="00DA33AC"/>
    <w:rsid w:val="00DA4D73"/>
    <w:rsid w:val="00DA5437"/>
    <w:rsid w:val="00DB13D3"/>
    <w:rsid w:val="00DB2247"/>
    <w:rsid w:val="00DB62E8"/>
    <w:rsid w:val="00DB65A3"/>
    <w:rsid w:val="00DB78FC"/>
    <w:rsid w:val="00DB7E4B"/>
    <w:rsid w:val="00DC0F37"/>
    <w:rsid w:val="00DC18AE"/>
    <w:rsid w:val="00DC57CD"/>
    <w:rsid w:val="00DC58F4"/>
    <w:rsid w:val="00DC5BFB"/>
    <w:rsid w:val="00DC6912"/>
    <w:rsid w:val="00DD3695"/>
    <w:rsid w:val="00DD3EA6"/>
    <w:rsid w:val="00DD4CC0"/>
    <w:rsid w:val="00DD588C"/>
    <w:rsid w:val="00DD5CF9"/>
    <w:rsid w:val="00DD7706"/>
    <w:rsid w:val="00DE0022"/>
    <w:rsid w:val="00DE019E"/>
    <w:rsid w:val="00DE08B3"/>
    <w:rsid w:val="00DE1D8B"/>
    <w:rsid w:val="00DE251A"/>
    <w:rsid w:val="00DE29A8"/>
    <w:rsid w:val="00DE2C1D"/>
    <w:rsid w:val="00DE4533"/>
    <w:rsid w:val="00DE49E1"/>
    <w:rsid w:val="00DE596C"/>
    <w:rsid w:val="00DE7206"/>
    <w:rsid w:val="00DF0CB9"/>
    <w:rsid w:val="00DF172C"/>
    <w:rsid w:val="00DF1CC2"/>
    <w:rsid w:val="00DF5286"/>
    <w:rsid w:val="00DF7FFC"/>
    <w:rsid w:val="00E01D1F"/>
    <w:rsid w:val="00E055E6"/>
    <w:rsid w:val="00E05B3F"/>
    <w:rsid w:val="00E06A9D"/>
    <w:rsid w:val="00E06FBE"/>
    <w:rsid w:val="00E07146"/>
    <w:rsid w:val="00E0783E"/>
    <w:rsid w:val="00E15F80"/>
    <w:rsid w:val="00E16170"/>
    <w:rsid w:val="00E206B7"/>
    <w:rsid w:val="00E23775"/>
    <w:rsid w:val="00E238C6"/>
    <w:rsid w:val="00E26DB0"/>
    <w:rsid w:val="00E277FE"/>
    <w:rsid w:val="00E315FC"/>
    <w:rsid w:val="00E345A7"/>
    <w:rsid w:val="00E352A5"/>
    <w:rsid w:val="00E364A7"/>
    <w:rsid w:val="00E36B78"/>
    <w:rsid w:val="00E40C21"/>
    <w:rsid w:val="00E40DD3"/>
    <w:rsid w:val="00E410F8"/>
    <w:rsid w:val="00E41313"/>
    <w:rsid w:val="00E433F1"/>
    <w:rsid w:val="00E442CC"/>
    <w:rsid w:val="00E46236"/>
    <w:rsid w:val="00E47469"/>
    <w:rsid w:val="00E508A5"/>
    <w:rsid w:val="00E54D09"/>
    <w:rsid w:val="00E5573E"/>
    <w:rsid w:val="00E570B7"/>
    <w:rsid w:val="00E573AC"/>
    <w:rsid w:val="00E579E2"/>
    <w:rsid w:val="00E6120F"/>
    <w:rsid w:val="00E63092"/>
    <w:rsid w:val="00E6329D"/>
    <w:rsid w:val="00E65AC2"/>
    <w:rsid w:val="00E66116"/>
    <w:rsid w:val="00E74653"/>
    <w:rsid w:val="00E7489D"/>
    <w:rsid w:val="00E753E2"/>
    <w:rsid w:val="00E7548B"/>
    <w:rsid w:val="00E75C04"/>
    <w:rsid w:val="00E768ED"/>
    <w:rsid w:val="00E76C1B"/>
    <w:rsid w:val="00E7711C"/>
    <w:rsid w:val="00E773FF"/>
    <w:rsid w:val="00E77A3D"/>
    <w:rsid w:val="00E80627"/>
    <w:rsid w:val="00E817BE"/>
    <w:rsid w:val="00E82472"/>
    <w:rsid w:val="00E9298A"/>
    <w:rsid w:val="00E93293"/>
    <w:rsid w:val="00E93EE9"/>
    <w:rsid w:val="00E956CF"/>
    <w:rsid w:val="00EA114E"/>
    <w:rsid w:val="00EA1341"/>
    <w:rsid w:val="00EA1B2E"/>
    <w:rsid w:val="00EA1C66"/>
    <w:rsid w:val="00EA62AE"/>
    <w:rsid w:val="00EA73F8"/>
    <w:rsid w:val="00EB09A8"/>
    <w:rsid w:val="00EB4D1D"/>
    <w:rsid w:val="00EC21BE"/>
    <w:rsid w:val="00EC3938"/>
    <w:rsid w:val="00EC4D13"/>
    <w:rsid w:val="00EC4F17"/>
    <w:rsid w:val="00EC643A"/>
    <w:rsid w:val="00EC6B5C"/>
    <w:rsid w:val="00ED244D"/>
    <w:rsid w:val="00ED7ED8"/>
    <w:rsid w:val="00ED7F43"/>
    <w:rsid w:val="00EE0E86"/>
    <w:rsid w:val="00EE2FBA"/>
    <w:rsid w:val="00EE36E8"/>
    <w:rsid w:val="00EE49E7"/>
    <w:rsid w:val="00EE54B9"/>
    <w:rsid w:val="00EE5A67"/>
    <w:rsid w:val="00EF11B5"/>
    <w:rsid w:val="00EF4E2A"/>
    <w:rsid w:val="00EF53BF"/>
    <w:rsid w:val="00EF5E63"/>
    <w:rsid w:val="00F0134F"/>
    <w:rsid w:val="00F0366B"/>
    <w:rsid w:val="00F04ADD"/>
    <w:rsid w:val="00F05DDD"/>
    <w:rsid w:val="00F07DC3"/>
    <w:rsid w:val="00F07E01"/>
    <w:rsid w:val="00F1198E"/>
    <w:rsid w:val="00F12B0C"/>
    <w:rsid w:val="00F138F0"/>
    <w:rsid w:val="00F13AC6"/>
    <w:rsid w:val="00F14231"/>
    <w:rsid w:val="00F15CD5"/>
    <w:rsid w:val="00F16059"/>
    <w:rsid w:val="00F16393"/>
    <w:rsid w:val="00F173CC"/>
    <w:rsid w:val="00F20C42"/>
    <w:rsid w:val="00F210BE"/>
    <w:rsid w:val="00F21464"/>
    <w:rsid w:val="00F2533F"/>
    <w:rsid w:val="00F306EF"/>
    <w:rsid w:val="00F30EEE"/>
    <w:rsid w:val="00F33E47"/>
    <w:rsid w:val="00F3483C"/>
    <w:rsid w:val="00F348CF"/>
    <w:rsid w:val="00F35E47"/>
    <w:rsid w:val="00F36D7A"/>
    <w:rsid w:val="00F37592"/>
    <w:rsid w:val="00F37B4F"/>
    <w:rsid w:val="00F400A4"/>
    <w:rsid w:val="00F400EF"/>
    <w:rsid w:val="00F41EF2"/>
    <w:rsid w:val="00F42218"/>
    <w:rsid w:val="00F43D14"/>
    <w:rsid w:val="00F43EEF"/>
    <w:rsid w:val="00F4572A"/>
    <w:rsid w:val="00F45ABD"/>
    <w:rsid w:val="00F4635E"/>
    <w:rsid w:val="00F46CFF"/>
    <w:rsid w:val="00F47F82"/>
    <w:rsid w:val="00F50E96"/>
    <w:rsid w:val="00F515E6"/>
    <w:rsid w:val="00F52BFF"/>
    <w:rsid w:val="00F538A1"/>
    <w:rsid w:val="00F53E64"/>
    <w:rsid w:val="00F540B3"/>
    <w:rsid w:val="00F545EB"/>
    <w:rsid w:val="00F56218"/>
    <w:rsid w:val="00F56615"/>
    <w:rsid w:val="00F601E2"/>
    <w:rsid w:val="00F64B31"/>
    <w:rsid w:val="00F676E2"/>
    <w:rsid w:val="00F70D17"/>
    <w:rsid w:val="00F71556"/>
    <w:rsid w:val="00F72E68"/>
    <w:rsid w:val="00F73845"/>
    <w:rsid w:val="00F76366"/>
    <w:rsid w:val="00F82439"/>
    <w:rsid w:val="00F834B3"/>
    <w:rsid w:val="00F85300"/>
    <w:rsid w:val="00F866F9"/>
    <w:rsid w:val="00F87AFD"/>
    <w:rsid w:val="00F90A25"/>
    <w:rsid w:val="00F90B8D"/>
    <w:rsid w:val="00F92588"/>
    <w:rsid w:val="00F92885"/>
    <w:rsid w:val="00F93B56"/>
    <w:rsid w:val="00F95918"/>
    <w:rsid w:val="00F95BEA"/>
    <w:rsid w:val="00FA1B12"/>
    <w:rsid w:val="00FA1ED8"/>
    <w:rsid w:val="00FA35D8"/>
    <w:rsid w:val="00FB0353"/>
    <w:rsid w:val="00FB5748"/>
    <w:rsid w:val="00FB5DAB"/>
    <w:rsid w:val="00FB67B6"/>
    <w:rsid w:val="00FB6ACA"/>
    <w:rsid w:val="00FC2C83"/>
    <w:rsid w:val="00FC3883"/>
    <w:rsid w:val="00FC3E07"/>
    <w:rsid w:val="00FC4942"/>
    <w:rsid w:val="00FC6061"/>
    <w:rsid w:val="00FD0EEF"/>
    <w:rsid w:val="00FD2908"/>
    <w:rsid w:val="00FD3AC0"/>
    <w:rsid w:val="00FD59F8"/>
    <w:rsid w:val="00FD662D"/>
    <w:rsid w:val="00FD7896"/>
    <w:rsid w:val="00FE0749"/>
    <w:rsid w:val="00FE0D43"/>
    <w:rsid w:val="00FE13CD"/>
    <w:rsid w:val="00FE1564"/>
    <w:rsid w:val="00FE19A6"/>
    <w:rsid w:val="00FE1E79"/>
    <w:rsid w:val="00FE4CD1"/>
    <w:rsid w:val="00FE5BFC"/>
    <w:rsid w:val="00FE66E2"/>
    <w:rsid w:val="00FF2332"/>
    <w:rsid w:val="00FF302B"/>
    <w:rsid w:val="00FF4975"/>
    <w:rsid w:val="00FF4A25"/>
    <w:rsid w:val="00FF4D6B"/>
    <w:rsid w:val="00FF52CA"/>
    <w:rsid w:val="00FF5897"/>
    <w:rsid w:val="00FF5FE1"/>
    <w:rsid w:val="00FF6A46"/>
    <w:rsid w:val="00FF7A53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83BD53"/>
  <w15:docId w15:val="{1AF9A15B-841F-4982-BB75-53A658D84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1"/>
        <w:sz w:val="22"/>
        <w:szCs w:val="22"/>
        <w:lang w:val="en-AU" w:eastAsia="en-US" w:bidi="ar-SA"/>
      </w:rPr>
    </w:rPrDefault>
    <w:pPrDefault>
      <w:pPr>
        <w:spacing w:before="120" w:after="120"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2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EC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7616"/>
    <w:pPr>
      <w:keepNext/>
      <w:keepLines/>
      <w:spacing w:before="360"/>
      <w:contextualSpacing/>
      <w:outlineLvl w:val="0"/>
    </w:pPr>
    <w:rPr>
      <w:rFonts w:asciiTheme="majorHAnsi" w:hAnsiTheme="majorHAnsi"/>
      <w:b/>
      <w:sz w:val="30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7D302D"/>
    <w:pPr>
      <w:keepNext/>
      <w:keepLines/>
      <w:spacing w:before="240"/>
      <w:contextualSpacing/>
      <w:outlineLvl w:val="1"/>
    </w:pPr>
    <w:rPr>
      <w:rFonts w:asciiTheme="majorHAnsi" w:hAnsiTheme="majorHAnsi"/>
      <w:b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2648F"/>
    <w:pPr>
      <w:keepNext/>
      <w:keepLines/>
      <w:spacing w:before="240"/>
      <w:contextualSpacing/>
      <w:outlineLvl w:val="2"/>
    </w:pPr>
    <w:rPr>
      <w:rFonts w:asciiTheme="majorHAnsi" w:hAnsiTheme="majorHAnsi"/>
      <w:b/>
      <w:color w:val="auto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7D302D"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rsid w:val="00A2648F"/>
    <w:pPr>
      <w:keepNext/>
      <w:keepLines/>
      <w:spacing w:before="240"/>
      <w:contextualSpacing/>
      <w:outlineLvl w:val="4"/>
    </w:pPr>
    <w:rPr>
      <w:rFonts w:asciiTheme="majorHAnsi" w:eastAsiaTheme="majorEastAsia" w:hAnsiTheme="majorHAnsi" w:cstheme="majorBidi"/>
      <w:b/>
      <w:i/>
      <w:color w:val="auto"/>
    </w:rPr>
  </w:style>
  <w:style w:type="paragraph" w:styleId="Heading6">
    <w:name w:val="heading 6"/>
    <w:basedOn w:val="Normal"/>
    <w:next w:val="Normal"/>
    <w:link w:val="Heading6Char"/>
    <w:uiPriority w:val="9"/>
    <w:rsid w:val="00A2648F"/>
    <w:pPr>
      <w:keepNext/>
      <w:keepLines/>
      <w:spacing w:before="240"/>
      <w:contextualSpacing/>
      <w:outlineLvl w:val="5"/>
    </w:pPr>
    <w:rPr>
      <w:rFonts w:asciiTheme="majorHAnsi" w:eastAsiaTheme="majorEastAsia" w:hAnsiTheme="majorHAnsi" w:cstheme="majorBidi"/>
      <w:i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4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8"/>
    <w:rsid w:val="0077172B"/>
    <w:pPr>
      <w:spacing w:before="0" w:after="0" w:line="240" w:lineRule="auto"/>
      <w:ind w:right="567"/>
    </w:pPr>
    <w:rPr>
      <w:b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8"/>
    <w:rsid w:val="0077172B"/>
    <w:rPr>
      <w:b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7F"/>
    <w:rPr>
      <w:rFonts w:ascii="Tahoma" w:eastAsia="MS Mincho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11EC4"/>
    <w:pPr>
      <w:tabs>
        <w:tab w:val="center" w:pos="4513"/>
        <w:tab w:val="right" w:pos="9026"/>
      </w:tabs>
      <w:spacing w:before="0"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C11EC4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E74653"/>
    <w:pPr>
      <w:tabs>
        <w:tab w:val="right" w:pos="10206"/>
      </w:tabs>
      <w:spacing w:before="0"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74653"/>
    <w:rPr>
      <w:sz w:val="18"/>
    </w:rPr>
  </w:style>
  <w:style w:type="paragraph" w:styleId="Title">
    <w:name w:val="Title"/>
    <w:basedOn w:val="Normal"/>
    <w:link w:val="TitleChar"/>
    <w:uiPriority w:val="17"/>
    <w:rsid w:val="0077172B"/>
    <w:pPr>
      <w:spacing w:before="0" w:after="240" w:line="240" w:lineRule="auto"/>
      <w:ind w:right="567"/>
      <w:contextualSpacing/>
    </w:pPr>
    <w:rPr>
      <w:sz w:val="56"/>
      <w:szCs w:val="82"/>
    </w:rPr>
  </w:style>
  <w:style w:type="character" w:customStyle="1" w:styleId="TitleChar">
    <w:name w:val="Title Char"/>
    <w:basedOn w:val="DefaultParagraphFont"/>
    <w:link w:val="Title"/>
    <w:uiPriority w:val="17"/>
    <w:rsid w:val="0077172B"/>
    <w:rPr>
      <w:sz w:val="56"/>
      <w:szCs w:val="82"/>
    </w:rPr>
  </w:style>
  <w:style w:type="paragraph" w:customStyle="1" w:styleId="Address">
    <w:name w:val="Address"/>
    <w:basedOn w:val="Normal"/>
    <w:semiHidden/>
    <w:rsid w:val="00191178"/>
    <w:pPr>
      <w:spacing w:before="0" w:after="0"/>
    </w:pPr>
    <w:rPr>
      <w:b/>
      <w:color w:val="421A7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317616"/>
    <w:rPr>
      <w:rFonts w:asciiTheme="majorHAnsi" w:hAnsiTheme="majorHAnsi"/>
      <w:b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D302D"/>
    <w:rPr>
      <w:rFonts w:asciiTheme="majorHAnsi" w:hAnsiTheme="majorHAnsi"/>
      <w:b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2648F"/>
    <w:rPr>
      <w:rFonts w:asciiTheme="majorHAnsi" w:hAnsiTheme="majorHAnsi"/>
      <w:b/>
      <w:color w:val="auto"/>
      <w:sz w:val="22"/>
    </w:rPr>
  </w:style>
  <w:style w:type="paragraph" w:styleId="TOCHeading">
    <w:name w:val="TOC Heading"/>
    <w:basedOn w:val="Heading1"/>
    <w:next w:val="Normal"/>
    <w:uiPriority w:val="39"/>
    <w:rsid w:val="00FF52CA"/>
    <w:pPr>
      <w:spacing w:after="1080"/>
      <w:outlineLvl w:val="9"/>
    </w:pPr>
    <w:rPr>
      <w:rFonts w:eastAsiaTheme="majorEastAsia" w:cstheme="majorBidi"/>
      <w:bCs/>
      <w:sz w:val="64"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C5647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4D0DC8"/>
    <w:pPr>
      <w:spacing w:before="0" w:after="0" w:line="240" w:lineRule="auto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0DC8"/>
    <w:rPr>
      <w:sz w:val="14"/>
    </w:rPr>
  </w:style>
  <w:style w:type="character" w:styleId="Hyperlink">
    <w:name w:val="Hyperlink"/>
    <w:basedOn w:val="DefaultParagraphFont"/>
    <w:uiPriority w:val="99"/>
    <w:unhideWhenUsed/>
    <w:qFormat/>
    <w:rsid w:val="005F110C"/>
    <w:rPr>
      <w:b w:val="0"/>
      <w:color w:val="282EA0"/>
      <w:u w:val="single"/>
    </w:rPr>
  </w:style>
  <w:style w:type="paragraph" w:styleId="ListBullet">
    <w:name w:val="List Bullet"/>
    <w:basedOn w:val="Normal"/>
    <w:uiPriority w:val="2"/>
    <w:qFormat/>
    <w:rsid w:val="008B1EDB"/>
    <w:pPr>
      <w:numPr>
        <w:numId w:val="4"/>
      </w:numPr>
    </w:pPr>
    <w:rPr>
      <w:rFonts w:eastAsia="Times New Roman"/>
      <w:lang w:eastAsia="en-AU"/>
    </w:rPr>
  </w:style>
  <w:style w:type="paragraph" w:styleId="ListNumber">
    <w:name w:val="List Number"/>
    <w:basedOn w:val="Normal"/>
    <w:uiPriority w:val="2"/>
    <w:qFormat/>
    <w:rsid w:val="00F71556"/>
    <w:pPr>
      <w:numPr>
        <w:numId w:val="2"/>
      </w:numPr>
    </w:pPr>
    <w:rPr>
      <w:rFonts w:eastAsia="Times New Roman"/>
      <w:lang w:eastAsia="en-AU"/>
    </w:rPr>
  </w:style>
  <w:style w:type="table" w:customStyle="1" w:styleId="SQHTable">
    <w:name w:val="SQH Table"/>
    <w:basedOn w:val="TableNormal"/>
    <w:uiPriority w:val="99"/>
    <w:rsid w:val="001E509D"/>
    <w:pPr>
      <w:spacing w:line="240" w:lineRule="auto"/>
    </w:pPr>
    <w:rPr>
      <w:sz w:val="20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cantSplit/>
    </w:trPr>
    <w:tcPr>
      <w:shd w:val="clear" w:color="auto" w:fill="F0E8FE" w:themeFill="background2"/>
    </w:tcPr>
    <w:tblStylePr w:type="firstRow">
      <w:pPr>
        <w:jc w:val="left"/>
      </w:pPr>
      <w:rPr>
        <w:b/>
        <w:color w:val="FFFFFF" w:themeColor="background1"/>
        <w:sz w:val="20"/>
      </w:rPr>
      <w:tblPr/>
      <w:trPr>
        <w:tblHeader/>
      </w:tr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421A75" w:themeFill="accent1"/>
        <w:vAlign w:val="center"/>
      </w:tcPr>
    </w:tblStylePr>
    <w:tblStylePr w:type="band2Horz">
      <w:tblPr/>
      <w:tcPr>
        <w:shd w:val="clear" w:color="auto" w:fill="F0E8FE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8C3C5D"/>
    <w:pPr>
      <w:tabs>
        <w:tab w:val="right" w:pos="9174"/>
      </w:tabs>
      <w:spacing w:before="360" w:line="240" w:lineRule="auto"/>
    </w:pPr>
    <w:rPr>
      <w:b/>
    </w:rPr>
  </w:style>
  <w:style w:type="table" w:styleId="LightShading-Accent1">
    <w:name w:val="Light Shading Accent 1"/>
    <w:basedOn w:val="TableNormal"/>
    <w:uiPriority w:val="60"/>
    <w:rsid w:val="00056BC0"/>
    <w:rPr>
      <w:color w:val="311357" w:themeColor="accent1" w:themeShade="BF"/>
    </w:rPr>
    <w:tblPr>
      <w:tblStyleRowBandSize w:val="1"/>
      <w:tblStyleColBandSize w:val="1"/>
      <w:tblBorders>
        <w:top w:val="single" w:sz="8" w:space="0" w:color="421A75" w:themeColor="accent1"/>
        <w:bottom w:val="single" w:sz="8" w:space="0" w:color="421A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1A75" w:themeColor="accent1"/>
          <w:left w:val="nil"/>
          <w:bottom w:val="single" w:sz="8" w:space="0" w:color="421A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1A75" w:themeColor="accent1"/>
          <w:left w:val="nil"/>
          <w:bottom w:val="single" w:sz="8" w:space="0" w:color="421A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B4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B4EE" w:themeFill="accent1" w:themeFillTint="3F"/>
      </w:tcPr>
    </w:tblStylePr>
  </w:style>
  <w:style w:type="table" w:styleId="MediumShading2">
    <w:name w:val="Medium Shading 2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1A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1A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1A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rsid w:val="008C3C5D"/>
    <w:pPr>
      <w:pBdr>
        <w:bottom w:val="single" w:sz="4" w:space="4" w:color="D3BBFD" w:themeColor="text2"/>
        <w:between w:val="single" w:sz="4" w:space="4" w:color="D3BBFD" w:themeColor="text2"/>
      </w:pBdr>
      <w:tabs>
        <w:tab w:val="right" w:pos="9174"/>
      </w:tabs>
      <w:spacing w:before="0" w:after="0" w:line="240" w:lineRule="auto"/>
    </w:pPr>
    <w:rPr>
      <w:noProof/>
    </w:rPr>
  </w:style>
  <w:style w:type="paragraph" w:styleId="ListBullet2">
    <w:name w:val="List Bullet 2"/>
    <w:basedOn w:val="Normal"/>
    <w:uiPriority w:val="2"/>
    <w:semiHidden/>
    <w:qFormat/>
    <w:rsid w:val="008B1EDB"/>
    <w:pPr>
      <w:numPr>
        <w:ilvl w:val="1"/>
        <w:numId w:val="4"/>
      </w:numPr>
    </w:pPr>
    <w:rPr>
      <w:rFonts w:eastAsia="Times New Roman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7D302D"/>
    <w:rPr>
      <w:rFonts w:asciiTheme="majorHAnsi" w:eastAsiaTheme="majorEastAsia" w:hAnsiTheme="majorHAnsi" w:cstheme="majorBidi"/>
      <w:b/>
      <w:i/>
      <w:iCs/>
    </w:rPr>
  </w:style>
  <w:style w:type="paragraph" w:styleId="ListBullet3">
    <w:name w:val="List Bullet 3"/>
    <w:basedOn w:val="Normal"/>
    <w:uiPriority w:val="2"/>
    <w:semiHidden/>
    <w:rsid w:val="008B1EDB"/>
    <w:pPr>
      <w:numPr>
        <w:ilvl w:val="2"/>
        <w:numId w:val="4"/>
      </w:numPr>
    </w:pPr>
    <w:rPr>
      <w:rFonts w:eastAsia="Times New Roman"/>
      <w:lang w:eastAsia="en-AU"/>
    </w:rPr>
  </w:style>
  <w:style w:type="paragraph" w:styleId="ListBullet4">
    <w:name w:val="List Bullet 4"/>
    <w:basedOn w:val="Normal"/>
    <w:uiPriority w:val="2"/>
    <w:semiHidden/>
    <w:rsid w:val="008B1EDB"/>
    <w:pPr>
      <w:numPr>
        <w:ilvl w:val="3"/>
        <w:numId w:val="4"/>
      </w:numPr>
    </w:pPr>
    <w:rPr>
      <w:rFonts w:eastAsia="Times New Roman"/>
      <w:lang w:eastAsia="en-AU"/>
    </w:rPr>
  </w:style>
  <w:style w:type="paragraph" w:styleId="ListBullet5">
    <w:name w:val="List Bullet 5"/>
    <w:basedOn w:val="Normal"/>
    <w:uiPriority w:val="2"/>
    <w:semiHidden/>
    <w:rsid w:val="008B1EDB"/>
    <w:pPr>
      <w:numPr>
        <w:ilvl w:val="4"/>
        <w:numId w:val="4"/>
      </w:numPr>
    </w:pPr>
    <w:rPr>
      <w:rFonts w:eastAsia="Times New Roman"/>
      <w:lang w:eastAsia="en-AU"/>
    </w:rPr>
  </w:style>
  <w:style w:type="paragraph" w:styleId="ListNumber2">
    <w:name w:val="List Number 2"/>
    <w:basedOn w:val="Normal"/>
    <w:uiPriority w:val="2"/>
    <w:semiHidden/>
    <w:rsid w:val="00F71556"/>
    <w:pPr>
      <w:numPr>
        <w:ilvl w:val="1"/>
        <w:numId w:val="2"/>
      </w:numPr>
    </w:pPr>
    <w:rPr>
      <w:rFonts w:eastAsia="Times New Roman"/>
      <w:lang w:eastAsia="en-AU"/>
    </w:rPr>
  </w:style>
  <w:style w:type="paragraph" w:styleId="ListNumber3">
    <w:name w:val="List Number 3"/>
    <w:basedOn w:val="Normal"/>
    <w:uiPriority w:val="2"/>
    <w:semiHidden/>
    <w:rsid w:val="00F71556"/>
    <w:pPr>
      <w:numPr>
        <w:ilvl w:val="2"/>
        <w:numId w:val="2"/>
      </w:numPr>
    </w:pPr>
    <w:rPr>
      <w:rFonts w:eastAsia="Times New Roman"/>
      <w:lang w:eastAsia="en-AU"/>
    </w:rPr>
  </w:style>
  <w:style w:type="paragraph" w:styleId="ListNumber4">
    <w:name w:val="List Number 4"/>
    <w:basedOn w:val="Normal"/>
    <w:uiPriority w:val="2"/>
    <w:semiHidden/>
    <w:rsid w:val="00F71556"/>
    <w:pPr>
      <w:numPr>
        <w:ilvl w:val="3"/>
        <w:numId w:val="2"/>
      </w:numPr>
    </w:pPr>
    <w:rPr>
      <w:rFonts w:eastAsia="Times New Roman"/>
      <w:lang w:eastAsia="en-AU"/>
    </w:rPr>
  </w:style>
  <w:style w:type="paragraph" w:styleId="ListNumber5">
    <w:name w:val="List Number 5"/>
    <w:basedOn w:val="Normal"/>
    <w:uiPriority w:val="2"/>
    <w:semiHidden/>
    <w:rsid w:val="00F71556"/>
    <w:pPr>
      <w:numPr>
        <w:ilvl w:val="4"/>
        <w:numId w:val="2"/>
      </w:numPr>
    </w:pPr>
    <w:rPr>
      <w:rFonts w:eastAsia="Times New Roman"/>
      <w:lang w:eastAsia="en-AU"/>
    </w:rPr>
  </w:style>
  <w:style w:type="paragraph" w:styleId="List">
    <w:name w:val="List"/>
    <w:aliases w:val="Letter"/>
    <w:basedOn w:val="Normal"/>
    <w:uiPriority w:val="2"/>
    <w:rsid w:val="00F71556"/>
    <w:pPr>
      <w:numPr>
        <w:numId w:val="1"/>
      </w:numPr>
    </w:pPr>
    <w:rPr>
      <w:rFonts w:eastAsia="Times New Roman"/>
      <w:lang w:eastAsia="en-AU"/>
    </w:rPr>
  </w:style>
  <w:style w:type="paragraph" w:customStyle="1" w:styleId="SectionHeading">
    <w:name w:val="Section Heading"/>
    <w:basedOn w:val="Normal"/>
    <w:uiPriority w:val="8"/>
    <w:rsid w:val="00907414"/>
    <w:pPr>
      <w:spacing w:before="0" w:after="0" w:line="240" w:lineRule="auto"/>
      <w:ind w:right="450"/>
    </w:pPr>
    <w:rPr>
      <w:rFonts w:asciiTheme="majorHAnsi" w:hAnsiTheme="majorHAnsi"/>
      <w:color w:val="auto"/>
      <w:sz w:val="64"/>
      <w:szCs w:val="60"/>
    </w:rPr>
  </w:style>
  <w:style w:type="paragraph" w:styleId="Caption">
    <w:name w:val="caption"/>
    <w:basedOn w:val="Normal"/>
    <w:next w:val="Normal"/>
    <w:link w:val="CaptionChar"/>
    <w:autoRedefine/>
    <w:uiPriority w:val="12"/>
    <w:qFormat/>
    <w:rsid w:val="004438AC"/>
    <w:pPr>
      <w:keepNext/>
      <w:keepLines/>
      <w:numPr>
        <w:numId w:val="3"/>
      </w:numPr>
      <w:spacing w:before="360" w:line="240" w:lineRule="auto"/>
      <w:contextualSpacing/>
    </w:pPr>
    <w:rPr>
      <w:iCs/>
      <w:sz w:val="20"/>
    </w:rPr>
  </w:style>
  <w:style w:type="character" w:styleId="PlaceholderText">
    <w:name w:val="Placeholder Text"/>
    <w:basedOn w:val="DefaultParagraphFont"/>
    <w:uiPriority w:val="99"/>
    <w:semiHidden/>
    <w:rsid w:val="00D02F69"/>
    <w:rPr>
      <w:color w:val="666666"/>
    </w:rPr>
  </w:style>
  <w:style w:type="paragraph" w:styleId="TOC3">
    <w:name w:val="toc 3"/>
    <w:basedOn w:val="Normal"/>
    <w:next w:val="Normal"/>
    <w:autoRedefine/>
    <w:uiPriority w:val="39"/>
    <w:unhideWhenUsed/>
    <w:rsid w:val="005F36C3"/>
    <w:pPr>
      <w:spacing w:line="240" w:lineRule="auto"/>
      <w:ind w:left="357"/>
      <w:contextualSpacing/>
    </w:pPr>
  </w:style>
  <w:style w:type="table" w:styleId="GridTable3">
    <w:name w:val="Grid Table 3"/>
    <w:basedOn w:val="TableNormal"/>
    <w:uiPriority w:val="48"/>
    <w:rsid w:val="0080304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2">
    <w:name w:val="List Table 2"/>
    <w:basedOn w:val="TableNormal"/>
    <w:uiPriority w:val="47"/>
    <w:rsid w:val="0080304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4">
    <w:name w:val="List Table 2 Accent 4"/>
    <w:basedOn w:val="TableNormal"/>
    <w:uiPriority w:val="47"/>
    <w:rsid w:val="007531C4"/>
    <w:tblPr>
      <w:tblStyleRowBandSize w:val="1"/>
      <w:tblStyleColBandSize w:val="1"/>
      <w:tblBorders>
        <w:top w:val="single" w:sz="4" w:space="0" w:color="D2BBFC" w:themeColor="accent4" w:themeTint="99"/>
        <w:bottom w:val="single" w:sz="4" w:space="0" w:color="D2BBFC" w:themeColor="accent4" w:themeTint="99"/>
        <w:insideH w:val="single" w:sz="4" w:space="0" w:color="D2BBF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8FE" w:themeFill="accent4" w:themeFillTint="33"/>
      </w:tcPr>
    </w:tblStylePr>
    <w:tblStylePr w:type="band1Horz">
      <w:tblPr/>
      <w:tcPr>
        <w:shd w:val="clear" w:color="auto" w:fill="EFE8FE" w:themeFill="accent4" w:themeFillTint="33"/>
      </w:tcPr>
    </w:tblStylePr>
  </w:style>
  <w:style w:type="paragraph" w:styleId="Date">
    <w:name w:val="Date"/>
    <w:basedOn w:val="Normal"/>
    <w:next w:val="Normal"/>
    <w:link w:val="DateChar"/>
    <w:uiPriority w:val="99"/>
    <w:rsid w:val="00907D31"/>
    <w:pPr>
      <w:spacing w:before="0" w:after="0" w:line="320" w:lineRule="atLeast"/>
    </w:pPr>
    <w:rPr>
      <w:b/>
      <w:color w:val="FFFFFF" w:themeColor="background1"/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907D31"/>
    <w:rPr>
      <w:b/>
      <w:color w:val="FFFFFF" w:themeColor="background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2648F"/>
    <w:rPr>
      <w:rFonts w:asciiTheme="majorHAnsi" w:eastAsiaTheme="majorEastAsia" w:hAnsiTheme="majorHAnsi" w:cstheme="majorBidi"/>
      <w:b/>
      <w:i/>
      <w:color w:val="auto"/>
    </w:rPr>
  </w:style>
  <w:style w:type="character" w:customStyle="1" w:styleId="Heading6Char">
    <w:name w:val="Heading 6 Char"/>
    <w:basedOn w:val="DefaultParagraphFont"/>
    <w:link w:val="Heading6"/>
    <w:uiPriority w:val="9"/>
    <w:rsid w:val="00A2648F"/>
    <w:rPr>
      <w:rFonts w:asciiTheme="majorHAnsi" w:eastAsiaTheme="majorEastAsia" w:hAnsiTheme="majorHAnsi" w:cstheme="majorBidi"/>
      <w:i/>
      <w:color w:val="auto"/>
    </w:rPr>
  </w:style>
  <w:style w:type="paragraph" w:styleId="NoSpacing">
    <w:name w:val="No Spacing"/>
    <w:uiPriority w:val="1"/>
    <w:rsid w:val="003A5810"/>
    <w:pPr>
      <w:spacing w:before="0"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AC4B47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F400EF"/>
    <w:pPr>
      <w:spacing w:after="0" w:line="240" w:lineRule="auto"/>
    </w:pPr>
    <w:tblPr>
      <w:tblStyleRowBandSize w:val="1"/>
      <w:tblStyleColBandSize w:val="1"/>
      <w:tblBorders>
        <w:top w:val="single" w:sz="4" w:space="0" w:color="D2BBFC" w:themeColor="accent4" w:themeTint="99"/>
        <w:left w:val="single" w:sz="4" w:space="0" w:color="D2BBFC" w:themeColor="accent4" w:themeTint="99"/>
        <w:bottom w:val="single" w:sz="4" w:space="0" w:color="D2BBFC" w:themeColor="accent4" w:themeTint="99"/>
        <w:right w:val="single" w:sz="4" w:space="0" w:color="D2BBFC" w:themeColor="accent4" w:themeTint="99"/>
        <w:insideH w:val="single" w:sz="4" w:space="0" w:color="D2BBFC" w:themeColor="accent4" w:themeTint="99"/>
        <w:insideV w:val="single" w:sz="4" w:space="0" w:color="D2BBF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EFB" w:themeColor="accent4"/>
          <w:left w:val="single" w:sz="4" w:space="0" w:color="B58EFB" w:themeColor="accent4"/>
          <w:bottom w:val="single" w:sz="4" w:space="0" w:color="B58EFB" w:themeColor="accent4"/>
          <w:right w:val="single" w:sz="4" w:space="0" w:color="B58EFB" w:themeColor="accent4"/>
          <w:insideH w:val="nil"/>
          <w:insideV w:val="nil"/>
        </w:tcBorders>
        <w:shd w:val="clear" w:color="auto" w:fill="B58EFB" w:themeFill="accent4"/>
      </w:tcPr>
    </w:tblStylePr>
    <w:tblStylePr w:type="lastRow">
      <w:rPr>
        <w:b/>
        <w:bCs/>
      </w:rPr>
      <w:tblPr/>
      <w:tcPr>
        <w:tcBorders>
          <w:top w:val="double" w:sz="4" w:space="0" w:color="B58EF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8FE" w:themeFill="accent4" w:themeFillTint="33"/>
      </w:tcPr>
    </w:tblStylePr>
    <w:tblStylePr w:type="band1Horz">
      <w:tblPr/>
      <w:tcPr>
        <w:shd w:val="clear" w:color="auto" w:fill="EFE8FE" w:themeFill="accent4" w:themeFillTint="33"/>
      </w:tcPr>
    </w:tblStylePr>
  </w:style>
  <w:style w:type="paragraph" w:customStyle="1" w:styleId="BoxHeading">
    <w:name w:val="Box Heading"/>
    <w:basedOn w:val="Normal"/>
    <w:next w:val="Normal"/>
    <w:uiPriority w:val="10"/>
    <w:qFormat/>
    <w:rsid w:val="002B3C79"/>
    <w:rPr>
      <w:b/>
      <w:bCs/>
      <w:sz w:val="24"/>
      <w:szCs w:val="24"/>
    </w:rPr>
  </w:style>
  <w:style w:type="paragraph" w:customStyle="1" w:styleId="IntroPara">
    <w:name w:val="Intro Para"/>
    <w:basedOn w:val="Normal"/>
    <w:next w:val="Normal"/>
    <w:uiPriority w:val="11"/>
    <w:qFormat/>
    <w:rsid w:val="00BD5153"/>
    <w:pPr>
      <w:spacing w:before="360" w:after="360"/>
      <w:contextualSpacing/>
    </w:pPr>
    <w:rPr>
      <w:sz w:val="26"/>
      <w:szCs w:val="26"/>
    </w:rPr>
  </w:style>
  <w:style w:type="paragraph" w:customStyle="1" w:styleId="Tablecaption">
    <w:name w:val="Table caption"/>
    <w:basedOn w:val="Caption"/>
    <w:link w:val="TablecaptionChar"/>
    <w:autoRedefine/>
    <w:qFormat/>
    <w:rsid w:val="009C5BF4"/>
    <w:pPr>
      <w:numPr>
        <w:numId w:val="6"/>
      </w:numPr>
      <w:ind w:left="0" w:firstLine="0"/>
    </w:pPr>
    <w:rPr>
      <w:bCs/>
    </w:rPr>
  </w:style>
  <w:style w:type="character" w:customStyle="1" w:styleId="CaptionChar">
    <w:name w:val="Caption Char"/>
    <w:basedOn w:val="DefaultParagraphFont"/>
    <w:link w:val="Caption"/>
    <w:uiPriority w:val="12"/>
    <w:rsid w:val="004438AC"/>
    <w:rPr>
      <w:iCs/>
      <w:sz w:val="20"/>
    </w:rPr>
  </w:style>
  <w:style w:type="character" w:customStyle="1" w:styleId="TablecaptionChar">
    <w:name w:val="Table caption Char"/>
    <w:basedOn w:val="CaptionChar"/>
    <w:link w:val="Tablecaption"/>
    <w:rsid w:val="009C5BF4"/>
    <w:rPr>
      <w:bCs/>
      <w:iCs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04A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4A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4A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A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ADD"/>
    <w:rPr>
      <w:b/>
      <w:bCs/>
      <w:sz w:val="20"/>
      <w:szCs w:val="20"/>
    </w:rPr>
  </w:style>
  <w:style w:type="paragraph" w:customStyle="1" w:styleId="Bulletlist">
    <w:name w:val="Bullet list"/>
    <w:qFormat/>
    <w:rsid w:val="00F04ADD"/>
    <w:pPr>
      <w:numPr>
        <w:numId w:val="7"/>
      </w:numPr>
      <w:spacing w:before="0" w:after="200" w:line="240" w:lineRule="auto"/>
      <w:ind w:left="568" w:hanging="284"/>
      <w:contextualSpacing/>
    </w:pPr>
    <w:rPr>
      <w:rFonts w:ascii="Arial" w:eastAsia="Times New Roman" w:hAnsi="Arial"/>
      <w:szCs w:val="24"/>
    </w:rPr>
  </w:style>
  <w:style w:type="paragraph" w:styleId="ListParagraph">
    <w:name w:val="List Paragraph"/>
    <w:aliases w:val="NFP GP Bulleted List,List Paragraph1,Recommendation,Bullet table,Bullet point,CV text,Dot pt,F5 List Paragraph,FooterText,L,List Paragraph11,List Paragraph111,List Paragraph2,Medium Grid 1 - Accent 21,NAST Quote,Numbered Paragraph"/>
    <w:basedOn w:val="Normal"/>
    <w:link w:val="ListParagraphChar"/>
    <w:uiPriority w:val="34"/>
    <w:qFormat/>
    <w:rsid w:val="00F04ADD"/>
    <w:pPr>
      <w:ind w:left="720"/>
      <w:contextualSpacing/>
    </w:pPr>
  </w:style>
  <w:style w:type="numbering" w:customStyle="1" w:styleId="BulletsLevel1">
    <w:name w:val="Bullets Level 1"/>
    <w:uiPriority w:val="99"/>
    <w:locked/>
    <w:rsid w:val="003D7314"/>
    <w:pPr>
      <w:numPr>
        <w:numId w:val="14"/>
      </w:numPr>
    </w:pPr>
  </w:style>
  <w:style w:type="paragraph" w:customStyle="1" w:styleId="Pa12">
    <w:name w:val="Pa12"/>
    <w:basedOn w:val="Normal"/>
    <w:next w:val="Normal"/>
    <w:uiPriority w:val="99"/>
    <w:rsid w:val="00A336CE"/>
    <w:pPr>
      <w:autoSpaceDE w:val="0"/>
      <w:autoSpaceDN w:val="0"/>
      <w:adjustRightInd w:val="0"/>
      <w:spacing w:before="0" w:after="0" w:line="191" w:lineRule="atLeast"/>
    </w:pPr>
    <w:rPr>
      <w:rFonts w:ascii="Open Sans" w:eastAsia="Times New Roman" w:hAnsi="Open Sans"/>
      <w:color w:val="auto"/>
      <w:sz w:val="24"/>
      <w:szCs w:val="24"/>
      <w:lang w:eastAsia="en-AU"/>
    </w:rPr>
  </w:style>
  <w:style w:type="character" w:customStyle="1" w:styleId="A12">
    <w:name w:val="A12"/>
    <w:uiPriority w:val="99"/>
    <w:rsid w:val="002E6842"/>
    <w:rPr>
      <w:rFonts w:asciiTheme="minorHAnsi" w:hAnsiTheme="minorHAnsi" w:cs="Open Sans"/>
      <w:color w:val="000000"/>
      <w:sz w:val="17"/>
      <w:szCs w:val="17"/>
    </w:rPr>
  </w:style>
  <w:style w:type="character" w:customStyle="1" w:styleId="ListParagraphChar">
    <w:name w:val="List Paragraph Char"/>
    <w:aliases w:val="NFP GP Bulleted List Char,List Paragraph1 Char,Recommendation Char,Bullet table Char,Bullet point Char,CV text Char,Dot pt Char,F5 List Paragraph Char,FooterText Char,L Char,List Paragraph11 Char,List Paragraph111 Char"/>
    <w:basedOn w:val="DefaultParagraphFont"/>
    <w:link w:val="ListParagraph"/>
    <w:uiPriority w:val="99"/>
    <w:rsid w:val="00A336CE"/>
  </w:style>
  <w:style w:type="character" w:styleId="FollowedHyperlink">
    <w:name w:val="FollowedHyperlink"/>
    <w:basedOn w:val="DefaultParagraphFont"/>
    <w:uiPriority w:val="99"/>
    <w:semiHidden/>
    <w:unhideWhenUsed/>
    <w:rsid w:val="005A046C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232E50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hdaustralia.org.au/resources/2020-australian-guideline-prevention-diagnosis-and-management-acute-rheumatic-fever-and" TargetMode="External"/><Relationship Id="rId21" Type="http://schemas.openxmlformats.org/officeDocument/2006/relationships/hyperlink" Target="https://www.tg.org.au/products/antibiotics-prescribing-summary/" TargetMode="External"/><Relationship Id="rId42" Type="http://schemas.openxmlformats.org/officeDocument/2006/relationships/hyperlink" Target="https://www.tga.gov.au/resources/section-19a-approvals/benzetacil-benzathine-benzylpenicillin-1200000-iu-powder-and-solvent-suspension-injection-spain" TargetMode="External"/><Relationship Id="rId47" Type="http://schemas.openxmlformats.org/officeDocument/2006/relationships/hyperlink" Target="https://www.safetyandquality.gov.au/publications-and-resources/resource-library/principles-safe-selection-and-storage-medicines-guidance-principles-and-survey-tool" TargetMode="External"/><Relationship Id="rId63" Type="http://schemas.openxmlformats.org/officeDocument/2006/relationships/hyperlink" Target="https://www.safetyandquality.gov.au/publications-and-resources/resource-library/principles-safe-selection-and-storage-medicines-guidance-principles-and-survey-too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pps.tga.gov.au/Prod/msi/Search/Details/benzathine-benzylpenicillin-tetrahydrate" TargetMode="External"/><Relationship Id="rId29" Type="http://schemas.openxmlformats.org/officeDocument/2006/relationships/hyperlink" Target="https://www.safetyandquality.gov.au/publications-and-resources/resource-library/conserving-medicines-focus-medicines-shortages" TargetMode="External"/><Relationship Id="rId11" Type="http://schemas.openxmlformats.org/officeDocument/2006/relationships/hyperlink" Target="https://tgldcdp.tg.org.au/topicTeaser?guidelinePage=Antibiotic&amp;etgAccess=true" TargetMode="External"/><Relationship Id="rId24" Type="http://schemas.openxmlformats.org/officeDocument/2006/relationships/hyperlink" Target="https://tgldcdp.tg.org.au/etgAccess" TargetMode="External"/><Relationship Id="rId32" Type="http://schemas.openxmlformats.org/officeDocument/2006/relationships/hyperlink" Target="https://apps.tga.gov.au/Prod/msi/Search/Details/benzathine-benzylpenicillin-tetrahydrate" TargetMode="External"/><Relationship Id="rId37" Type="http://schemas.openxmlformats.org/officeDocument/2006/relationships/footer" Target="footer2.xml"/><Relationship Id="rId40" Type="http://schemas.openxmlformats.org/officeDocument/2006/relationships/hyperlink" Target="https://www.tga.gov.au/resources/section-19a-approvals/lentocilin-s-1200-benzathine-benzylpenicillin-1200000-iu4-ml-powder-and-solvent-suspension-injection-portugal" TargetMode="External"/><Relationship Id="rId45" Type="http://schemas.openxmlformats.org/officeDocument/2006/relationships/image" Target="media/image6.png"/><Relationship Id="rId53" Type="http://schemas.openxmlformats.org/officeDocument/2006/relationships/hyperlink" Target="https://www.healthdirect.gov.au/medicines/brand/amt,4089011000036101/bicillin-l-a" TargetMode="External"/><Relationship Id="rId58" Type="http://schemas.openxmlformats.org/officeDocument/2006/relationships/hyperlink" Target="https://www.tga.gov.au/resources/section-19a-approvals/lentocilin-s-1200-benzathine-benzylpenicillin-1200000-iu4-ml-powder-and-solvent-suspension-injection-portugal" TargetMode="External"/><Relationship Id="rId66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yperlink" Target="https://www.tga.gov.au/safety/shortages-and-supply-disruptions/medicine-shortages/major-or-ongoing-medicine-shortages/about-shortage-bicillin-l-benzathine-benzylpenicillin-tetrahydrate-prefilled-syringe-injection" TargetMode="External"/><Relationship Id="rId19" Type="http://schemas.openxmlformats.org/officeDocument/2006/relationships/hyperlink" Target="https://www.tg.org.au/products/antibiotics-prescribing-summary/" TargetMode="External"/><Relationship Id="rId14" Type="http://schemas.openxmlformats.org/officeDocument/2006/relationships/hyperlink" Target="https://apps.tga.gov.au/Prod/msi/Search/Details/benzathine-benzylpenicillin-tetrahydrate" TargetMode="External"/><Relationship Id="rId22" Type="http://schemas.openxmlformats.org/officeDocument/2006/relationships/hyperlink" Target="https://www.safetyandquality.gov.au/resources/antimicrobial-shortages" TargetMode="External"/><Relationship Id="rId27" Type="http://schemas.openxmlformats.org/officeDocument/2006/relationships/hyperlink" Target="https://static1.squarespace.com/static/6270f7af825b9219d4d9df63/t/6567cc9c287ed249b51c961d/1759109941852/ASID+Management+of+Perinatal+Infections+3rd+Edition.pdf" TargetMode="External"/><Relationship Id="rId30" Type="http://schemas.openxmlformats.org/officeDocument/2006/relationships/hyperlink" Target="https://www.safetyandquality.gov.au/resources/antibiotic-shortages-aboriginal-and-torres-strait-islander" TargetMode="External"/><Relationship Id="rId35" Type="http://schemas.openxmlformats.org/officeDocument/2006/relationships/header" Target="header2.xml"/><Relationship Id="rId43" Type="http://schemas.openxmlformats.org/officeDocument/2006/relationships/image" Target="media/image4.png"/><Relationship Id="rId48" Type="http://schemas.openxmlformats.org/officeDocument/2006/relationships/hyperlink" Target="https://www.safetyandquality.gov.au/publications-and-resources/resource-library/principles-safe-selection-and-storage-medicines-guidance-principles-and-survey-tool" TargetMode="External"/><Relationship Id="rId56" Type="http://schemas.openxmlformats.org/officeDocument/2006/relationships/hyperlink" Target="https://www.tga.gov.au/safety/shortages-and-supply-disruptions/medicine-shortages/major-or-ongoing-medicine-shortages/about-shortage-bicillin-l-benzathine-benzylpenicillin-tetrahydrate-prefilled-syringe-injection" TargetMode="External"/><Relationship Id="rId64" Type="http://schemas.openxmlformats.org/officeDocument/2006/relationships/header" Target="header4.xm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0.png"/><Relationship Id="rId3" Type="http://schemas.openxmlformats.org/officeDocument/2006/relationships/customXml" Target="../customXml/item3.xml"/><Relationship Id="rId12" Type="http://schemas.openxmlformats.org/officeDocument/2006/relationships/hyperlink" Target="https://www.tga.gov.au/safety/shortages-and-supply-disruptions/medicine-shortages/major-or-ongoing-medicine-shortages/about-shortage-bicillin-l-benzathine-benzylpenicillin-tetrahydrate-prefilled-syringe-injection" TargetMode="External"/><Relationship Id="rId17" Type="http://schemas.openxmlformats.org/officeDocument/2006/relationships/hyperlink" Target="https://www.tg.org.au/products/antibiotics-prescribing-summary/" TargetMode="External"/><Relationship Id="rId25" Type="http://schemas.openxmlformats.org/officeDocument/2006/relationships/hyperlink" Target="https://amhonline.amh.net.au/" TargetMode="External"/><Relationship Id="rId33" Type="http://schemas.openxmlformats.org/officeDocument/2006/relationships/hyperlink" Target="mailto:MedSafety@safetyandquality.gov.au" TargetMode="External"/><Relationship Id="rId38" Type="http://schemas.openxmlformats.org/officeDocument/2006/relationships/header" Target="header3.xml"/><Relationship Id="rId46" Type="http://schemas.openxmlformats.org/officeDocument/2006/relationships/image" Target="media/image7.png"/><Relationship Id="rId59" Type="http://schemas.openxmlformats.org/officeDocument/2006/relationships/hyperlink" Target="mailto:office@neonhealthcare.com.au" TargetMode="External"/><Relationship Id="rId67" Type="http://schemas.openxmlformats.org/officeDocument/2006/relationships/footer" Target="footer5.xml"/><Relationship Id="rId20" Type="http://schemas.openxmlformats.org/officeDocument/2006/relationships/hyperlink" Target="https://apps.tga.gov.au/Prod/msi/Search/Index?shortagetype=All" TargetMode="External"/><Relationship Id="rId41" Type="http://schemas.openxmlformats.org/officeDocument/2006/relationships/hyperlink" Target="https://www.tga.gov.au/resources/section-19a-approvals/benzylpenicillin-benzathine-12-million-iu-powder-suspension-injection-brancaster-pharma-uk" TargetMode="External"/><Relationship Id="rId54" Type="http://schemas.openxmlformats.org/officeDocument/2006/relationships/hyperlink" Target="https://www.tga.gov.au/resources/section-19a-approvals/lentocilin-s-1200-benzathine-benzylpenicillin-1200000-iu4-ml-powder-and-solvent-suspension-injection-portugal" TargetMode="External"/><Relationship Id="rId62" Type="http://schemas.openxmlformats.org/officeDocument/2006/relationships/hyperlink" Target="https://www.safetyandquality.gov.au/publications-and-resources/resource-library/principles-aseptic-technique-information-healthcare-worke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tg.org.au/products/antibiotics-prescribing-summary/" TargetMode="External"/><Relationship Id="rId23" Type="http://schemas.openxmlformats.org/officeDocument/2006/relationships/hyperlink" Target="https://www.ncas-australia.org/Education" TargetMode="External"/><Relationship Id="rId28" Type="http://schemas.openxmlformats.org/officeDocument/2006/relationships/hyperlink" Target="https://www.safetyandquality.gov.au/publications-and-resources/resource-library/principles-safe-selection-and-storage-medicines-guidance-principles-and-survey-tool" TargetMode="External"/><Relationship Id="rId36" Type="http://schemas.openxmlformats.org/officeDocument/2006/relationships/footer" Target="footer1.xml"/><Relationship Id="rId49" Type="http://schemas.openxmlformats.org/officeDocument/2006/relationships/image" Target="media/image8.png"/><Relationship Id="rId57" Type="http://schemas.openxmlformats.org/officeDocument/2006/relationships/hyperlink" Target="https://www.ebs.tga.gov.au/ebs/picmi/picmirepository.nsf/pdf?OpenAgent&amp;id=CP-2011-PI-03383-3&amp;d=20231129172310101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safetyandquality.gov.au/publications-and-resources/resource-library/antibiotic-shortages-clinicians-working-aboriginal-and-torres-strait-islander-health-sector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11.png"/><Relationship Id="rId60" Type="http://schemas.openxmlformats.org/officeDocument/2006/relationships/hyperlink" Target="https://7d89d099-aa18-42cc-9929-6c111a6d4590.usrfiles.com/ugd/7d89d0_98afe70405684378b1f239e621c8d4d2.pdf" TargetMode="External"/><Relationship Id="rId65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apps.tga.gov.au/Prod/msi/Search/Details/benzathine-benzylpenicillin-tetrahydrate" TargetMode="External"/><Relationship Id="rId18" Type="http://schemas.openxmlformats.org/officeDocument/2006/relationships/hyperlink" Target="https://apps.tga.gov.au/Prod/msi/Search/Details/benzathine-benzylpenicillin-tetrahydrate" TargetMode="External"/><Relationship Id="rId39" Type="http://schemas.openxmlformats.org/officeDocument/2006/relationships/footer" Target="footer3.xml"/><Relationship Id="rId34" Type="http://schemas.openxmlformats.org/officeDocument/2006/relationships/header" Target="header1.xml"/><Relationship Id="rId50" Type="http://schemas.openxmlformats.org/officeDocument/2006/relationships/image" Target="media/image9.png"/><Relationship Id="rId55" Type="http://schemas.openxmlformats.org/officeDocument/2006/relationships/hyperlink" Target="https://7d89d099-aa18-42cc-9929-6c111a6d4590.usrfiles.com/ugd/7d89d0_1aaad013e58045248d18fdb8421eb884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GAC\AppData\Roaming\Micro%20focus\content%20manager\TRIM\TEMP\HPTRIM.17360\D25-28526%20%20Template%20-%20ACSQHC%20-%20Fact%20sheet%20-%20Corporate%20-%204%20page%20max%20-%20July%202025.DOTX" TargetMode="External"/></Relationships>
</file>

<file path=word/theme/theme1.xml><?xml version="1.0" encoding="utf-8"?>
<a:theme xmlns:a="http://schemas.openxmlformats.org/drawingml/2006/main" name="Office Theme">
  <a:themeElements>
    <a:clrScheme name="SQH">
      <a:dk1>
        <a:srgbClr val="000000"/>
      </a:dk1>
      <a:lt1>
        <a:srgbClr val="FFFFFF"/>
      </a:lt1>
      <a:dk2>
        <a:srgbClr val="D3BBFD"/>
      </a:dk2>
      <a:lt2>
        <a:srgbClr val="F0E8FE"/>
      </a:lt2>
      <a:accent1>
        <a:srgbClr val="421A75"/>
      </a:accent1>
      <a:accent2>
        <a:srgbClr val="890014"/>
      </a:accent2>
      <a:accent3>
        <a:srgbClr val="004C6E"/>
      </a:accent3>
      <a:accent4>
        <a:srgbClr val="B58EFB"/>
      </a:accent4>
      <a:accent5>
        <a:srgbClr val="FF959A"/>
      </a:accent5>
      <a:accent6>
        <a:srgbClr val="6ECCD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743DCC77DB274DB22D4DDF53FCBF5F" ma:contentTypeVersion="19" ma:contentTypeDescription="Create a new document." ma:contentTypeScope="" ma:versionID="41766abdcb5c2a760298207a2a89c79f">
  <xsd:schema xmlns:xsd="http://www.w3.org/2001/XMLSchema" xmlns:xs="http://www.w3.org/2001/XMLSchema" xmlns:p="http://schemas.microsoft.com/office/2006/metadata/properties" xmlns:ns2="4498f89d-1eae-456b-90f1-fc78c5fe8b2a" xmlns:ns3="ac66711c-8613-4dde-a928-6bd510ab7da4" targetNamespace="http://schemas.microsoft.com/office/2006/metadata/properties" ma:root="true" ma:fieldsID="18ffefc133988b21c37714a1633b3c26" ns2:_="" ns3:_="">
    <xsd:import namespace="4498f89d-1eae-456b-90f1-fc78c5fe8b2a"/>
    <xsd:import namespace="ac66711c-8613-4dde-a928-6bd510ab7d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8f89d-1eae-456b-90f1-fc78c5fe8b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bf5309-f60c-4adc-92cd-c2ac96d59903}" ma:internalName="TaxCatchAll" ma:showField="CatchAllData" ma:web="4498f89d-1eae-456b-90f1-fc78c5fe8b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6711c-8613-4dde-a928-6bd510ab7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98f89d-1eae-456b-90f1-fc78c5fe8b2a" xsi:nil="true"/>
    <lcf76f155ced4ddcb4097134ff3c332f xmlns="ac66711c-8613-4dde-a928-6bd510ab7da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95A4E-0D56-41A7-9EDA-F2E6ABAB7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8f89d-1eae-456b-90f1-fc78c5fe8b2a"/>
    <ds:schemaRef ds:uri="ac66711c-8613-4dde-a928-6bd510ab7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B132FD-DB8A-4E73-99EF-46D0D2A817A1}">
  <ds:schemaRefs>
    <ds:schemaRef ds:uri="http://schemas.microsoft.com/office/2006/metadata/properties"/>
    <ds:schemaRef ds:uri="http://schemas.microsoft.com/office/infopath/2007/PartnerControls"/>
    <ds:schemaRef ds:uri="4498f89d-1eae-456b-90f1-fc78c5fe8b2a"/>
    <ds:schemaRef ds:uri="ac66711c-8613-4dde-a928-6bd510ab7da4"/>
  </ds:schemaRefs>
</ds:datastoreItem>
</file>

<file path=customXml/itemProps3.xml><?xml version="1.0" encoding="utf-8"?>
<ds:datastoreItem xmlns:ds="http://schemas.openxmlformats.org/officeDocument/2006/customXml" ds:itemID="{707F60A6-171E-40CD-A237-6262928436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8C92D-10A9-4FC9-9058-DE83686A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D25-28526  Template - ACSQHC - Fact sheet - Corporate - 4 page max - July 2025.DOTX</Template>
  <TotalTime>322</TotalTime>
  <Pages>11</Pages>
  <Words>2650</Words>
  <Characters>16247</Characters>
  <Application>Microsoft Office Word</Application>
  <DocSecurity>0</DocSecurity>
  <Lines>649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HOLGATE, Caley</dc:creator>
  <cp:keywords/>
  <cp:lastModifiedBy>TRAN, Kylie</cp:lastModifiedBy>
  <cp:revision>49</cp:revision>
  <cp:lastPrinted>2025-05-27T01:51:00Z</cp:lastPrinted>
  <dcterms:created xsi:type="dcterms:W3CDTF">2025-08-21T05:17:00Z</dcterms:created>
  <dcterms:modified xsi:type="dcterms:W3CDTF">2026-05-20T03:32:00Z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0x01010028743DCC77DB274DB22D4DDF53FCBF5F</vt:lpwstr>
  </property>
  <property fmtid="{D5CDD505-2E9C-101B-9397-08002B2CF9AE}" pid="3" name="MSIP_Label_7cd3e8b9-ffed-43a8-b7f4-cc2fa0382d36_Enabled">
    <vt:lpwstr>true</vt:lpwstr>
  </property>
  <property fmtid="{D5CDD505-2E9C-101B-9397-08002B2CF9AE}" pid="4" name="MSIP_Label_7cd3e8b9-ffed-43a8-b7f4-cc2fa0382d36_SetDate">
    <vt:lpwstr>2026-05-07T22:56:41Z</vt:lpwstr>
  </property>
  <property fmtid="{D5CDD505-2E9C-101B-9397-08002B2CF9AE}" pid="5" name="MSIP_Label_7cd3e8b9-ffed-43a8-b7f4-cc2fa0382d36_Method">
    <vt:lpwstr>Privileged</vt:lpwstr>
  </property>
  <property fmtid="{D5CDD505-2E9C-101B-9397-08002B2CF9AE}" pid="6" name="MSIP_Label_7cd3e8b9-ffed-43a8-b7f4-cc2fa0382d36_Name">
    <vt:lpwstr>O</vt:lpwstr>
  </property>
  <property fmtid="{D5CDD505-2E9C-101B-9397-08002B2CF9AE}" pid="7" name="MSIP_Label_7cd3e8b9-ffed-43a8-b7f4-cc2fa0382d36_SiteId">
    <vt:lpwstr>34a3929c-73cf-4954-abfe-147dc3517892</vt:lpwstr>
  </property>
  <property fmtid="{D5CDD505-2E9C-101B-9397-08002B2CF9AE}" pid="8" name="MSIP_Label_7cd3e8b9-ffed-43a8-b7f4-cc2fa0382d36_ActionId">
    <vt:lpwstr>96a622ee-abaa-49f3-89fc-5377d5de94b8</vt:lpwstr>
  </property>
  <property fmtid="{D5CDD505-2E9C-101B-9397-08002B2CF9AE}" pid="9" name="MSIP_Label_7cd3e8b9-ffed-43a8-b7f4-cc2fa0382d36_ContentBits">
    <vt:lpwstr>3</vt:lpwstr>
  </property>
  <property fmtid="{D5CDD505-2E9C-101B-9397-08002B2CF9AE}" pid="10" name="MSIP_Label_7cd3e8b9-ffed-43a8-b7f4-cc2fa0382d36_Tag">
    <vt:lpwstr>10, 0, 1, 1</vt:lpwstr>
  </property>
</Properties>
</file>