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DA6D1" w14:textId="77777777" w:rsidR="00235529" w:rsidRDefault="00235529" w:rsidP="00235529">
      <w:pPr>
        <w:pStyle w:val="Title"/>
      </w:pPr>
      <w:bookmarkStart w:id="0" w:name="_Toc197590571"/>
    </w:p>
    <w:bookmarkEnd w:id="0"/>
    <w:p w14:paraId="74B57F02" w14:textId="11B50F77" w:rsidR="00595909" w:rsidRPr="007E2BEB" w:rsidRDefault="00B14440" w:rsidP="00235529">
      <w:pPr>
        <w:pStyle w:val="Title"/>
      </w:pPr>
      <w:r>
        <w:t>Chronic Obstructive Pulmonary Disease – Technical note</w:t>
      </w:r>
    </w:p>
    <w:p w14:paraId="71D65CD2" w14:textId="4ED8D006" w:rsidR="00B967A4" w:rsidRPr="00496CCB" w:rsidRDefault="00B967A4" w:rsidP="0046795B">
      <w:pPr>
        <w:pStyle w:val="Subtitle"/>
        <w:spacing w:before="240"/>
      </w:pPr>
      <w:r w:rsidRPr="00496CCB">
        <w:tab/>
      </w:r>
    </w:p>
    <w:p w14:paraId="1BF19DE9" w14:textId="77777777" w:rsidR="001D2598" w:rsidRDefault="001D2598" w:rsidP="00235529">
      <w:pPr>
        <w:pStyle w:val="Heading1"/>
      </w:pPr>
      <w:bookmarkStart w:id="1" w:name="_Toc197590572"/>
    </w:p>
    <w:p w14:paraId="03EA7C5C" w14:textId="77777777" w:rsidR="001D2598" w:rsidRDefault="001D2598" w:rsidP="00235529">
      <w:pPr>
        <w:pStyle w:val="Heading1"/>
      </w:pPr>
    </w:p>
    <w:p w14:paraId="4188A1FA" w14:textId="77777777" w:rsidR="00907F93" w:rsidRDefault="00907F93" w:rsidP="001D2598">
      <w:pPr>
        <w:pStyle w:val="Heading2"/>
      </w:pPr>
    </w:p>
    <w:p w14:paraId="1D6EF428" w14:textId="6A1EFACE" w:rsidR="001D2598" w:rsidRDefault="001D2598" w:rsidP="001D2598">
      <w:pPr>
        <w:pStyle w:val="Heading2"/>
      </w:pPr>
      <w:r>
        <w:t>Introduction</w:t>
      </w:r>
    </w:p>
    <w:p w14:paraId="45E9975E" w14:textId="77777777" w:rsidR="005C00EC" w:rsidRDefault="001D2598" w:rsidP="001D2598">
      <w:r>
        <w:t xml:space="preserve">The Australian Atlas of Healthcare Variation (Atlas) series provides statistics at a local level identifying variation across Australia for </w:t>
      </w:r>
      <w:proofErr w:type="gramStart"/>
      <w:r>
        <w:t>a number of</w:t>
      </w:r>
      <w:proofErr w:type="gramEnd"/>
      <w:r>
        <w:t xml:space="preserve"> health indicators. Statistics in the Atlas are presented in the form of maps, graphs and tables. This technical note provides information on the methods used for data extraction and analysis, for presentation in the maps and graphs. Activity rates are presented by local areas using Statistical Area Level 3 (SA3) geography defined by the Australian Bureau of Statistics (ABS), as well as Primary Health Network (PHN) areas defined by the Australian Government Department of Health, Disability and Ageing at state and territory, and national levels. </w:t>
      </w:r>
    </w:p>
    <w:p w14:paraId="1A8A627B" w14:textId="5AFD63C6" w:rsidR="001D2598" w:rsidRDefault="001D2598" w:rsidP="001D2598">
      <w:r>
        <w:t>The Australian Commission on Safety and Quality in Health Care (ACSQHC) developed the specifications for each indicator. These can be found on the Metadata Online Registry (</w:t>
      </w:r>
      <w:proofErr w:type="spellStart"/>
      <w:r>
        <w:t>METeOR</w:t>
      </w:r>
      <w:proofErr w:type="spellEnd"/>
      <w:r>
        <w:t xml:space="preserve">) at </w:t>
      </w:r>
      <w:hyperlink r:id="rId11" w:history="1">
        <w:r w:rsidRPr="00773138">
          <w:rPr>
            <w:rStyle w:val="Hyperlink"/>
          </w:rPr>
          <w:t>https://meteor.aihw.gov.au/content/805346</w:t>
        </w:r>
      </w:hyperlink>
      <w:r>
        <w:t>.</w:t>
      </w:r>
    </w:p>
    <w:p w14:paraId="16EEF074" w14:textId="49F0D170" w:rsidR="001D2598" w:rsidRDefault="001D2598" w:rsidP="001D2598">
      <w:r>
        <w:t>The specifications include details such as:</w:t>
      </w:r>
    </w:p>
    <w:p w14:paraId="6F48528D" w14:textId="77777777" w:rsidR="00210F42" w:rsidRDefault="00210F42" w:rsidP="00210F42">
      <w:pPr>
        <w:pStyle w:val="ListParagraph"/>
        <w:numPr>
          <w:ilvl w:val="0"/>
          <w:numId w:val="7"/>
        </w:numPr>
      </w:pPr>
      <w:r>
        <w:t>The data source</w:t>
      </w:r>
    </w:p>
    <w:p w14:paraId="4493E6A1" w14:textId="7D32BB4F" w:rsidR="00210F42" w:rsidRDefault="00210F42" w:rsidP="00210F42">
      <w:pPr>
        <w:pStyle w:val="ListParagraph"/>
        <w:numPr>
          <w:ilvl w:val="0"/>
          <w:numId w:val="7"/>
        </w:numPr>
      </w:pPr>
      <w:r>
        <w:t xml:space="preserve">The relevant population </w:t>
      </w:r>
    </w:p>
    <w:p w14:paraId="79038E9E" w14:textId="699AB821" w:rsidR="00210F42" w:rsidRDefault="00210F42" w:rsidP="00210F42">
      <w:pPr>
        <w:pStyle w:val="ListParagraph"/>
        <w:numPr>
          <w:ilvl w:val="0"/>
          <w:numId w:val="7"/>
        </w:numPr>
      </w:pPr>
      <w:r>
        <w:t xml:space="preserve">Inclusions and exclusions (description of items included and excluded, and relevant </w:t>
      </w:r>
    </w:p>
    <w:p w14:paraId="18834554" w14:textId="77777777" w:rsidR="00210F42" w:rsidRDefault="00210F42" w:rsidP="00210F42">
      <w:pPr>
        <w:pStyle w:val="ListParagraph"/>
        <w:numPr>
          <w:ilvl w:val="0"/>
          <w:numId w:val="7"/>
        </w:numPr>
      </w:pPr>
      <w:r>
        <w:t>data source codes)</w:t>
      </w:r>
    </w:p>
    <w:p w14:paraId="7F0759CA" w14:textId="018DA864" w:rsidR="00210F42" w:rsidRDefault="00210F42" w:rsidP="00210F42">
      <w:pPr>
        <w:pStyle w:val="ListParagraph"/>
        <w:numPr>
          <w:ilvl w:val="0"/>
          <w:numId w:val="7"/>
        </w:numPr>
      </w:pPr>
      <w:r>
        <w:t>The numerator (what is being measured) and denominator (in what population)</w:t>
      </w:r>
    </w:p>
    <w:p w14:paraId="580C9603" w14:textId="3313C6ED" w:rsidR="00210F42" w:rsidRDefault="00210F42" w:rsidP="00210F42">
      <w:pPr>
        <w:pStyle w:val="ListParagraph"/>
        <w:numPr>
          <w:ilvl w:val="0"/>
          <w:numId w:val="7"/>
        </w:numPr>
      </w:pPr>
      <w:r>
        <w:t>Computation (the calculation that shows how the numerator and denominator relate)</w:t>
      </w:r>
    </w:p>
    <w:p w14:paraId="75E3E633" w14:textId="179F93CA" w:rsidR="00210F42" w:rsidRDefault="00210F42" w:rsidP="00210F42">
      <w:pPr>
        <w:pStyle w:val="ListParagraph"/>
        <w:numPr>
          <w:ilvl w:val="0"/>
          <w:numId w:val="7"/>
        </w:numPr>
      </w:pPr>
      <w:r>
        <w:t>Disaggregation (the way the data are analysed and presented)</w:t>
      </w:r>
    </w:p>
    <w:p w14:paraId="43032F0F" w14:textId="640515AC" w:rsidR="00210F42" w:rsidRDefault="00210F42" w:rsidP="00210F42">
      <w:pPr>
        <w:pStyle w:val="ListParagraph"/>
        <w:numPr>
          <w:ilvl w:val="0"/>
          <w:numId w:val="7"/>
        </w:numPr>
      </w:pPr>
      <w:r>
        <w:t xml:space="preserve">Data suppression rules (rules that set out what cannot be presented for reasons of </w:t>
      </w:r>
    </w:p>
    <w:p w14:paraId="20A3F222" w14:textId="6C312817" w:rsidR="00210F42" w:rsidRDefault="00210F42" w:rsidP="00210F42">
      <w:pPr>
        <w:pStyle w:val="ListParagraph"/>
        <w:numPr>
          <w:ilvl w:val="0"/>
          <w:numId w:val="7"/>
        </w:numPr>
      </w:pPr>
      <w:r>
        <w:t>confidentiality and/or reliability).</w:t>
      </w:r>
    </w:p>
    <w:p w14:paraId="07089EB4" w14:textId="77777777" w:rsidR="00210F42" w:rsidRDefault="00210F42" w:rsidP="00210F42">
      <w:r w:rsidRPr="00210F42">
        <w:t xml:space="preserve">Two data sources were used in the 2025 COPD Atlas: </w:t>
      </w:r>
    </w:p>
    <w:p w14:paraId="10AE5FCD" w14:textId="77777777" w:rsidR="00210F42" w:rsidRDefault="00210F42" w:rsidP="00210F42">
      <w:pPr>
        <w:pStyle w:val="ListParagraph"/>
        <w:numPr>
          <w:ilvl w:val="0"/>
          <w:numId w:val="8"/>
        </w:numPr>
      </w:pPr>
      <w:r w:rsidRPr="00210F42">
        <w:t xml:space="preserve">Medicare Benefits Schedule (MBS) </w:t>
      </w:r>
    </w:p>
    <w:p w14:paraId="4A8417AC" w14:textId="511794A5" w:rsidR="00210F42" w:rsidRDefault="00210F42" w:rsidP="00210F42">
      <w:pPr>
        <w:pStyle w:val="ListParagraph"/>
        <w:numPr>
          <w:ilvl w:val="0"/>
          <w:numId w:val="8"/>
        </w:numPr>
      </w:pPr>
      <w:r w:rsidRPr="00210F42">
        <w:t>Pharmaceutical Benefits Scheme (PBS)</w:t>
      </w:r>
    </w:p>
    <w:p w14:paraId="3F81DD42" w14:textId="10ECC416" w:rsidR="00EE0607" w:rsidRDefault="00EE0607" w:rsidP="00EE0607">
      <w:r w:rsidRPr="00EE0607">
        <w:t xml:space="preserve">Analyses are based on the place of usual residence of the patient (patient residence) and not the location of the clinic or pharmacy where the service was provided. If the patient residence was unknown or invalid, or could not be allocated to an SA3, PHN, or state or territory, the record was included in the total for Australia only. For MBS and PBS data, the Medicare </w:t>
      </w:r>
      <w:r w:rsidRPr="00EE0607">
        <w:lastRenderedPageBreak/>
        <w:t>enrolment postcode is used as a proxy for the patient residence because it corresponds to most people’s usual residence. Records with unknown or invalid age or sex were excluded from MBS and PBS data because they could not be age- and sex-standardised (see ‘Analysis methods’). The ACSQHC conducted the data extraction and analysis, and presentation of the data in maps and graphs.</w:t>
      </w:r>
    </w:p>
    <w:p w14:paraId="2A99BCCF" w14:textId="77777777" w:rsidR="00EE0607" w:rsidRDefault="00EE0607" w:rsidP="00EE0607">
      <w:pPr>
        <w:pStyle w:val="Heading2"/>
      </w:pPr>
      <w:r>
        <w:t>Medicare Benefits Schedule data</w:t>
      </w:r>
    </w:p>
    <w:p w14:paraId="21062110" w14:textId="5823433D" w:rsidR="00EE0607" w:rsidRDefault="00EE0607" w:rsidP="00EE0607">
      <w:r>
        <w:t>MBS data are a by-product of the assessment of claims for Medicare benefits by Services Australia and are provided to the Australian Government Department of Health, Disability and Ageing. The MBS data in this report comprise services provided between 1 July 2015 to 30 June 2023 for claims processed up to and including 1 November 2024, extracted on 20 November 2024. A service includes any claims resulting in the payment of a Medicare benefit. Bulk-billing incentives and ‘top-up’ services are excluded from service counts as they are not attendances or procedures in their own right.</w:t>
      </w:r>
    </w:p>
    <w:p w14:paraId="66F4794F" w14:textId="032F2880" w:rsidR="001D2598" w:rsidRDefault="00EE0607" w:rsidP="00EE0607">
      <w:r>
        <w:t>MBS data do not include:</w:t>
      </w:r>
    </w:p>
    <w:p w14:paraId="3D5A7EFC" w14:textId="77777777" w:rsidR="00103BB3" w:rsidRDefault="00103BB3" w:rsidP="00103BB3">
      <w:pPr>
        <w:pStyle w:val="ListParagraph"/>
        <w:numPr>
          <w:ilvl w:val="0"/>
          <w:numId w:val="9"/>
        </w:numPr>
      </w:pPr>
      <w:r>
        <w:t>Services provided free of charge to public patients in hospitals</w:t>
      </w:r>
    </w:p>
    <w:p w14:paraId="7B10D374" w14:textId="6B1A4A0F" w:rsidR="00103BB3" w:rsidRDefault="00103BB3" w:rsidP="00BA5F2F">
      <w:r>
        <w:t>Services that qualify for a benefit under the Department of Veterans’ Affairs National Treatment Account</w:t>
      </w:r>
    </w:p>
    <w:p w14:paraId="1200D51E" w14:textId="3CAF48D9" w:rsidR="00103BB3" w:rsidRDefault="00103BB3" w:rsidP="00BA5F2F">
      <w:r>
        <w:t>Services provided under an entitlement, such as services covered by third-party or workers compensation, where an interim benefit has not been paid, or services provided to repatriation beneficiaries or defence personnel</w:t>
      </w:r>
    </w:p>
    <w:p w14:paraId="44FC97DF" w14:textId="0A11C501" w:rsidR="00103BB3" w:rsidRDefault="00103BB3" w:rsidP="00103BB3">
      <w:pPr>
        <w:pStyle w:val="ListParagraph"/>
        <w:numPr>
          <w:ilvl w:val="0"/>
          <w:numId w:val="9"/>
        </w:numPr>
      </w:pPr>
      <w:r>
        <w:t>Services provided for insurance or employment purposes</w:t>
      </w:r>
    </w:p>
    <w:p w14:paraId="6F0CF0DC" w14:textId="57029C54" w:rsidR="00EE0607" w:rsidRDefault="00103BB3" w:rsidP="00103BB3">
      <w:pPr>
        <w:pStyle w:val="ListParagraph"/>
        <w:numPr>
          <w:ilvl w:val="0"/>
          <w:numId w:val="9"/>
        </w:numPr>
      </w:pPr>
      <w:r>
        <w:t>Health screening services, except for services as directed by the minister</w:t>
      </w:r>
    </w:p>
    <w:p w14:paraId="1D4DF2D2" w14:textId="45FF6F7D" w:rsidR="00103BB3" w:rsidRDefault="00103BB3" w:rsidP="00103BB3">
      <w:r>
        <w:t>Some Australian residents may access medical services through other arrangements, such as salaried doctor arrangements. As a result, MBS data may underestimate the use of services by some members of the community.</w:t>
      </w:r>
    </w:p>
    <w:p w14:paraId="4604E174" w14:textId="77777777" w:rsidR="00103BB3" w:rsidRDefault="00103BB3" w:rsidP="00103BB3">
      <w:r>
        <w:t>Under Medicare, ‘eligible persons’ are persons who reside permanently in Australia. This includes New Zealand citizens and holders of permanent residence visas. Applicants for permanent residency may also be eligible, depending on their circumstances. In addition, overseas visitors from countries with which Australia has a reciprocal healthcare agreement might also be entitled to benefits under MBS arrangements.</w:t>
      </w:r>
    </w:p>
    <w:p w14:paraId="779FE62E" w14:textId="1B348462" w:rsidR="00103BB3" w:rsidRDefault="00103BB3" w:rsidP="00103BB3">
      <w:r>
        <w:t xml:space="preserve">For some patients, the total count for the services in question may be zero or negative (for example, due to cheque cancellations; see </w:t>
      </w:r>
      <w:hyperlink r:id="rId12" w:history="1">
        <w:r w:rsidRPr="00773138">
          <w:rPr>
            <w:rStyle w:val="Hyperlink"/>
          </w:rPr>
          <w:t>https://meteor.aihw.gov.au/content/601800</w:t>
        </w:r>
      </w:hyperlink>
      <w:r>
        <w:t>). In these cases, all records of the patient are excluded from the analyses.</w:t>
      </w:r>
    </w:p>
    <w:p w14:paraId="34DAA5CD" w14:textId="1E7D2807" w:rsidR="00103BB3" w:rsidRDefault="00103BB3" w:rsidP="00103BB3">
      <w:r>
        <w:t>A patient’s age calculated in MBS data is their age in years on the date the service was provided to them.</w:t>
      </w:r>
    </w:p>
    <w:p w14:paraId="6D856717" w14:textId="77777777" w:rsidR="00ED4708" w:rsidRDefault="00ED4708" w:rsidP="00ED4708">
      <w:pPr>
        <w:pStyle w:val="Heading2"/>
      </w:pPr>
      <w:r>
        <w:t>Pharmaceutical Benefits Scheme data</w:t>
      </w:r>
    </w:p>
    <w:p w14:paraId="02975B22" w14:textId="4EC63B9E" w:rsidR="00ED4708" w:rsidRDefault="00ED4708" w:rsidP="00ED4708">
      <w:r>
        <w:t xml:space="preserve">The Australian Government subsidises the cost of a wide range of prescription medicines through two separate schemes: the PBS and the Repatriation Pharmaceutical Benefits Scheme (RPBS). Claims for reimbursement for the supply of PBS- or RPBS-subsidised medicines are submitted by pharmacies through Services Australia for processing and are provided to the Australian Government Department of Health, Disability and Ageing. Subsidies for prescription medicines are available to all Australian residents who hold a current Medicare card, and overseas visitors from countries with which Australia has a reciprocal healthcare agreement. Patients pay a contribution to the cost of the medicine (co-payment), and the Australian Government covers the remaining cost. </w:t>
      </w:r>
    </w:p>
    <w:p w14:paraId="36166EA0" w14:textId="1FE57186" w:rsidR="00103BB3" w:rsidRDefault="00ED4708" w:rsidP="00ED4708">
      <w:r>
        <w:lastRenderedPageBreak/>
        <w:t>The PBS data in this report were extracted on 12 February 2025 and are from records of prescriptions dispensed between 1 July 2015 to 30 June 2023 under the two schemes, where either:</w:t>
      </w:r>
    </w:p>
    <w:p w14:paraId="73EE7B13" w14:textId="77777777" w:rsidR="00266C65" w:rsidRDefault="00266C65" w:rsidP="00266C65">
      <w:pPr>
        <w:pStyle w:val="ListParagraph"/>
        <w:numPr>
          <w:ilvl w:val="0"/>
          <w:numId w:val="10"/>
        </w:numPr>
      </w:pPr>
      <w:r>
        <w:t>The Australian Government paid a subsidy</w:t>
      </w:r>
    </w:p>
    <w:p w14:paraId="26463D0C" w14:textId="1DEC5DE5" w:rsidR="00266C65" w:rsidRDefault="00266C65" w:rsidP="00266C65">
      <w:pPr>
        <w:pStyle w:val="ListParagraph"/>
        <w:numPr>
          <w:ilvl w:val="0"/>
          <w:numId w:val="10"/>
        </w:numPr>
      </w:pPr>
      <w:r>
        <w:t>The prescription was dispensed at a price less than the relevant patient co-payment (under co-payment prescriptions) and did not attract a subsidy</w:t>
      </w:r>
      <w:r>
        <w:cr/>
      </w:r>
    </w:p>
    <w:p w14:paraId="37FA2B60" w14:textId="185F441D" w:rsidR="001D2598" w:rsidRDefault="001E101A" w:rsidP="001E101A">
      <w:r w:rsidRPr="001E101A">
        <w:t>The PBS data cover all prescriptions dispensed by approved suppliers, including community pharmacies, public and private hospital pharmacies, and dispensing doctors.</w:t>
      </w:r>
    </w:p>
    <w:p w14:paraId="7A8A629C" w14:textId="77777777" w:rsidR="001E101A" w:rsidRDefault="001E101A" w:rsidP="001E101A">
      <w:r>
        <w:t>The PBS does not cover:</w:t>
      </w:r>
    </w:p>
    <w:p w14:paraId="29F5FFE5" w14:textId="7FCD4D39" w:rsidR="001E101A" w:rsidRDefault="001E101A" w:rsidP="001E101A">
      <w:pPr>
        <w:pStyle w:val="ListParagraph"/>
        <w:numPr>
          <w:ilvl w:val="0"/>
          <w:numId w:val="11"/>
        </w:numPr>
      </w:pPr>
      <w:r>
        <w:t>Over-the-counter purchases (non-prescription)</w:t>
      </w:r>
    </w:p>
    <w:p w14:paraId="4BC15D2A" w14:textId="324B865C" w:rsidR="001E101A" w:rsidRDefault="001E101A" w:rsidP="00BA5F2F">
      <w:r>
        <w:t>Private prescriptions (prescriptions that are not eligible for subsidy under the PBS – for example, prescriptions for medicines that are not listed on the PBS)</w:t>
      </w:r>
    </w:p>
    <w:p w14:paraId="3AC89AB9" w14:textId="141F1A05" w:rsidR="001E101A" w:rsidRDefault="001E101A" w:rsidP="00BA5F2F">
      <w:r>
        <w:t>Medicines supplied to admitted patients in public hospitals; however, prescriptions to patients on discharge and non-admitted patients in most states and territories are in scope, except in New South Wales and the Australian Capital Territory.</w:t>
      </w:r>
    </w:p>
    <w:p w14:paraId="7C309C30" w14:textId="77777777" w:rsidR="004B6C3D" w:rsidRDefault="004B6C3D" w:rsidP="004B6C3D"/>
    <w:p w14:paraId="5B70A3E9" w14:textId="74151A88" w:rsidR="004B6C3D" w:rsidRDefault="004B6C3D" w:rsidP="004B6C3D">
      <w:r>
        <w:t>Patient categories of ‘general’, ‘concessional’, ‘repatriation’ and ‘unknown’ are included (</w:t>
      </w:r>
      <w:hyperlink r:id="rId13" w:history="1">
        <w:r w:rsidR="005C00EC" w:rsidRPr="00773138">
          <w:rPr>
            <w:rStyle w:val="Hyperlink"/>
          </w:rPr>
          <w:t>https://meteor.aihw.gov.au/content/604103</w:t>
        </w:r>
      </w:hyperlink>
      <w:r>
        <w:t>). Doctor’s bag medicines (supply of medicines free to patients for emergency use) and medicines dispensed through alternative arrangements where the patient cannot be identified, such as direct supply to Aboriginal health services, are excluded.</w:t>
      </w:r>
    </w:p>
    <w:p w14:paraId="580CFF70" w14:textId="77777777" w:rsidR="004B6C3D" w:rsidRDefault="004B6C3D" w:rsidP="004B6C3D">
      <w:r>
        <w:t xml:space="preserve">Provision of some medicines may be underrepresented in remote areas, particularly in the Northern Territory, that have a high proportion of Aboriginal and Torres Strait Islander people who access medicines through the Remote Area Aboriginal Health Services Program. </w:t>
      </w:r>
    </w:p>
    <w:p w14:paraId="361D6FD0" w14:textId="4289C272" w:rsidR="001D2598" w:rsidRDefault="004B6C3D" w:rsidP="004B6C3D">
      <w:r>
        <w:t>The number of prescriptions represents the total number of times that a prescribed medicine is supplied to a patient. Prescriptions can be written either as one-off (original with no repeats) or original with repeats. When an original prescription and all the repeats were supplied at the one time, the total number of prescriptions (original and repeats) was counted.</w:t>
      </w:r>
    </w:p>
    <w:p w14:paraId="0471C7D0" w14:textId="77777777" w:rsidR="0060390B" w:rsidRDefault="0060390B" w:rsidP="0060390B">
      <w:r w:rsidRPr="0060390B">
        <w:t xml:space="preserve">For individual prescriptions where the quantity dispensed varied from the listed maximum quantity, no adjustment was made for increased or reduced quantity supplied. The supply was counted as one prescription. </w:t>
      </w:r>
    </w:p>
    <w:p w14:paraId="0A9F87D6" w14:textId="3AEBD5B1" w:rsidR="001D2598" w:rsidRDefault="0060390B" w:rsidP="0060390B">
      <w:r w:rsidRPr="0060390B">
        <w:t>A patient’s age calculated in PBS data is their age in years on the date the medicine was supplied to them.</w:t>
      </w:r>
    </w:p>
    <w:p w14:paraId="6AB9A971" w14:textId="77777777" w:rsidR="00AC0DCA" w:rsidRDefault="00AC0DCA" w:rsidP="0060390B"/>
    <w:p w14:paraId="4DABF143" w14:textId="77777777" w:rsidR="00AC0DCA" w:rsidRDefault="00AC0DCA" w:rsidP="00AC0DCA">
      <w:pPr>
        <w:pStyle w:val="Heading2"/>
      </w:pPr>
      <w:r>
        <w:t>Analysis methods</w:t>
      </w:r>
    </w:p>
    <w:p w14:paraId="585362F1" w14:textId="77777777" w:rsidR="00AC0DCA" w:rsidRDefault="00AC0DCA" w:rsidP="00AC0DCA">
      <w:pPr>
        <w:pStyle w:val="Heading3"/>
      </w:pPr>
      <w:r>
        <w:t>Australian population</w:t>
      </w:r>
    </w:p>
    <w:p w14:paraId="79B1E0B4" w14:textId="77777777" w:rsidR="00AC0DCA" w:rsidRDefault="00AC0DCA" w:rsidP="00AC0DCA">
      <w:r>
        <w:t xml:space="preserve">All indicators used an estimated resident population from the ABS in the denominator. </w:t>
      </w:r>
    </w:p>
    <w:p w14:paraId="594EC68E" w14:textId="0CCB28DF" w:rsidR="00AC0DCA" w:rsidRDefault="00AC0DCA" w:rsidP="00AC0DCA">
      <w:r>
        <w:t>Population estimates as at 30 June in the relevant year were used as the denominator for 2015–16 to 2022–23. For example, population estimates as at 30 June 2017 were used for 2017–18</w:t>
      </w:r>
      <w:r w:rsidR="00536A70">
        <w:t>.</w:t>
      </w:r>
    </w:p>
    <w:p w14:paraId="585CBB5B" w14:textId="77777777" w:rsidR="00536A70" w:rsidRDefault="00536A70" w:rsidP="00536A70">
      <w:pPr>
        <w:pStyle w:val="Heading3"/>
      </w:pPr>
      <w:r>
        <w:lastRenderedPageBreak/>
        <w:t>Age and sex standardisation</w:t>
      </w:r>
    </w:p>
    <w:p w14:paraId="471B59E7" w14:textId="396C4DD5" w:rsidR="00536A70" w:rsidRDefault="00536A70" w:rsidP="00536A70">
      <w:r>
        <w:t>This report presents age- and sex-standardised rates. Age- and sex-standardisation is a method to remove the influence of age and sex when comparing populations with different age and sex structures. For this report, the Australian estimated resident population as at 30 June 2001 was used as the standard population. Some indicators used specific age ranges. In these cases, only the relevant age groups were included in age- and sex-standardisation calculations. Standardised rates based on different age groups and/or standard populations are not directly comparable.</w:t>
      </w:r>
    </w:p>
    <w:p w14:paraId="35B4C02F" w14:textId="0A792D52" w:rsidR="00536A70" w:rsidRDefault="00536A70" w:rsidP="00536A70">
      <w:r>
        <w:t>Five-year age groups were used from 35-39 years to 85 years and over. The age- and sex</w:t>
      </w:r>
      <w:r w:rsidR="00242456">
        <w:t>-</w:t>
      </w:r>
      <w:r>
        <w:t>standardisation method was adapted from the general age-standardisation formula for populations, available at meteor.aihw.gov.au/content/327276.</w:t>
      </w:r>
    </w:p>
    <w:p w14:paraId="07251EE1" w14:textId="77777777" w:rsidR="00AD770A" w:rsidRDefault="00B03F57" w:rsidP="00AD770A">
      <w:pPr>
        <w:pStyle w:val="Heading2"/>
      </w:pPr>
      <w:r w:rsidRPr="00B03F57">
        <w:t xml:space="preserve">Geography levels </w:t>
      </w:r>
    </w:p>
    <w:p w14:paraId="44F33315" w14:textId="596C5BA1" w:rsidR="00AD770A" w:rsidRDefault="00B03F57" w:rsidP="00B03F57">
      <w:r w:rsidRPr="00B03F57">
        <w:t>This report presents data based on the ABS Australian Statistical Geography Standard (ASGS) Edition 3 (2021) SA3 geography. There are 340 spatial SA3s, covering Australia without gaps or overlaps. SA3s generally have a population of 30,000–130,000 people and comprise clusters of whole SA2s (</w:t>
      </w:r>
      <w:hyperlink r:id="rId14" w:history="1">
        <w:r w:rsidR="00AD770A" w:rsidRPr="00773138">
          <w:rPr>
            <w:rStyle w:val="Hyperlink"/>
          </w:rPr>
          <w:t>https://meteor.aihw.gov.au/content/747315</w:t>
        </w:r>
      </w:hyperlink>
      <w:r w:rsidRPr="00B03F57">
        <w:t xml:space="preserve">). These areas were grouped by PHN 2023 area, state or territory, remoteness and socioeconomic status to assist comparisons. For more information on ASGS Edition 3, see </w:t>
      </w:r>
      <w:hyperlink r:id="rId15" w:history="1">
        <w:r w:rsidR="00AD770A" w:rsidRPr="00773138">
          <w:rPr>
            <w:rStyle w:val="Hyperlink"/>
          </w:rPr>
          <w:t>https://meteor.aihw.gov.au/content/747163</w:t>
        </w:r>
      </w:hyperlink>
      <w:r w:rsidRPr="00B03F57">
        <w:t xml:space="preserve">. </w:t>
      </w:r>
    </w:p>
    <w:p w14:paraId="77DBB67E" w14:textId="361E56C2" w:rsidR="001D2598" w:rsidRDefault="00B03F57" w:rsidP="00B03F57">
      <w:r w:rsidRPr="00B03F57">
        <w:t>Allocation to an SA3 was based on the patient’s postcode, not the place where they received the service or prescription.</w:t>
      </w:r>
    </w:p>
    <w:p w14:paraId="5AB6D350" w14:textId="77777777" w:rsidR="001F5741" w:rsidRDefault="001F5741" w:rsidP="001F5741">
      <w:pPr>
        <w:pStyle w:val="Heading3"/>
      </w:pPr>
      <w:r w:rsidRPr="001F5741">
        <w:t xml:space="preserve">MBS and PBS data </w:t>
      </w:r>
    </w:p>
    <w:p w14:paraId="15A24297" w14:textId="457CAAF2" w:rsidR="001F5741" w:rsidRDefault="001F5741" w:rsidP="00B03F57">
      <w:r w:rsidRPr="001F5741">
        <w:t>For the MBS and PBS data, an ABS correspondence was used to map postcode to SA3 Edition 3. Where a postcode overlapped SA3 boundaries, the number of events was apportioned across the SA3s, according to the proportion of the postcode population in the SA3s. The overall distribution of events by SA3 is considered to be statistically representative of the split population.</w:t>
      </w:r>
    </w:p>
    <w:p w14:paraId="6E2DFCBF" w14:textId="77777777" w:rsidR="0068530B" w:rsidRDefault="00BC0B55" w:rsidP="0068530B">
      <w:pPr>
        <w:pStyle w:val="Heading3"/>
      </w:pPr>
      <w:r w:rsidRPr="00BC0B55">
        <w:t xml:space="preserve">Primary Health Network areas </w:t>
      </w:r>
    </w:p>
    <w:p w14:paraId="41120EAD" w14:textId="77777777" w:rsidR="0068530B" w:rsidRDefault="00BC0B55" w:rsidP="00B03F57">
      <w:r w:rsidRPr="00BC0B55">
        <w:t xml:space="preserve">PHNs connect health services across a specific geographic area so that patients, particularly those needing coordinated care, have access to a range of services, including primary healthcare services, secondary healthcare services and hospital services. There are 31 PHN areas that cover the whole of Australia. </w:t>
      </w:r>
    </w:p>
    <w:p w14:paraId="3080F422" w14:textId="77777777" w:rsidR="00096AA7" w:rsidRDefault="00BC0B55" w:rsidP="00B03F57">
      <w:r w:rsidRPr="00BC0B55">
        <w:t xml:space="preserve">The number of events at SA3 level was mapped to a PHN area using an ABS correspondence. Where an SA3 overlapped PHN boundaries, the number of events was apportioned across the PHN areas, according to the proportion of the SA3 population in the PHN areas. </w:t>
      </w:r>
    </w:p>
    <w:p w14:paraId="529595E5" w14:textId="680C074D" w:rsidR="00BC0B55" w:rsidRDefault="00BC0B55" w:rsidP="00B03F57">
      <w:r w:rsidRPr="00BC0B55">
        <w:t>Tasmania, the Australian Capital Territory and the Northern Territory have only one PHN area each. PHN rates may differ from state or territory rates because for the MBS and PBS data, populations are sourced from different data.</w:t>
      </w:r>
    </w:p>
    <w:p w14:paraId="5294FBDF" w14:textId="77777777" w:rsidR="001E0618" w:rsidRDefault="001E0618" w:rsidP="001E0618">
      <w:pPr>
        <w:pStyle w:val="Heading3"/>
      </w:pPr>
      <w:r w:rsidRPr="001E0618">
        <w:t xml:space="preserve">Post office boxes </w:t>
      </w:r>
    </w:p>
    <w:p w14:paraId="3FBC2856" w14:textId="77777777" w:rsidR="001E0618" w:rsidRDefault="001E0618" w:rsidP="00B03F57">
      <w:r w:rsidRPr="001E0618">
        <w:t xml:space="preserve">Six post office box postcodes in major cities were excluded from analyses by SA3, PHN area, remoteness and socioeconomic status. This is because it is difficult to estimate the place of patient residence in these cases. However, these post office box postcodes were included in analyses by state and territory, and at national level. </w:t>
      </w:r>
    </w:p>
    <w:p w14:paraId="187B0602" w14:textId="77777777" w:rsidR="001E0618" w:rsidRDefault="001E0618" w:rsidP="00B03F57">
      <w:r w:rsidRPr="001E0618">
        <w:t>The following post office box postcodes were excluded</w:t>
      </w:r>
      <w:r>
        <w:t>:</w:t>
      </w:r>
    </w:p>
    <w:p w14:paraId="24FCE11F" w14:textId="77777777" w:rsidR="001E0618" w:rsidRDefault="001E0618" w:rsidP="001E0618">
      <w:pPr>
        <w:pStyle w:val="ListParagraph"/>
        <w:numPr>
          <w:ilvl w:val="0"/>
          <w:numId w:val="12"/>
        </w:numPr>
      </w:pPr>
      <w:r w:rsidRPr="001E0618">
        <w:lastRenderedPageBreak/>
        <w:t xml:space="preserve">2001 Sydney </w:t>
      </w:r>
    </w:p>
    <w:p w14:paraId="4568A491" w14:textId="77777777" w:rsidR="001E0618" w:rsidRDefault="001E0618" w:rsidP="001E0618">
      <w:pPr>
        <w:pStyle w:val="ListParagraph"/>
        <w:numPr>
          <w:ilvl w:val="0"/>
          <w:numId w:val="12"/>
        </w:numPr>
      </w:pPr>
      <w:r w:rsidRPr="001E0618">
        <w:t xml:space="preserve">2124 Parramatta </w:t>
      </w:r>
    </w:p>
    <w:p w14:paraId="77E3AC11" w14:textId="77777777" w:rsidR="001E0618" w:rsidRDefault="001E0618" w:rsidP="001E0618">
      <w:pPr>
        <w:pStyle w:val="ListParagraph"/>
        <w:numPr>
          <w:ilvl w:val="0"/>
          <w:numId w:val="12"/>
        </w:numPr>
      </w:pPr>
      <w:r w:rsidRPr="001E0618">
        <w:t>3001 Melbourne</w:t>
      </w:r>
    </w:p>
    <w:p w14:paraId="4C359430" w14:textId="77777777" w:rsidR="001E0618" w:rsidRDefault="001E0618" w:rsidP="001E0618">
      <w:pPr>
        <w:pStyle w:val="ListParagraph"/>
        <w:numPr>
          <w:ilvl w:val="0"/>
          <w:numId w:val="12"/>
        </w:numPr>
      </w:pPr>
      <w:r w:rsidRPr="001E0618">
        <w:t xml:space="preserve">4001 Brisbane </w:t>
      </w:r>
    </w:p>
    <w:p w14:paraId="75173AB0" w14:textId="77777777" w:rsidR="001E0618" w:rsidRDefault="001E0618" w:rsidP="001E0618">
      <w:pPr>
        <w:pStyle w:val="ListParagraph"/>
        <w:numPr>
          <w:ilvl w:val="0"/>
          <w:numId w:val="12"/>
        </w:numPr>
      </w:pPr>
      <w:r w:rsidRPr="001E0618">
        <w:t xml:space="preserve">5001 Adelaide </w:t>
      </w:r>
    </w:p>
    <w:p w14:paraId="2BDE8377" w14:textId="12662E9F" w:rsidR="001E0618" w:rsidRDefault="001E0618" w:rsidP="001E0618">
      <w:pPr>
        <w:pStyle w:val="ListParagraph"/>
        <w:numPr>
          <w:ilvl w:val="0"/>
          <w:numId w:val="12"/>
        </w:numPr>
      </w:pPr>
      <w:r w:rsidRPr="001E0618">
        <w:t>6843 Perth</w:t>
      </w:r>
    </w:p>
    <w:p w14:paraId="132972BD" w14:textId="084A77B1" w:rsidR="001E0618" w:rsidRDefault="001E0618" w:rsidP="001E0618">
      <w:pPr>
        <w:pStyle w:val="ListParagraph"/>
        <w:numPr>
          <w:ilvl w:val="0"/>
          <w:numId w:val="12"/>
        </w:numPr>
      </w:pPr>
      <w:r w:rsidRPr="001E0618">
        <w:t>7001 Hobart</w:t>
      </w:r>
    </w:p>
    <w:p w14:paraId="62D2D816" w14:textId="77777777" w:rsidR="003D0773" w:rsidRDefault="003D0773" w:rsidP="003D0773"/>
    <w:p w14:paraId="5FFDAF6F" w14:textId="77777777" w:rsidR="003D0773" w:rsidRDefault="003D0773" w:rsidP="003D0773">
      <w:pPr>
        <w:pStyle w:val="Heading3"/>
      </w:pPr>
      <w:r w:rsidRPr="003D0773">
        <w:t xml:space="preserve">Remoteness and socioeconomic analysis </w:t>
      </w:r>
    </w:p>
    <w:p w14:paraId="4C9CA51A" w14:textId="40E50CCF" w:rsidR="001D2598" w:rsidRDefault="003D0773" w:rsidP="003D0773">
      <w:r w:rsidRPr="003D0773">
        <w:t xml:space="preserve">SA3s were grouped into remoteness categories and socioeconomic quintiles based on the ASGS Edition 3 and the ABS Socio-Economic Indexes for Areas (SEIFA) 2021, respectively. Data by SA3 were assigned to remoteness and socioeconomic groups using this method of grouping. As a result of the method used, national data by remoteness and socioeconomic status in this report may differ slightly from equivalent data calculated using the postcode recorded on the individual records. However, it is expected that the overall patterns would be similar. For more information on SEIFA 2021, see </w:t>
      </w:r>
      <w:hyperlink r:id="rId16" w:history="1">
        <w:r w:rsidRPr="00773138">
          <w:rPr>
            <w:rStyle w:val="Hyperlink"/>
          </w:rPr>
          <w:t>https://meteor.aihw.gov.au/content/762080</w:t>
        </w:r>
      </w:hyperlink>
      <w:r>
        <w:t xml:space="preserve"> </w:t>
      </w:r>
      <w:r w:rsidRPr="003D0773">
        <w:t>.</w:t>
      </w:r>
    </w:p>
    <w:p w14:paraId="7FB395D3" w14:textId="77777777" w:rsidR="003D0773" w:rsidRDefault="003D0773" w:rsidP="003D0773"/>
    <w:p w14:paraId="1D09A967" w14:textId="77777777" w:rsidR="00E40576" w:rsidRDefault="00E40576" w:rsidP="0016186D">
      <w:pPr>
        <w:pStyle w:val="Heading3"/>
      </w:pPr>
      <w:r>
        <w:t>Derived remoteness categories</w:t>
      </w:r>
    </w:p>
    <w:p w14:paraId="13646DBB" w14:textId="741C0D64" w:rsidR="00E40576" w:rsidRDefault="00E40576" w:rsidP="00E40576">
      <w:r>
        <w:t>The ASGS Edition 3 remoteness categories divide Australia into broad geographic regions that share common characteristics of remoteness for statistical purposes. These categories divide each state and territory into several regions based on their relative access to services.</w:t>
      </w:r>
    </w:p>
    <w:p w14:paraId="0ED25A81" w14:textId="77777777" w:rsidR="00E40576" w:rsidRDefault="00E40576" w:rsidP="00E40576">
      <w:r>
        <w:t>The following remoteness categories are used:</w:t>
      </w:r>
    </w:p>
    <w:p w14:paraId="36E6C9DA" w14:textId="62BDE25B" w:rsidR="00E40576" w:rsidRDefault="00E40576" w:rsidP="00E40576">
      <w:pPr>
        <w:pStyle w:val="ListParagraph"/>
        <w:numPr>
          <w:ilvl w:val="0"/>
          <w:numId w:val="13"/>
        </w:numPr>
      </w:pPr>
      <w:r>
        <w:t>Major cities</w:t>
      </w:r>
    </w:p>
    <w:p w14:paraId="4EDA7282" w14:textId="4C2A4101" w:rsidR="00E40576" w:rsidRDefault="00E40576" w:rsidP="00E40576">
      <w:pPr>
        <w:pStyle w:val="ListParagraph"/>
        <w:numPr>
          <w:ilvl w:val="0"/>
          <w:numId w:val="13"/>
        </w:numPr>
      </w:pPr>
      <w:r>
        <w:t>Inner regional</w:t>
      </w:r>
    </w:p>
    <w:p w14:paraId="2D67B58D" w14:textId="5CEBCF0F" w:rsidR="00E40576" w:rsidRDefault="00E40576" w:rsidP="00E40576">
      <w:pPr>
        <w:pStyle w:val="ListParagraph"/>
        <w:numPr>
          <w:ilvl w:val="0"/>
          <w:numId w:val="13"/>
        </w:numPr>
      </w:pPr>
      <w:r>
        <w:t>Outer regional</w:t>
      </w:r>
    </w:p>
    <w:p w14:paraId="7EACB145" w14:textId="2CF770E6" w:rsidR="00E40576" w:rsidRDefault="00E40576" w:rsidP="00E40576">
      <w:pPr>
        <w:pStyle w:val="ListParagraph"/>
        <w:numPr>
          <w:ilvl w:val="0"/>
          <w:numId w:val="13"/>
        </w:numPr>
      </w:pPr>
      <w:r>
        <w:t>Remote</w:t>
      </w:r>
    </w:p>
    <w:p w14:paraId="4219961C" w14:textId="0B5527DF" w:rsidR="00E40576" w:rsidRDefault="00E40576" w:rsidP="00E40576">
      <w:pPr>
        <w:pStyle w:val="ListParagraph"/>
        <w:numPr>
          <w:ilvl w:val="0"/>
          <w:numId w:val="13"/>
        </w:numPr>
      </w:pPr>
      <w:r>
        <w:t>Very remote.</w:t>
      </w:r>
    </w:p>
    <w:p w14:paraId="1F7E935F" w14:textId="1E3B90C9" w:rsidR="003D0773" w:rsidRDefault="00E40576" w:rsidP="00E40576">
      <w:r>
        <w:t>An ABS correspondence file was used to allocate a remoteness category to each SA3. Where an SA3 overlapped two or more remoteness categories, the one with the largest population was selected.</w:t>
      </w:r>
    </w:p>
    <w:p w14:paraId="3ADE028B" w14:textId="77777777" w:rsidR="0016186D" w:rsidRDefault="0016186D" w:rsidP="00C24B29">
      <w:pPr>
        <w:pStyle w:val="Heading3"/>
      </w:pPr>
      <w:r w:rsidRPr="0016186D">
        <w:t xml:space="preserve">Derived socioeconomic quintiles </w:t>
      </w:r>
    </w:p>
    <w:p w14:paraId="66FC0E07" w14:textId="77777777" w:rsidR="0016186D" w:rsidRDefault="0016186D" w:rsidP="003D0773">
      <w:r w:rsidRPr="0016186D">
        <w:t>There are four indexes in SEIFA 2021, and the Index of Relative Socio-Economic Disadvantage (IRSD) 2021 was used for socioeconomic analysis. IRSD 2021 ranks areas in Australia according to relative socioeconomic disadvantage. The index is based on information collected in the 2021 Census on different aspects of disadvantage, such as low income, low educational attainment and high unemployment</w:t>
      </w:r>
      <w:r>
        <w:t xml:space="preserve">. </w:t>
      </w:r>
    </w:p>
    <w:p w14:paraId="643E2520" w14:textId="77777777" w:rsidR="0016186D" w:rsidRDefault="0016186D" w:rsidP="003D0773">
      <w:r w:rsidRPr="0016186D">
        <w:t xml:space="preserve">A low score indicates a high proportion of relatively disadvantaged people in an area. For example, an area could have a high proportion of people without educational qualifications or working in low-skill occupations. In contrast, a high score indicates a low proportion of relatively disadvantaged people in an area. It is important to note that the index reflects the overall socioeconomic position of the population in an area, and that the socioeconomic position of individuals in that area may vary. </w:t>
      </w:r>
    </w:p>
    <w:p w14:paraId="48F66BD2" w14:textId="039930A4" w:rsidR="0016186D" w:rsidRDefault="0016186D" w:rsidP="003D0773">
      <w:r w:rsidRPr="0016186D">
        <w:t xml:space="preserve">The ABS publishes an </w:t>
      </w:r>
      <w:hyperlink r:id="rId17" w:anchor="data-downloads" w:history="1">
        <w:r w:rsidRPr="00C24B29">
          <w:rPr>
            <w:rStyle w:val="Hyperlink"/>
          </w:rPr>
          <w:t>index value for each SA1</w:t>
        </w:r>
      </w:hyperlink>
      <w:r w:rsidRPr="0016186D">
        <w:t xml:space="preserve">. These are ranked according to their level of disadvantage (index value) and grouped into 10 equally populated categories (deciles), with the lowest category reflecting the 10% of areas with the greatest overall level of disadvantage. For each SA3, the deciles were combined to form quintiles, and the number of SA1s in each </w:t>
      </w:r>
      <w:r w:rsidRPr="0016186D">
        <w:lastRenderedPageBreak/>
        <w:t>quintile was calculated. The quintile with the largest number of SA1s was selected as the quintile for the SA3.</w:t>
      </w:r>
    </w:p>
    <w:p w14:paraId="7E73F84B" w14:textId="77777777" w:rsidR="00C24B29" w:rsidRDefault="00C24B29" w:rsidP="00C24B29">
      <w:pPr>
        <w:pStyle w:val="Heading3"/>
      </w:pPr>
    </w:p>
    <w:p w14:paraId="4E38E721" w14:textId="77777777" w:rsidR="00C24B29" w:rsidRDefault="00C24B29" w:rsidP="00C24B29">
      <w:pPr>
        <w:pStyle w:val="Heading3"/>
      </w:pPr>
      <w:r>
        <w:t>Combining remoteness and socioeconomic quintiles</w:t>
      </w:r>
    </w:p>
    <w:p w14:paraId="39EC0AFA" w14:textId="4091253D" w:rsidR="00C24B29" w:rsidRDefault="00C24B29" w:rsidP="00C24B29">
      <w:r>
        <w:t xml:space="preserve">When remoteness categories and socioeconomic quintiles are combined, there are 25 combinations to which SA3s can be assigned. Some categories and quintiles were combined to ensure that each of the final 14 combinations contained at least six SA3s for comparison purposes (Table </w:t>
      </w:r>
      <w:r w:rsidR="476F4FC1">
        <w:t>1</w:t>
      </w:r>
      <w:r>
        <w:t>).</w:t>
      </w:r>
    </w:p>
    <w:p w14:paraId="2ABABB1D" w14:textId="77777777" w:rsidR="006D5930" w:rsidRDefault="00C24B29" w:rsidP="00C24B29">
      <w:r>
        <w:t>In this report, the SA3s in the combined ‘remote’ and ‘very remote’ areas are labelled ‘remote’. The SA3s with the most overall disadvantage are labelled ‘low SES (1)’, and the SA3s with the least overall disadvantage are labelled ‘high SES (5)’. Where socioeconomic quintiles are combined (for example, quintiles 4 and 5), the SA3s with the least overall disadvantage are labelled ‘higher SES’ (for example, 4+).</w:t>
      </w:r>
      <w:r>
        <w:cr/>
      </w:r>
    </w:p>
    <w:p w14:paraId="53B6A41B" w14:textId="02C931BE" w:rsidR="1E1377C2" w:rsidRDefault="1E1377C2" w:rsidP="396DA80C">
      <w:r w:rsidRPr="396DA80C">
        <w:rPr>
          <w:rFonts w:ascii="Arial" w:eastAsia="Arial" w:hAnsi="Arial" w:cs="Arial"/>
        </w:rPr>
        <w:t>Table 1 Number of SA3s by combined remoteness categories and socioeconomic quintiles</w:t>
      </w:r>
    </w:p>
    <w:tbl>
      <w:tblPr>
        <w:tblStyle w:val="SQHTable"/>
        <w:tblW w:w="9174" w:type="dxa"/>
        <w:tblBorders>
          <w:top w:val="single" w:sz="2" w:space="0" w:color="421A75" w:themeColor="accent1"/>
          <w:left w:val="single" w:sz="2" w:space="0" w:color="421A75" w:themeColor="accent1"/>
          <w:bottom w:val="single" w:sz="2" w:space="0" w:color="421A75" w:themeColor="accent1"/>
          <w:right w:val="single" w:sz="2" w:space="0" w:color="421A75" w:themeColor="accent1"/>
          <w:insideH w:val="single" w:sz="2" w:space="0" w:color="421A75" w:themeColor="accent1"/>
          <w:insideV w:val="single" w:sz="2" w:space="0" w:color="421A75" w:themeColor="accent1"/>
        </w:tblBorders>
        <w:tblLook w:val="04A0" w:firstRow="1" w:lastRow="0" w:firstColumn="1" w:lastColumn="0" w:noHBand="0" w:noVBand="1"/>
      </w:tblPr>
      <w:tblGrid>
        <w:gridCol w:w="1984"/>
        <w:gridCol w:w="1438"/>
        <w:gridCol w:w="1438"/>
        <w:gridCol w:w="1438"/>
        <w:gridCol w:w="1438"/>
        <w:gridCol w:w="1438"/>
      </w:tblGrid>
      <w:tr w:rsidR="006D5930" w14:paraId="3F7F259C" w14:textId="77777777" w:rsidTr="396DA80C">
        <w:trPr>
          <w:cnfStyle w:val="100000000000" w:firstRow="1" w:lastRow="0" w:firstColumn="0" w:lastColumn="0" w:oddVBand="0" w:evenVBand="0" w:oddHBand="0" w:evenHBand="0" w:firstRowFirstColumn="0" w:firstRowLastColumn="0" w:lastRowFirstColumn="0" w:lastRowLastColumn="0"/>
        </w:trPr>
        <w:tc>
          <w:tcPr>
            <w:tcW w:w="1984" w:type="dxa"/>
          </w:tcPr>
          <w:p w14:paraId="4C8C8CF0" w14:textId="77777777" w:rsidR="006D5930" w:rsidRDefault="006D5930" w:rsidP="2A795FC3"/>
        </w:tc>
        <w:tc>
          <w:tcPr>
            <w:tcW w:w="7190" w:type="dxa"/>
            <w:gridSpan w:val="5"/>
          </w:tcPr>
          <w:p w14:paraId="310C49FC" w14:textId="4D66778F" w:rsidR="006D5930" w:rsidRDefault="006D5930" w:rsidP="2A795FC3">
            <w:pPr>
              <w:jc w:val="center"/>
            </w:pPr>
            <w:r w:rsidRPr="2A795FC3">
              <w:t>Socioeconomic quintile</w:t>
            </w:r>
          </w:p>
        </w:tc>
      </w:tr>
      <w:tr w:rsidR="006D5930" w14:paraId="0CFF07A4" w14:textId="77777777" w:rsidTr="396DA80C">
        <w:tc>
          <w:tcPr>
            <w:tcW w:w="1984" w:type="dxa"/>
            <w:shd w:val="clear" w:color="auto" w:fill="421A75" w:themeFill="accent1"/>
          </w:tcPr>
          <w:p w14:paraId="0BD2B315" w14:textId="6995A877" w:rsidR="006D5930" w:rsidRPr="006D5930" w:rsidRDefault="006D5930" w:rsidP="00C24B29">
            <w:pPr>
              <w:rPr>
                <w:b/>
                <w:bCs/>
              </w:rPr>
            </w:pPr>
            <w:r w:rsidRPr="006D5930">
              <w:rPr>
                <w:b/>
                <w:bCs/>
                <w:color w:val="FFFFFF" w:themeColor="background1"/>
              </w:rPr>
              <w:t xml:space="preserve">Remoteness </w:t>
            </w:r>
          </w:p>
        </w:tc>
        <w:tc>
          <w:tcPr>
            <w:tcW w:w="1438" w:type="dxa"/>
            <w:shd w:val="clear" w:color="auto" w:fill="421A75" w:themeFill="accent1"/>
            <w:vAlign w:val="center"/>
          </w:tcPr>
          <w:p w14:paraId="2D2CE534" w14:textId="7F16DD59" w:rsidR="006D5930" w:rsidRPr="006D5930" w:rsidRDefault="006D5930" w:rsidP="2A795FC3">
            <w:pPr>
              <w:jc w:val="center"/>
              <w:rPr>
                <w:b/>
                <w:bCs/>
                <w:color w:val="FFFFFF" w:themeColor="background1"/>
              </w:rPr>
            </w:pPr>
            <w:r w:rsidRPr="2A795FC3">
              <w:rPr>
                <w:b/>
                <w:bCs/>
                <w:color w:val="FFFFFF" w:themeColor="background1"/>
              </w:rPr>
              <w:t>1 (Low)</w:t>
            </w:r>
          </w:p>
        </w:tc>
        <w:tc>
          <w:tcPr>
            <w:tcW w:w="1438" w:type="dxa"/>
            <w:shd w:val="clear" w:color="auto" w:fill="421A75" w:themeFill="accent1"/>
            <w:vAlign w:val="center"/>
          </w:tcPr>
          <w:p w14:paraId="2E61B4B0" w14:textId="2B369BB7" w:rsidR="006D5930" w:rsidRPr="006D5930" w:rsidRDefault="006D5930" w:rsidP="2A795FC3">
            <w:pPr>
              <w:jc w:val="center"/>
              <w:rPr>
                <w:b/>
                <w:bCs/>
                <w:color w:val="FFFFFF" w:themeColor="background1"/>
              </w:rPr>
            </w:pPr>
            <w:r w:rsidRPr="2A795FC3">
              <w:rPr>
                <w:b/>
                <w:bCs/>
                <w:color w:val="FFFFFF" w:themeColor="background1"/>
              </w:rPr>
              <w:t>2</w:t>
            </w:r>
          </w:p>
        </w:tc>
        <w:tc>
          <w:tcPr>
            <w:tcW w:w="1438" w:type="dxa"/>
            <w:shd w:val="clear" w:color="auto" w:fill="421A75" w:themeFill="accent1"/>
            <w:vAlign w:val="center"/>
          </w:tcPr>
          <w:p w14:paraId="755D91A3" w14:textId="69008309" w:rsidR="006D5930" w:rsidRPr="006D5930" w:rsidRDefault="006D5930" w:rsidP="2A795FC3">
            <w:pPr>
              <w:jc w:val="center"/>
              <w:rPr>
                <w:b/>
                <w:bCs/>
                <w:color w:val="FFFFFF" w:themeColor="background1"/>
              </w:rPr>
            </w:pPr>
            <w:r w:rsidRPr="2A795FC3">
              <w:rPr>
                <w:b/>
                <w:bCs/>
                <w:color w:val="FFFFFF" w:themeColor="background1"/>
              </w:rPr>
              <w:t>3</w:t>
            </w:r>
          </w:p>
        </w:tc>
        <w:tc>
          <w:tcPr>
            <w:tcW w:w="1438" w:type="dxa"/>
            <w:shd w:val="clear" w:color="auto" w:fill="421A75" w:themeFill="accent1"/>
            <w:vAlign w:val="center"/>
          </w:tcPr>
          <w:p w14:paraId="21A901EB" w14:textId="53AFDC04" w:rsidR="006D5930" w:rsidRPr="006D5930" w:rsidRDefault="006D5930" w:rsidP="2A795FC3">
            <w:pPr>
              <w:jc w:val="center"/>
              <w:rPr>
                <w:b/>
                <w:bCs/>
                <w:color w:val="FFFFFF" w:themeColor="background1"/>
              </w:rPr>
            </w:pPr>
            <w:r w:rsidRPr="2A795FC3">
              <w:rPr>
                <w:b/>
                <w:bCs/>
                <w:color w:val="FFFFFF" w:themeColor="background1"/>
              </w:rPr>
              <w:t>4</w:t>
            </w:r>
          </w:p>
        </w:tc>
        <w:tc>
          <w:tcPr>
            <w:tcW w:w="1438" w:type="dxa"/>
            <w:shd w:val="clear" w:color="auto" w:fill="421A75" w:themeFill="accent1"/>
            <w:vAlign w:val="center"/>
          </w:tcPr>
          <w:p w14:paraId="6BBB56D5" w14:textId="489720B8" w:rsidR="006D5930" w:rsidRPr="006D5930" w:rsidRDefault="006D5930" w:rsidP="2A795FC3">
            <w:pPr>
              <w:jc w:val="center"/>
              <w:rPr>
                <w:b/>
                <w:bCs/>
                <w:color w:val="FFFFFF" w:themeColor="background1"/>
              </w:rPr>
            </w:pPr>
            <w:r w:rsidRPr="2A795FC3">
              <w:rPr>
                <w:b/>
                <w:bCs/>
                <w:color w:val="FFFFFF" w:themeColor="background1"/>
              </w:rPr>
              <w:t>5 (High)</w:t>
            </w:r>
          </w:p>
        </w:tc>
      </w:tr>
      <w:tr w:rsidR="006D5930" w14:paraId="73A013C5" w14:textId="77777777" w:rsidTr="396DA80C">
        <w:trPr>
          <w:cnfStyle w:val="000000010000" w:firstRow="0" w:lastRow="0" w:firstColumn="0" w:lastColumn="0" w:oddVBand="0" w:evenVBand="0" w:oddHBand="0" w:evenHBand="1" w:firstRowFirstColumn="0" w:firstRowLastColumn="0" w:lastRowFirstColumn="0" w:lastRowLastColumn="0"/>
        </w:trPr>
        <w:tc>
          <w:tcPr>
            <w:tcW w:w="1984" w:type="dxa"/>
          </w:tcPr>
          <w:p w14:paraId="2ED4E589" w14:textId="3D58DD39" w:rsidR="006D5930" w:rsidRDefault="006D5930" w:rsidP="00C24B29">
            <w:r>
              <w:t xml:space="preserve">Major cities </w:t>
            </w:r>
          </w:p>
        </w:tc>
        <w:tc>
          <w:tcPr>
            <w:tcW w:w="1438" w:type="dxa"/>
            <w:vAlign w:val="center"/>
          </w:tcPr>
          <w:p w14:paraId="38769322" w14:textId="48C1BC42" w:rsidR="006D5930" w:rsidRDefault="006D5930" w:rsidP="2A795FC3">
            <w:pPr>
              <w:jc w:val="center"/>
            </w:pPr>
            <w:r>
              <w:t>30</w:t>
            </w:r>
          </w:p>
        </w:tc>
        <w:tc>
          <w:tcPr>
            <w:tcW w:w="1438" w:type="dxa"/>
            <w:vAlign w:val="center"/>
          </w:tcPr>
          <w:p w14:paraId="37F75B70" w14:textId="2526D4AE" w:rsidR="006D5930" w:rsidRDefault="00686387" w:rsidP="2A795FC3">
            <w:pPr>
              <w:jc w:val="center"/>
            </w:pPr>
            <w:r>
              <w:t>26</w:t>
            </w:r>
          </w:p>
        </w:tc>
        <w:tc>
          <w:tcPr>
            <w:tcW w:w="1438" w:type="dxa"/>
            <w:vAlign w:val="center"/>
          </w:tcPr>
          <w:p w14:paraId="277BBA98" w14:textId="40B4D928" w:rsidR="006D5930" w:rsidRDefault="00686387" w:rsidP="2A795FC3">
            <w:pPr>
              <w:jc w:val="center"/>
            </w:pPr>
            <w:r>
              <w:t>36</w:t>
            </w:r>
          </w:p>
        </w:tc>
        <w:tc>
          <w:tcPr>
            <w:tcW w:w="1438" w:type="dxa"/>
            <w:vAlign w:val="center"/>
          </w:tcPr>
          <w:p w14:paraId="50B22A11" w14:textId="72F54CAF" w:rsidR="006D5930" w:rsidRDefault="00686387" w:rsidP="2A795FC3">
            <w:pPr>
              <w:jc w:val="center"/>
            </w:pPr>
            <w:r>
              <w:t>32</w:t>
            </w:r>
          </w:p>
        </w:tc>
        <w:tc>
          <w:tcPr>
            <w:tcW w:w="1438" w:type="dxa"/>
            <w:vAlign w:val="center"/>
          </w:tcPr>
          <w:p w14:paraId="5E04A7A3" w14:textId="5B63FBBA" w:rsidR="006D5930" w:rsidRDefault="00686387" w:rsidP="2A795FC3">
            <w:pPr>
              <w:jc w:val="center"/>
            </w:pPr>
            <w:r>
              <w:t>67</w:t>
            </w:r>
          </w:p>
        </w:tc>
      </w:tr>
      <w:tr w:rsidR="00686387" w14:paraId="6BC1CA3F" w14:textId="77777777" w:rsidTr="396DA80C">
        <w:tc>
          <w:tcPr>
            <w:tcW w:w="1984" w:type="dxa"/>
          </w:tcPr>
          <w:p w14:paraId="5F235A8F" w14:textId="582AC162" w:rsidR="00686387" w:rsidRDefault="00686387" w:rsidP="00C24B29">
            <w:r>
              <w:t>Inner regional</w:t>
            </w:r>
          </w:p>
        </w:tc>
        <w:tc>
          <w:tcPr>
            <w:tcW w:w="1438" w:type="dxa"/>
            <w:vAlign w:val="center"/>
          </w:tcPr>
          <w:p w14:paraId="6A5612AA" w14:textId="3C855E32" w:rsidR="00686387" w:rsidRDefault="00686387" w:rsidP="2A795FC3">
            <w:pPr>
              <w:jc w:val="center"/>
            </w:pPr>
            <w:r>
              <w:t>33</w:t>
            </w:r>
          </w:p>
        </w:tc>
        <w:tc>
          <w:tcPr>
            <w:tcW w:w="1438" w:type="dxa"/>
            <w:tcBorders>
              <w:bottom w:val="single" w:sz="2" w:space="0" w:color="000000" w:themeColor="text1"/>
            </w:tcBorders>
            <w:vAlign w:val="center"/>
          </w:tcPr>
          <w:p w14:paraId="0316E11F" w14:textId="5DADD8FA" w:rsidR="00686387" w:rsidRDefault="00686387" w:rsidP="2A795FC3">
            <w:pPr>
              <w:jc w:val="center"/>
            </w:pPr>
            <w:r>
              <w:t>27</w:t>
            </w:r>
          </w:p>
        </w:tc>
        <w:tc>
          <w:tcPr>
            <w:tcW w:w="1438" w:type="dxa"/>
            <w:vAlign w:val="center"/>
          </w:tcPr>
          <w:p w14:paraId="2EDCE81F" w14:textId="30CEB366" w:rsidR="00686387" w:rsidRDefault="101BB3A1" w:rsidP="2A795FC3">
            <w:pPr>
              <w:jc w:val="center"/>
            </w:pPr>
            <w:r>
              <w:t>7</w:t>
            </w:r>
          </w:p>
        </w:tc>
        <w:tc>
          <w:tcPr>
            <w:tcW w:w="2876" w:type="dxa"/>
            <w:gridSpan w:val="2"/>
            <w:vAlign w:val="center"/>
          </w:tcPr>
          <w:p w14:paraId="249DE259" w14:textId="3BD6F023" w:rsidR="101BB3A1" w:rsidRDefault="101BB3A1" w:rsidP="30FE571C">
            <w:pPr>
              <w:jc w:val="center"/>
              <w:rPr>
                <w:sz w:val="16"/>
                <w:szCs w:val="16"/>
              </w:rPr>
            </w:pPr>
            <w:r>
              <w:t>14</w:t>
            </w:r>
            <w:r w:rsidR="576F9F2A" w:rsidRPr="30FE571C">
              <w:rPr>
                <w:szCs w:val="20"/>
                <w:vertAlign w:val="superscript"/>
              </w:rPr>
              <w:t>†</w:t>
            </w:r>
          </w:p>
        </w:tc>
      </w:tr>
      <w:tr w:rsidR="006D5930" w14:paraId="04D8E750" w14:textId="77777777" w:rsidTr="396DA80C">
        <w:trPr>
          <w:cnfStyle w:val="000000010000" w:firstRow="0" w:lastRow="0" w:firstColumn="0" w:lastColumn="0" w:oddVBand="0" w:evenVBand="0" w:oddHBand="0" w:evenHBand="1" w:firstRowFirstColumn="0" w:firstRowLastColumn="0" w:lastRowFirstColumn="0" w:lastRowLastColumn="0"/>
        </w:trPr>
        <w:tc>
          <w:tcPr>
            <w:tcW w:w="0" w:type="auto"/>
          </w:tcPr>
          <w:p w14:paraId="1F38F053" w14:textId="21A0D84C" w:rsidR="001056B5" w:rsidRDefault="65F8FF1A">
            <w:r>
              <w:t>Outer regional</w:t>
            </w:r>
          </w:p>
        </w:tc>
        <w:tc>
          <w:tcPr>
            <w:tcW w:w="1438" w:type="dxa"/>
            <w:tcBorders>
              <w:right w:val="single" w:sz="2" w:space="0" w:color="000000" w:themeColor="text1"/>
            </w:tcBorders>
            <w:vAlign w:val="center"/>
          </w:tcPr>
          <w:p w14:paraId="073DB0AA" w14:textId="7ECF648E" w:rsidR="53F8F21E" w:rsidRDefault="53F8F21E" w:rsidP="2A795FC3">
            <w:pPr>
              <w:jc w:val="center"/>
            </w:pPr>
            <w:r>
              <w:t>25</w:t>
            </w:r>
          </w:p>
        </w:tc>
        <w:tc>
          <w:tcPr>
            <w:tcW w:w="143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17597A0" w14:textId="38CB335E" w:rsidR="006D5930" w:rsidRDefault="00686387" w:rsidP="2A795FC3">
            <w:pPr>
              <w:jc w:val="center"/>
            </w:pPr>
            <w:r>
              <w:t>15</w:t>
            </w:r>
          </w:p>
        </w:tc>
        <w:tc>
          <w:tcPr>
            <w:tcW w:w="4314" w:type="dxa"/>
            <w:gridSpan w:val="3"/>
            <w:tcBorders>
              <w:left w:val="single" w:sz="2" w:space="0" w:color="000000" w:themeColor="text1"/>
            </w:tcBorders>
            <w:vAlign w:val="center"/>
          </w:tcPr>
          <w:p w14:paraId="7D6E2045" w14:textId="000484ED" w:rsidR="006D5930" w:rsidRDefault="00686387" w:rsidP="30FE571C">
            <w:pPr>
              <w:jc w:val="center"/>
              <w:rPr>
                <w:sz w:val="16"/>
                <w:szCs w:val="16"/>
              </w:rPr>
            </w:pPr>
            <w:r>
              <w:t>7</w:t>
            </w:r>
            <w:r w:rsidR="09C70DCC" w:rsidRPr="30FE571C">
              <w:rPr>
                <w:szCs w:val="20"/>
                <w:vertAlign w:val="superscript"/>
              </w:rPr>
              <w:t>†</w:t>
            </w:r>
          </w:p>
        </w:tc>
      </w:tr>
      <w:tr w:rsidR="006D5930" w14:paraId="65A960C0" w14:textId="77777777" w:rsidTr="396DA80C">
        <w:tc>
          <w:tcPr>
            <w:tcW w:w="1984" w:type="dxa"/>
          </w:tcPr>
          <w:p w14:paraId="102E9F70" w14:textId="53131BC7" w:rsidR="006D5930" w:rsidRDefault="006D5930" w:rsidP="00C24B29">
            <w:r>
              <w:t>Remote and very remote</w:t>
            </w:r>
          </w:p>
        </w:tc>
        <w:tc>
          <w:tcPr>
            <w:tcW w:w="1438" w:type="dxa"/>
            <w:vAlign w:val="center"/>
          </w:tcPr>
          <w:p w14:paraId="67A74814" w14:textId="3495EC19" w:rsidR="006D5930" w:rsidRDefault="006D5930" w:rsidP="2A795FC3">
            <w:pPr>
              <w:jc w:val="center"/>
            </w:pPr>
            <w:r>
              <w:t>11</w:t>
            </w:r>
          </w:p>
        </w:tc>
        <w:tc>
          <w:tcPr>
            <w:tcW w:w="5752" w:type="dxa"/>
            <w:gridSpan w:val="4"/>
            <w:vAlign w:val="center"/>
          </w:tcPr>
          <w:p w14:paraId="094CE2E7" w14:textId="6530B297" w:rsidR="006D5930" w:rsidRDefault="00686387" w:rsidP="30FE571C">
            <w:pPr>
              <w:jc w:val="center"/>
              <w:rPr>
                <w:sz w:val="16"/>
                <w:szCs w:val="16"/>
              </w:rPr>
            </w:pPr>
            <w:r>
              <w:t>8</w:t>
            </w:r>
            <w:r w:rsidR="3B0F1DAC" w:rsidRPr="30FE571C">
              <w:rPr>
                <w:szCs w:val="20"/>
                <w:vertAlign w:val="superscript"/>
              </w:rPr>
              <w:t>†</w:t>
            </w:r>
          </w:p>
        </w:tc>
      </w:tr>
    </w:tbl>
    <w:p w14:paraId="4D341EC0" w14:textId="7E8C5B08" w:rsidR="008572D0" w:rsidRPr="008572D0" w:rsidRDefault="008572D0" w:rsidP="008572D0">
      <w:pPr>
        <w:rPr>
          <w:sz w:val="16"/>
          <w:szCs w:val="16"/>
        </w:rPr>
      </w:pPr>
      <w:r w:rsidRPr="008572D0">
        <w:rPr>
          <w:sz w:val="16"/>
          <w:szCs w:val="16"/>
        </w:rPr>
        <w:t xml:space="preserve">* Two SA3s (Blue Mountains - South and Illawarra Catchment Reserve) were not included because the population in these areas was too small for them to be assigned a socioeconomic quintile. </w:t>
      </w:r>
    </w:p>
    <w:p w14:paraId="78B02AA9" w14:textId="5417A3BF" w:rsidR="00C24B29" w:rsidRPr="008572D0" w:rsidRDefault="008572D0" w:rsidP="008572D0">
      <w:pPr>
        <w:rPr>
          <w:sz w:val="16"/>
          <w:szCs w:val="16"/>
        </w:rPr>
      </w:pPr>
      <w:r w:rsidRPr="008572D0">
        <w:rPr>
          <w:sz w:val="16"/>
          <w:szCs w:val="16"/>
        </w:rPr>
        <w:t>† Numbers between columns where adjacent socioeconomic quintiles were combined</w:t>
      </w:r>
      <w:r w:rsidR="00A83030">
        <w:rPr>
          <w:sz w:val="16"/>
          <w:szCs w:val="16"/>
        </w:rPr>
        <w:t>.</w:t>
      </w:r>
    </w:p>
    <w:p w14:paraId="0D633C45" w14:textId="77777777" w:rsidR="00A70F1E" w:rsidRDefault="00A70F1E" w:rsidP="00C24B29"/>
    <w:p w14:paraId="181D5B91" w14:textId="77777777" w:rsidR="00A70F1E" w:rsidRDefault="00A70F1E" w:rsidP="00A70F1E">
      <w:pPr>
        <w:pStyle w:val="Heading3"/>
      </w:pPr>
      <w:r w:rsidRPr="00A70F1E">
        <w:t xml:space="preserve">Suppression protocol </w:t>
      </w:r>
    </w:p>
    <w:p w14:paraId="1385CE72" w14:textId="77777777" w:rsidR="00A70F1E" w:rsidRDefault="00A70F1E" w:rsidP="00C24B29">
      <w:r w:rsidRPr="00A70F1E">
        <w:t xml:space="preserve">Rates based on small numbers of events and/or very small populations are more susceptible to random fluctuations and may not provide a reliable representation of activity in that area. For reliability reasons, areas with volatile rates were suppressed (Table 2). Data that could lead to the identification of individual patients, providers or prescribers were also suppressed. If applicable, consequential suppression was applied to manage confidentiality. </w:t>
      </w:r>
    </w:p>
    <w:p w14:paraId="666C3899" w14:textId="394E7FB3" w:rsidR="00A70F1E" w:rsidRDefault="00A70F1E" w:rsidP="00C24B29">
      <w:r w:rsidRPr="00A70F1E">
        <w:t>Suppressed SA3s were marked as not published and coloured grey in maps. Data from these suppressions were included in analyses for larger geographic areas – for example, analysis by state and territory, remoteness and socioeconomic status.</w:t>
      </w:r>
    </w:p>
    <w:p w14:paraId="6A5D2CB8" w14:textId="77777777" w:rsidR="000B23CF" w:rsidRDefault="000B23CF" w:rsidP="00C24B29"/>
    <w:p w14:paraId="199DA75D" w14:textId="77777777" w:rsidR="000B23CF" w:rsidRDefault="000B23CF" w:rsidP="000B23CF">
      <w:pPr>
        <w:pStyle w:val="Heading3"/>
      </w:pPr>
      <w:r>
        <w:t>Sensitivity analysis</w:t>
      </w:r>
    </w:p>
    <w:p w14:paraId="1B75FCBF" w14:textId="1BBE75AB" w:rsidR="000B23CF" w:rsidRDefault="000B23CF" w:rsidP="000B23CF">
      <w:r>
        <w:t xml:space="preserve">Most data were age and sex standardised. Several SA3s in the Northern Territory were consistently suppressed because the population in one or more age and sex groups for standardisation was less than 30. The Northern Territory requested that consideration be given to relaxing this suppression rule. For earlier analyses, a sensitivity analysis was used to </w:t>
      </w:r>
      <w:r>
        <w:lastRenderedPageBreak/>
        <w:t>investigate the volatility of the rates for the affected SA3s. For consistency, the sensitivity analysis was applied to all affected SA3s, not just those in the Northern Territory. The procedure to conduct the sensitivity analysis is summarised in Box 1.</w:t>
      </w:r>
    </w:p>
    <w:p w14:paraId="623C872E" w14:textId="77777777" w:rsidR="00087F29" w:rsidRDefault="00087F29" w:rsidP="000B23CF"/>
    <w:p w14:paraId="760515AF" w14:textId="42E26A13" w:rsidR="003D7C06" w:rsidRPr="00E01402" w:rsidRDefault="003D7C06" w:rsidP="000B23CF">
      <w:pPr>
        <w:rPr>
          <w:sz w:val="20"/>
          <w:szCs w:val="20"/>
        </w:rPr>
      </w:pPr>
      <w:r w:rsidRPr="00E01402">
        <w:rPr>
          <w:b/>
          <w:bCs/>
          <w:sz w:val="20"/>
          <w:szCs w:val="20"/>
        </w:rPr>
        <w:t>Table 2</w:t>
      </w:r>
      <w:r w:rsidR="00E01402" w:rsidRPr="00E01402">
        <w:rPr>
          <w:b/>
          <w:bCs/>
          <w:sz w:val="20"/>
          <w:szCs w:val="20"/>
        </w:rPr>
        <w:tab/>
      </w:r>
      <w:r w:rsidR="00CC29FD" w:rsidRPr="00E01402">
        <w:rPr>
          <w:sz w:val="20"/>
          <w:szCs w:val="20"/>
        </w:rPr>
        <w:tab/>
      </w:r>
      <w:r w:rsidRPr="00E01402">
        <w:rPr>
          <w:sz w:val="20"/>
          <w:szCs w:val="20"/>
        </w:rPr>
        <w:t xml:space="preserve">Rules for the suppression of an area of patient residence </w:t>
      </w:r>
    </w:p>
    <w:tbl>
      <w:tblPr>
        <w:tblStyle w:val="SQHTable"/>
        <w:tblW w:w="9173" w:type="dxa"/>
        <w:tblBorders>
          <w:top w:val="single" w:sz="2" w:space="0" w:color="421A75" w:themeColor="accent1"/>
          <w:left w:val="single" w:sz="2" w:space="0" w:color="421A75" w:themeColor="accent1"/>
          <w:bottom w:val="single" w:sz="2" w:space="0" w:color="421A75" w:themeColor="accent1"/>
          <w:right w:val="single" w:sz="2" w:space="0" w:color="421A75" w:themeColor="accent1"/>
          <w:insideH w:val="single" w:sz="2" w:space="0" w:color="421A75" w:themeColor="accent1"/>
          <w:insideV w:val="single" w:sz="2" w:space="0" w:color="421A75" w:themeColor="accent1"/>
        </w:tblBorders>
        <w:tblLook w:val="04A0" w:firstRow="1" w:lastRow="0" w:firstColumn="1" w:lastColumn="0" w:noHBand="0" w:noVBand="1"/>
      </w:tblPr>
      <w:tblGrid>
        <w:gridCol w:w="1688"/>
        <w:gridCol w:w="3322"/>
        <w:gridCol w:w="1672"/>
        <w:gridCol w:w="2491"/>
      </w:tblGrid>
      <w:tr w:rsidR="0064162C" w14:paraId="2FE756E3" w14:textId="77777777" w:rsidTr="2A795FC3">
        <w:trPr>
          <w:cnfStyle w:val="100000000000" w:firstRow="1" w:lastRow="0" w:firstColumn="0" w:lastColumn="0" w:oddVBand="0" w:evenVBand="0" w:oddHBand="0" w:evenHBand="0" w:firstRowFirstColumn="0" w:firstRowLastColumn="0" w:lastRowFirstColumn="0" w:lastRowLastColumn="0"/>
        </w:trPr>
        <w:tc>
          <w:tcPr>
            <w:tcW w:w="1688" w:type="dxa"/>
          </w:tcPr>
          <w:p w14:paraId="23B720CF" w14:textId="326ED05A" w:rsidR="0064162C" w:rsidRDefault="0064162C" w:rsidP="61DE263F">
            <w:r w:rsidRPr="61DE263F">
              <w:t>Data Source</w:t>
            </w:r>
          </w:p>
        </w:tc>
        <w:tc>
          <w:tcPr>
            <w:tcW w:w="3322" w:type="dxa"/>
          </w:tcPr>
          <w:p w14:paraId="43725B99" w14:textId="78BB63BA" w:rsidR="0064162C" w:rsidRDefault="0064162C" w:rsidP="61DE263F">
            <w:r w:rsidRPr="61DE263F">
              <w:t>Numerator</w:t>
            </w:r>
          </w:p>
        </w:tc>
        <w:tc>
          <w:tcPr>
            <w:tcW w:w="1672" w:type="dxa"/>
          </w:tcPr>
          <w:p w14:paraId="1530D17B" w14:textId="33B593AE" w:rsidR="0064162C" w:rsidRDefault="0064162C" w:rsidP="61DE263F">
            <w:r w:rsidRPr="61DE263F">
              <w:t>Denominator</w:t>
            </w:r>
          </w:p>
        </w:tc>
        <w:tc>
          <w:tcPr>
            <w:tcW w:w="2491" w:type="dxa"/>
          </w:tcPr>
          <w:p w14:paraId="0CE10772" w14:textId="6A5F9B0B" w:rsidR="0064162C" w:rsidRDefault="0064162C" w:rsidP="61DE263F">
            <w:r w:rsidRPr="61DE263F">
              <w:t>Denominator for age and sex groups</w:t>
            </w:r>
          </w:p>
        </w:tc>
      </w:tr>
      <w:tr w:rsidR="0064162C" w14:paraId="51128ECE" w14:textId="77777777" w:rsidTr="2A795FC3">
        <w:tc>
          <w:tcPr>
            <w:tcW w:w="1688" w:type="dxa"/>
          </w:tcPr>
          <w:p w14:paraId="58FD1E53" w14:textId="6E803FC4" w:rsidR="0064162C" w:rsidRDefault="0064162C" w:rsidP="000B23CF">
            <w:r>
              <w:t>MBS data</w:t>
            </w:r>
          </w:p>
        </w:tc>
        <w:tc>
          <w:tcPr>
            <w:tcW w:w="3322" w:type="dxa"/>
          </w:tcPr>
          <w:p w14:paraId="38555E8E" w14:textId="0E204C2C" w:rsidR="0064162C" w:rsidRDefault="003D7C06" w:rsidP="00134B17">
            <w:pPr>
              <w:pStyle w:val="ListParagraph"/>
              <w:numPr>
                <w:ilvl w:val="0"/>
                <w:numId w:val="16"/>
              </w:numPr>
            </w:pPr>
            <w:r>
              <w:t xml:space="preserve">Fewer </w:t>
            </w:r>
            <w:r w:rsidR="00134B17">
              <w:t>than 20</w:t>
            </w:r>
          </w:p>
          <w:p w14:paraId="534CB5BD" w14:textId="77777777" w:rsidR="00134B17" w:rsidRDefault="00134B17" w:rsidP="00134B17">
            <w:pPr>
              <w:pStyle w:val="ListParagraph"/>
              <w:numPr>
                <w:ilvl w:val="0"/>
                <w:numId w:val="16"/>
              </w:numPr>
            </w:pPr>
            <w:r>
              <w:t>Fewer than 6 services*</w:t>
            </w:r>
          </w:p>
          <w:p w14:paraId="3833DC73" w14:textId="77777777" w:rsidR="00134B17" w:rsidRDefault="00134B17" w:rsidP="00134B17">
            <w:pPr>
              <w:pStyle w:val="ListParagraph"/>
              <w:numPr>
                <w:ilvl w:val="0"/>
                <w:numId w:val="16"/>
              </w:numPr>
            </w:pPr>
            <w:r>
              <w:t>Fever than 6 patients*</w:t>
            </w:r>
          </w:p>
          <w:p w14:paraId="1E9DEBE2" w14:textId="77777777" w:rsidR="00134B17" w:rsidRDefault="00134B17" w:rsidP="00134B17">
            <w:pPr>
              <w:pStyle w:val="ListParagraph"/>
              <w:numPr>
                <w:ilvl w:val="0"/>
                <w:numId w:val="16"/>
              </w:numPr>
            </w:pPr>
            <w:r>
              <w:t>Fewer than 6 providers*</w:t>
            </w:r>
          </w:p>
          <w:p w14:paraId="28206595" w14:textId="254BEB42" w:rsidR="003D7C06" w:rsidRDefault="003D7C06" w:rsidP="00134B17">
            <w:pPr>
              <w:pStyle w:val="ListParagraph"/>
              <w:numPr>
                <w:ilvl w:val="0"/>
                <w:numId w:val="16"/>
              </w:numPr>
            </w:pPr>
            <w:r>
              <w:t>One provider provided more than 85% of services*</w:t>
            </w:r>
          </w:p>
          <w:p w14:paraId="01814A85" w14:textId="74F11C5B" w:rsidR="003D7C06" w:rsidRPr="00134B17" w:rsidRDefault="003D7C06" w:rsidP="00134B17">
            <w:pPr>
              <w:pStyle w:val="ListParagraph"/>
              <w:numPr>
                <w:ilvl w:val="0"/>
                <w:numId w:val="16"/>
              </w:numPr>
            </w:pPr>
            <w:r>
              <w:t>Two providers provided more than 90% of services*</w:t>
            </w:r>
          </w:p>
        </w:tc>
        <w:tc>
          <w:tcPr>
            <w:tcW w:w="1672" w:type="dxa"/>
          </w:tcPr>
          <w:p w14:paraId="5814872A" w14:textId="2293F7C7" w:rsidR="0064162C" w:rsidRDefault="003D7C06" w:rsidP="000B23CF">
            <w:r>
              <w:t>Fever than 1,000</w:t>
            </w:r>
          </w:p>
        </w:tc>
        <w:tc>
          <w:tcPr>
            <w:tcW w:w="2491" w:type="dxa"/>
          </w:tcPr>
          <w:p w14:paraId="26922E9A" w14:textId="405CF13A" w:rsidR="0064162C" w:rsidRDefault="00D1107B" w:rsidP="000B23CF">
            <w:r>
              <w:t xml:space="preserve">Fewer than </w:t>
            </w:r>
          </w:p>
        </w:tc>
      </w:tr>
      <w:tr w:rsidR="0064162C" w14:paraId="47AA0448" w14:textId="77777777" w:rsidTr="2A795FC3">
        <w:trPr>
          <w:cnfStyle w:val="000000010000" w:firstRow="0" w:lastRow="0" w:firstColumn="0" w:lastColumn="0" w:oddVBand="0" w:evenVBand="0" w:oddHBand="0" w:evenHBand="1" w:firstRowFirstColumn="0" w:firstRowLastColumn="0" w:lastRowFirstColumn="0" w:lastRowLastColumn="0"/>
        </w:trPr>
        <w:tc>
          <w:tcPr>
            <w:tcW w:w="1688" w:type="dxa"/>
          </w:tcPr>
          <w:p w14:paraId="4FFD4BE7" w14:textId="4DE93466" w:rsidR="0064162C" w:rsidRDefault="0064162C" w:rsidP="000B23CF">
            <w:r>
              <w:t>PBS data</w:t>
            </w:r>
          </w:p>
        </w:tc>
        <w:tc>
          <w:tcPr>
            <w:tcW w:w="3322" w:type="dxa"/>
          </w:tcPr>
          <w:p w14:paraId="4355B94E" w14:textId="3E29B170" w:rsidR="0064162C" w:rsidRDefault="0064162C" w:rsidP="000B23CF">
            <w:r>
              <w:t>Fewer than 20</w:t>
            </w:r>
          </w:p>
        </w:tc>
        <w:tc>
          <w:tcPr>
            <w:tcW w:w="1672" w:type="dxa"/>
          </w:tcPr>
          <w:p w14:paraId="4AB2BDC0" w14:textId="486E2F1C" w:rsidR="0064162C" w:rsidRDefault="0064162C" w:rsidP="000B23CF">
            <w:r>
              <w:t>Fewer than 200</w:t>
            </w:r>
          </w:p>
        </w:tc>
        <w:tc>
          <w:tcPr>
            <w:tcW w:w="2491" w:type="dxa"/>
          </w:tcPr>
          <w:p w14:paraId="4626557A" w14:textId="212192A7" w:rsidR="0064162C" w:rsidRDefault="0064162C" w:rsidP="000B23CF">
            <w:r>
              <w:t>Fewer than 30</w:t>
            </w:r>
          </w:p>
        </w:tc>
      </w:tr>
    </w:tbl>
    <w:p w14:paraId="77F2A94F" w14:textId="53FF4082" w:rsidR="0064162C" w:rsidRPr="00984C04" w:rsidRDefault="000B7A1D" w:rsidP="000B23CF">
      <w:pPr>
        <w:rPr>
          <w:sz w:val="16"/>
          <w:szCs w:val="16"/>
        </w:rPr>
      </w:pPr>
      <w:r w:rsidRPr="00984C04">
        <w:rPr>
          <w:sz w:val="16"/>
          <w:szCs w:val="16"/>
        </w:rPr>
        <w:t xml:space="preserve">*Suppression rules relate to protecting confidentiality Suppression rules not marked with an asterisk relate to volatility. </w:t>
      </w:r>
    </w:p>
    <w:p w14:paraId="69DBAA69" w14:textId="5BED5B70" w:rsidR="000B7A1D" w:rsidRPr="00984C04" w:rsidRDefault="000B7A1D" w:rsidP="000B23CF">
      <w:pPr>
        <w:rPr>
          <w:sz w:val="16"/>
          <w:szCs w:val="16"/>
        </w:rPr>
      </w:pPr>
      <w:r w:rsidRPr="00984C04">
        <w:rPr>
          <w:sz w:val="16"/>
          <w:szCs w:val="16"/>
        </w:rPr>
        <w:t xml:space="preserve">#Suppression rule relating to the sensitivity analysis </w:t>
      </w:r>
    </w:p>
    <w:p w14:paraId="059E196F" w14:textId="0486A288" w:rsidR="006D5930" w:rsidRDefault="006D5930">
      <w:r>
        <w:br w:type="page"/>
      </w:r>
    </w:p>
    <w:p w14:paraId="3C15E571" w14:textId="77777777" w:rsidR="007A040D" w:rsidRDefault="007A040D" w:rsidP="000B23CF"/>
    <w:bookmarkEnd w:id="1"/>
    <w:p w14:paraId="16B6BC3F" w14:textId="06665A51" w:rsidR="007A040D" w:rsidRDefault="007A040D" w:rsidP="00235529">
      <w:pPr>
        <w:pStyle w:val="Heading2"/>
      </w:pPr>
      <w:r>
        <w:rPr>
          <w:b w:val="0"/>
          <w:bCs/>
          <w:noProof/>
          <w:sz w:val="22"/>
          <w:szCs w:val="24"/>
        </w:rPr>
        <mc:AlternateContent>
          <mc:Choice Requires="wps">
            <w:drawing>
              <wp:anchor distT="0" distB="0" distL="114300" distR="114300" simplePos="0" relativeHeight="251659264" behindDoc="0" locked="0" layoutInCell="1" allowOverlap="1" wp14:anchorId="167E3DDD" wp14:editId="7AE70267">
                <wp:simplePos x="0" y="0"/>
                <wp:positionH relativeFrom="margin">
                  <wp:align>center</wp:align>
                </wp:positionH>
                <wp:positionV relativeFrom="paragraph">
                  <wp:posOffset>145415</wp:posOffset>
                </wp:positionV>
                <wp:extent cx="6296025" cy="6238875"/>
                <wp:effectExtent l="19050" t="19050" r="28575" b="28575"/>
                <wp:wrapNone/>
                <wp:docPr id="666669461" name="Rectangle 8"/>
                <wp:cNvGraphicFramePr/>
                <a:graphic xmlns:a="http://schemas.openxmlformats.org/drawingml/2006/main">
                  <a:graphicData uri="http://schemas.microsoft.com/office/word/2010/wordprocessingShape">
                    <wps:wsp>
                      <wps:cNvSpPr/>
                      <wps:spPr>
                        <a:xfrm>
                          <a:off x="0" y="0"/>
                          <a:ext cx="6296025" cy="6238875"/>
                        </a:xfrm>
                        <a:prstGeom prst="rect">
                          <a:avLst/>
                        </a:prstGeom>
                        <a:noFill/>
                        <a:ln w="28575">
                          <a:solidFill>
                            <a:schemeClr val="accent4">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2C103" id="Rectangle 8" o:spid="_x0000_s1026" style="position:absolute;margin-left:0;margin-top:11.45pt;width:495.75pt;height:491.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" filled="f" strokecolor="#e1d1fd [1303]" strokeweight="2.25pt">
                <w10:wrap anchorx="margin"/>
              </v:rect>
            </w:pict>
          </mc:Fallback>
        </mc:AlternateContent>
      </w:r>
    </w:p>
    <w:p w14:paraId="3457EFFC" w14:textId="77777777" w:rsidR="003E16F6" w:rsidRDefault="003E16F6" w:rsidP="003E16F6">
      <w:pPr>
        <w:pStyle w:val="Heading3"/>
      </w:pPr>
      <w:r>
        <w:t>Box 1: Summary of sensitivity analysis</w:t>
      </w:r>
    </w:p>
    <w:p w14:paraId="554A57A3" w14:textId="1A300D11" w:rsidR="003E16F6" w:rsidRDefault="003E16F6" w:rsidP="003E16F6">
      <w:r>
        <w:t>For each SA3 that was suppressed because of a small (below-threshold) denominator for one or more age and sex groups (affected SA3), the following analysis was undertaken:</w:t>
      </w:r>
    </w:p>
    <w:p w14:paraId="612DB198" w14:textId="77777777" w:rsidR="003E16F6" w:rsidRDefault="003E16F6" w:rsidP="003E16F6">
      <w:pPr>
        <w:pStyle w:val="ListParagraph"/>
        <w:numPr>
          <w:ilvl w:val="0"/>
          <w:numId w:val="14"/>
        </w:numPr>
      </w:pPr>
      <w:r>
        <w:t>The numerator was increased by 1 in each group with a small denominator, to generate a simulated rate</w:t>
      </w:r>
    </w:p>
    <w:p w14:paraId="7C17D935" w14:textId="51F1EA0D" w:rsidR="003E16F6" w:rsidRDefault="003E16F6" w:rsidP="003E16F6">
      <w:pPr>
        <w:pStyle w:val="ListParagraph"/>
        <w:numPr>
          <w:ilvl w:val="0"/>
          <w:numId w:val="14"/>
        </w:numPr>
      </w:pPr>
      <w:r>
        <w:t>All rates, including the simulated rates, were rounded to whole numbers</w:t>
      </w:r>
    </w:p>
    <w:p w14:paraId="76BE3A6A" w14:textId="77777777" w:rsidR="003E16F6" w:rsidRDefault="003E16F6" w:rsidP="003E16F6">
      <w:pPr>
        <w:pStyle w:val="ListParagraph"/>
        <w:numPr>
          <w:ilvl w:val="0"/>
          <w:numId w:val="14"/>
        </w:numPr>
      </w:pPr>
      <w:r>
        <w:t>All publishable rates for non-affected SA3s and the simulated rates for affected SA3s were ranked from lowest to highest and split into 10 categories (deciles)</w:t>
      </w:r>
    </w:p>
    <w:p w14:paraId="0B7CEF5F" w14:textId="77777777" w:rsidR="003E16F6" w:rsidRDefault="003E16F6" w:rsidP="003E16F6">
      <w:pPr>
        <w:pStyle w:val="ListParagraph"/>
        <w:numPr>
          <w:ilvl w:val="0"/>
          <w:numId w:val="14"/>
        </w:numPr>
      </w:pPr>
      <w:r>
        <w:t>All publishable rates for non-affected SA3s and the actual rates for affected SA3s were ranked from lowest to highest and split into deciles</w:t>
      </w:r>
    </w:p>
    <w:p w14:paraId="7DBC8D38" w14:textId="77777777" w:rsidR="003E16F6" w:rsidRDefault="003E16F6" w:rsidP="003E16F6">
      <w:pPr>
        <w:pStyle w:val="ListParagraph"/>
        <w:numPr>
          <w:ilvl w:val="0"/>
          <w:numId w:val="14"/>
        </w:numPr>
      </w:pPr>
      <w:r>
        <w:t>The decile of the simulated rate (step 3) was compared with the decile of the actual rate (step 4)</w:t>
      </w:r>
    </w:p>
    <w:p w14:paraId="5C8B86BE" w14:textId="2D33B50E" w:rsidR="003E16F6" w:rsidRDefault="003E16F6" w:rsidP="003E16F6">
      <w:pPr>
        <w:pStyle w:val="ListParagraph"/>
        <w:numPr>
          <w:ilvl w:val="0"/>
          <w:numId w:val="14"/>
        </w:numPr>
      </w:pPr>
      <w:r>
        <w:t>Steps 1 to 5 were repeated with a decrease in the relevant numerators by 1. Negative numerators were reset to zero before generating a simulated rate.</w:t>
      </w:r>
    </w:p>
    <w:p w14:paraId="5F1BE88B" w14:textId="3F0FA86F" w:rsidR="003E16F6" w:rsidRDefault="003E16F6" w:rsidP="003E16F6">
      <w:r>
        <w:t>All affected SA3s were included in the simulation simultaneously, to generate maximum differences between the deciles calculated using the simulated rates and the deciles calculated using the actual rates (the most extreme scenario). This was a conservative method compared with simulation conducted for one affected SA3 at a time.</w:t>
      </w:r>
    </w:p>
    <w:p w14:paraId="1BFE8DFF" w14:textId="5758283A" w:rsidR="003E16F6" w:rsidRDefault="003E16F6" w:rsidP="003E16F6">
      <w:r>
        <w:t>The volatility of the actual rate for an affected SA3 was not considered to have a material impact on its decile if either of the following conditions was met in each simulation (increasing or decreasing the relevant numerators by 1):</w:t>
      </w:r>
    </w:p>
    <w:p w14:paraId="26C08707" w14:textId="4F116E85" w:rsidR="003E16F6" w:rsidRDefault="003E16F6" w:rsidP="003E16F6">
      <w:pPr>
        <w:pStyle w:val="ListParagraph"/>
        <w:numPr>
          <w:ilvl w:val="0"/>
          <w:numId w:val="15"/>
        </w:numPr>
      </w:pPr>
      <w:r>
        <w:t>There was no difference in the decile for the simulated and actual rates; for example, both simulated and actual rates were in the lowest decile</w:t>
      </w:r>
    </w:p>
    <w:p w14:paraId="6AFD95CC" w14:textId="77777777" w:rsidR="003E16F6" w:rsidRDefault="003E16F6" w:rsidP="003E16F6">
      <w:pPr>
        <w:pStyle w:val="ListParagraph"/>
        <w:numPr>
          <w:ilvl w:val="0"/>
          <w:numId w:val="15"/>
        </w:numPr>
      </w:pPr>
      <w:r>
        <w:t xml:space="preserve">There was a difference of one decile, and the simulated rate was not on the cusp of the next decile (the decile that would make the difference become two deciles); for example, the actual rate was in the lowest decile and the simulated rate was in the second decile, and not on the cusp of the third decile. </w:t>
      </w:r>
    </w:p>
    <w:p w14:paraId="14DD05C0" w14:textId="1D68AFF1" w:rsidR="007A040D" w:rsidRDefault="003E16F6" w:rsidP="003E16F6">
      <w:r>
        <w:t>Where the decile for an affected SA3 was considered to be robust against the volatility of the rate, the rate was published with caution, although it was considered potentially more volatile than other published rates. The rates with caution were not included in the calculation of the national magnitude of variation and were presented with a diagonal line pattern in maps and bar charts, and as open circles in time series line graphs.</w:t>
      </w:r>
    </w:p>
    <w:p w14:paraId="17C39000" w14:textId="77777777" w:rsidR="00F423D3" w:rsidRDefault="00F423D3" w:rsidP="003E16F6"/>
    <w:p w14:paraId="64AE928A" w14:textId="77777777" w:rsidR="006D5930" w:rsidRDefault="006D5930" w:rsidP="00C03645">
      <w:pPr>
        <w:pStyle w:val="Heading3"/>
      </w:pPr>
    </w:p>
    <w:p w14:paraId="06FCD4EC" w14:textId="412FDFEE" w:rsidR="00F423D3" w:rsidRDefault="00F423D3" w:rsidP="00C03645">
      <w:pPr>
        <w:pStyle w:val="Heading3"/>
      </w:pPr>
      <w:r w:rsidRPr="00F423D3">
        <w:t>Presentation of rates in Australia maps and time-series graphs</w:t>
      </w:r>
    </w:p>
    <w:p w14:paraId="6F9EA435" w14:textId="77777777" w:rsidR="00F423D3" w:rsidRDefault="00F423D3" w:rsidP="003E16F6">
      <w:r>
        <w:t xml:space="preserve">Rates for SA3s were rounded to whole numbers. Rounded rates were ranked from lowest to highest and split into 10 categories (deciles). The deciles are displayed using various shades of colour, where darker colours represent higher rates, and lighter colours represent lower rates. Each decile may not have the same number of SA3s if the number of publishable SA3s </w:t>
      </w:r>
      <w:bookmarkStart w:id="2" w:name="_Int_acfNhfgn"/>
      <w:r>
        <w:t>is not a multiple of</w:t>
      </w:r>
      <w:bookmarkEnd w:id="2"/>
      <w:r>
        <w:t xml:space="preserve"> 10. Furthermore, if there was more than one SA3 with the same rate at the boundary of a decile, SA3s with the same rate were assigned to the same decile. </w:t>
      </w:r>
    </w:p>
    <w:p w14:paraId="29B70E0C" w14:textId="77777777" w:rsidR="00C03645" w:rsidRPr="00C03645" w:rsidRDefault="00F423D3" w:rsidP="00C03645">
      <w:pPr>
        <w:pStyle w:val="Heading3"/>
        <w:rPr>
          <w:rStyle w:val="Heading3Char"/>
        </w:rPr>
      </w:pPr>
      <w:r w:rsidRPr="00F423D3">
        <w:lastRenderedPageBreak/>
        <w:t xml:space="preserve">Identification of areas with consistently high and low rates </w:t>
      </w:r>
    </w:p>
    <w:p w14:paraId="22E4C355" w14:textId="4A082053" w:rsidR="007A040D" w:rsidRDefault="00F423D3" w:rsidP="00005CA6">
      <w:r w:rsidRPr="00F423D3">
        <w:t>SA3s with consistently high or consistently low rates have been identified. Consistently high or consistently low is defined as those SA3s that fall in the top 10% or bottom 10% of all SA3s for the 5 most recent reporting years.</w:t>
      </w:r>
    </w:p>
    <w:p w14:paraId="73C0881D" w14:textId="77777777" w:rsidR="007A040D" w:rsidRDefault="007A040D" w:rsidP="00235529">
      <w:pPr>
        <w:pStyle w:val="Heading2"/>
      </w:pPr>
    </w:p>
    <w:p w14:paraId="034F582A" w14:textId="08C7CAEC" w:rsidR="006B31AD" w:rsidRPr="005209B1" w:rsidRDefault="006B31AD" w:rsidP="00235529">
      <w:pPr>
        <w:pStyle w:val="Heading2"/>
      </w:pPr>
      <w:r w:rsidRPr="005209B1">
        <w:t>For more information</w:t>
      </w:r>
    </w:p>
    <w:p w14:paraId="15F5EA73" w14:textId="1F853155" w:rsidR="006B31AD" w:rsidRPr="00F54926" w:rsidRDefault="006B31AD" w:rsidP="00456453">
      <w:pPr>
        <w:spacing w:after="480"/>
        <w:rPr>
          <w:color w:val="FF0000"/>
        </w:rPr>
      </w:pPr>
      <w:r>
        <w:t xml:space="preserve">Please visit: </w:t>
      </w:r>
      <w:hyperlink r:id="rId18" w:history="1">
        <w:r w:rsidR="0095784D" w:rsidRPr="00773138">
          <w:rPr>
            <w:rStyle w:val="Hyperlink"/>
          </w:rPr>
          <w:t>https://www.safetyandquality.gov.au/our-work/healthcare-variation/atlas-focus-report-chronic-obstructive-pulmonary-disease</w:t>
        </w:r>
      </w:hyperlink>
      <w:r w:rsidR="0095784D">
        <w:t xml:space="preserve"> </w:t>
      </w:r>
    </w:p>
    <w:p w14:paraId="162FF12F" w14:textId="77777777" w:rsidR="002A0B58" w:rsidRDefault="004C5153" w:rsidP="004C5153">
      <w:r>
        <w:rPr>
          <w:noProof/>
          <w:lang w:val="en-GB"/>
        </w:rPr>
        <w:drawing>
          <wp:inline distT="0" distB="0" distL="0" distR="0" wp14:anchorId="63ECA48B" wp14:editId="3A143194">
            <wp:extent cx="576073" cy="201168"/>
            <wp:effectExtent l="0" t="0" r="0" b="8890"/>
            <wp:docPr id="1636521559"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35908" name="Picture 8">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6073" cy="201168"/>
                    </a:xfrm>
                    <a:prstGeom prst="rect">
                      <a:avLst/>
                    </a:prstGeom>
                  </pic:spPr>
                </pic:pic>
              </a:graphicData>
            </a:graphic>
          </wp:inline>
        </w:drawing>
      </w:r>
    </w:p>
    <w:p w14:paraId="4844536B" w14:textId="593811BC" w:rsidR="005915AE" w:rsidRDefault="006B31AD" w:rsidP="004E2765">
      <w:pPr>
        <w:rPr>
          <w:color w:val="EE0000"/>
        </w:rPr>
      </w:pPr>
      <w:r>
        <w:t xml:space="preserve">© Australian Commission on Safety and Quality in Health Care </w:t>
      </w:r>
      <w:r w:rsidRPr="00005CA6">
        <w:rPr>
          <w:color w:val="auto"/>
        </w:rPr>
        <w:t>20</w:t>
      </w:r>
      <w:r w:rsidR="00005CA6" w:rsidRPr="00005CA6">
        <w:rPr>
          <w:color w:val="auto"/>
        </w:rPr>
        <w:t>25</w:t>
      </w:r>
    </w:p>
    <w:sectPr w:rsidR="005915AE" w:rsidSect="00B967A4">
      <w:headerReference w:type="even" r:id="rId20"/>
      <w:headerReference w:type="default" r:id="rId21"/>
      <w:footerReference w:type="even" r:id="rId22"/>
      <w:footerReference w:type="default" r:id="rId23"/>
      <w:headerReference w:type="first" r:id="rId24"/>
      <w:footerReference w:type="first" r:id="rId25"/>
      <w:pgSz w:w="11906" w:h="16838" w:code="9"/>
      <w:pgMar w:top="1418" w:right="1361" w:bottom="1361" w:left="1361" w:header="624" w:footer="6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E8324" w14:textId="77777777" w:rsidR="00AC3E4B" w:rsidRDefault="00AC3E4B" w:rsidP="001D0AFC">
      <w:r>
        <w:separator/>
      </w:r>
    </w:p>
    <w:p w14:paraId="3EB99D93" w14:textId="77777777" w:rsidR="00AC3E4B" w:rsidRDefault="00AC3E4B"/>
    <w:p w14:paraId="71DEE249" w14:textId="77777777" w:rsidR="00AC3E4B" w:rsidRDefault="00AC3E4B"/>
    <w:p w14:paraId="0E9C0FE5" w14:textId="77777777" w:rsidR="00AC3E4B" w:rsidRDefault="00AC3E4B"/>
  </w:endnote>
  <w:endnote w:type="continuationSeparator" w:id="0">
    <w:p w14:paraId="58451795" w14:textId="77777777" w:rsidR="00AC3E4B" w:rsidRDefault="00AC3E4B" w:rsidP="001D0AFC">
      <w:r>
        <w:continuationSeparator/>
      </w:r>
    </w:p>
    <w:p w14:paraId="6DA69734" w14:textId="77777777" w:rsidR="00AC3E4B" w:rsidRDefault="00AC3E4B"/>
    <w:p w14:paraId="2B038B32" w14:textId="77777777" w:rsidR="00AC3E4B" w:rsidRDefault="00AC3E4B"/>
    <w:p w14:paraId="41FFC6D2" w14:textId="77777777" w:rsidR="00AC3E4B" w:rsidRDefault="00AC3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D14C" w14:textId="43380D75" w:rsidR="002824BA" w:rsidRDefault="002824BA">
    <w:pPr>
      <w:pStyle w:val="Footer"/>
    </w:pPr>
    <w:r>
      <w:rPr>
        <w:noProof/>
      </w:rPr>
      <mc:AlternateContent>
        <mc:Choice Requires="wps">
          <w:drawing>
            <wp:anchor distT="0" distB="0" distL="0" distR="0" simplePos="0" relativeHeight="251671552" behindDoc="0" locked="0" layoutInCell="1" allowOverlap="1" wp14:anchorId="58692216" wp14:editId="19679778">
              <wp:simplePos x="635" y="635"/>
              <wp:positionH relativeFrom="page">
                <wp:align>center</wp:align>
              </wp:positionH>
              <wp:positionV relativeFrom="page">
                <wp:align>bottom</wp:align>
              </wp:positionV>
              <wp:extent cx="551815" cy="452755"/>
              <wp:effectExtent l="0" t="0" r="635" b="0"/>
              <wp:wrapNone/>
              <wp:docPr id="27449774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FF3B690" w14:textId="43AFC0C0" w:rsidR="002824BA" w:rsidRPr="002824BA" w:rsidRDefault="002824BA" w:rsidP="002824BA">
                          <w:pPr>
                            <w:spacing w:after="0"/>
                            <w:rPr>
                              <w:rFonts w:ascii="Calibri" w:eastAsia="Calibri" w:hAnsi="Calibri" w:cs="Calibri"/>
                              <w:noProof/>
                              <w:color w:val="FF0000"/>
                              <w:sz w:val="24"/>
                              <w:szCs w:val="24"/>
                            </w:rPr>
                          </w:pPr>
                          <w:r w:rsidRPr="002824B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692216" id="_x0000_t202" coordsize="21600,21600" o:spt="202" path="m,l,21600r21600,l21600,xe">
              <v:stroke joinstyle="miter"/>
              <v:path gradientshapeok="t" o:connecttype="rect"/>
            </v:shapetype>
            <v:shape id="Text Box 5" o:spid="_x0000_s1028" type="#_x0000_t202" alt="OFFICIAL" style="position:absolute;margin-left:0;margin-top:0;width:43.45pt;height:35.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7FF3B690" w14:textId="43AFC0C0" w:rsidR="002824BA" w:rsidRPr="002824BA" w:rsidRDefault="002824BA" w:rsidP="002824BA">
                    <w:pPr>
                      <w:spacing w:after="0"/>
                      <w:rPr>
                        <w:rFonts w:ascii="Calibri" w:eastAsia="Calibri" w:hAnsi="Calibri" w:cs="Calibri"/>
                        <w:noProof/>
                        <w:color w:val="FF0000"/>
                        <w:sz w:val="24"/>
                        <w:szCs w:val="24"/>
                      </w:rPr>
                    </w:pPr>
                    <w:r w:rsidRPr="002824BA">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FF433" w14:textId="0F3F5B27" w:rsidR="00F67850" w:rsidRDefault="002824BA" w:rsidP="00F67850">
    <w:pPr>
      <w:pStyle w:val="Footer"/>
      <w:ind w:left="284"/>
    </w:pPr>
    <w:r w:rsidRPr="00242456">
      <w:rPr>
        <w:noProof/>
        <w:color w:val="auto"/>
      </w:rPr>
      <mc:AlternateContent>
        <mc:Choice Requires="wps">
          <w:drawing>
            <wp:anchor distT="0" distB="0" distL="0" distR="0" simplePos="0" relativeHeight="251672576" behindDoc="0" locked="0" layoutInCell="1" allowOverlap="1" wp14:anchorId="385DD775" wp14:editId="75370ED4">
              <wp:simplePos x="635" y="635"/>
              <wp:positionH relativeFrom="page">
                <wp:align>center</wp:align>
              </wp:positionH>
              <wp:positionV relativeFrom="page">
                <wp:align>bottom</wp:align>
              </wp:positionV>
              <wp:extent cx="551815" cy="452755"/>
              <wp:effectExtent l="0" t="0" r="635" b="0"/>
              <wp:wrapNone/>
              <wp:docPr id="85123325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ACD9430" w14:textId="3BBAF1E5" w:rsidR="002824BA" w:rsidRPr="002824BA" w:rsidRDefault="002824BA" w:rsidP="002824BA">
                          <w:pPr>
                            <w:spacing w:after="0"/>
                            <w:rPr>
                              <w:rFonts w:ascii="Calibri" w:eastAsia="Calibri" w:hAnsi="Calibri" w:cs="Calibri"/>
                              <w:noProof/>
                              <w:color w:val="FF0000"/>
                              <w:sz w:val="24"/>
                              <w:szCs w:val="24"/>
                            </w:rPr>
                          </w:pPr>
                          <w:r w:rsidRPr="002824B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5DD775"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5.6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7ACD9430" w14:textId="3BBAF1E5" w:rsidR="002824BA" w:rsidRPr="002824BA" w:rsidRDefault="002824BA" w:rsidP="002824BA">
                    <w:pPr>
                      <w:spacing w:after="0"/>
                      <w:rPr>
                        <w:rFonts w:ascii="Calibri" w:eastAsia="Calibri" w:hAnsi="Calibri" w:cs="Calibri"/>
                        <w:noProof/>
                        <w:color w:val="FF0000"/>
                        <w:sz w:val="24"/>
                        <w:szCs w:val="24"/>
                      </w:rPr>
                    </w:pPr>
                    <w:r w:rsidRPr="002824BA">
                      <w:rPr>
                        <w:rFonts w:ascii="Calibri" w:eastAsia="Calibri" w:hAnsi="Calibri" w:cs="Calibri"/>
                        <w:noProof/>
                        <w:color w:val="FF0000"/>
                        <w:sz w:val="24"/>
                        <w:szCs w:val="24"/>
                      </w:rPr>
                      <w:t>OFFICIAL</w:t>
                    </w:r>
                  </w:p>
                </w:txbxContent>
              </v:textbox>
              <w10:wrap anchorx="page" anchory="page"/>
            </v:shape>
          </w:pict>
        </mc:Fallback>
      </mc:AlternateContent>
    </w:r>
    <w:r w:rsidR="00F67850" w:rsidRPr="00242456">
      <w:rPr>
        <w:noProof/>
        <w:color w:val="auto"/>
      </w:rPr>
      <w:drawing>
        <wp:anchor distT="0" distB="0" distL="114300" distR="114300" simplePos="0" relativeHeight="251664384" behindDoc="0" locked="0" layoutInCell="1" allowOverlap="1" wp14:anchorId="597345F3" wp14:editId="364F52A5">
          <wp:simplePos x="0" y="0"/>
          <wp:positionH relativeFrom="column">
            <wp:posOffset>0</wp:posOffset>
          </wp:positionH>
          <wp:positionV relativeFrom="paragraph">
            <wp:posOffset>-20320</wp:posOffset>
          </wp:positionV>
          <wp:extent cx="138430" cy="179705"/>
          <wp:effectExtent l="0" t="0" r="0" b="0"/>
          <wp:wrapNone/>
          <wp:docPr id="3759673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2494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00B1523C" w:rsidRPr="00B1523C">
      <w:rPr>
        <w:color w:val="auto"/>
      </w:rPr>
      <w:t xml:space="preserve"> </w:t>
    </w:r>
    <w:r w:rsidR="00B1523C" w:rsidRPr="00FF035E">
      <w:rPr>
        <w:color w:val="auto"/>
      </w:rPr>
      <w:t>Chronic Obstructive Pulmonary Disease</w:t>
    </w:r>
    <w:r w:rsidR="00B1523C" w:rsidRPr="00FF035E">
      <w:rPr>
        <w:noProof/>
        <w:color w:val="auto"/>
      </w:rPr>
      <w:t xml:space="preserve"> </w:t>
    </w:r>
    <w:r w:rsidR="00B1523C" w:rsidRPr="00242456">
      <w:rPr>
        <w:noProof/>
        <w:color w:val="auto"/>
      </w:rPr>
      <w:t>– Technical note</w:t>
    </w:r>
    <w:r w:rsidR="00F67850" w:rsidRPr="00F67850">
      <w:tab/>
    </w:r>
    <w:r w:rsidR="00F67850" w:rsidRPr="00F67850">
      <w:rPr>
        <w:b/>
        <w:bCs/>
      </w:rPr>
      <w:fldChar w:fldCharType="begin"/>
    </w:r>
    <w:r w:rsidR="00F67850" w:rsidRPr="00F67850">
      <w:rPr>
        <w:b/>
        <w:bCs/>
      </w:rPr>
      <w:instrText xml:space="preserve"> PAGE   \* MERGEFORMAT </w:instrText>
    </w:r>
    <w:r w:rsidR="00F67850" w:rsidRPr="00F67850">
      <w:rPr>
        <w:b/>
        <w:bCs/>
      </w:rPr>
      <w:fldChar w:fldCharType="separate"/>
    </w:r>
    <w:r w:rsidR="00F67850" w:rsidRPr="00F67850">
      <w:rPr>
        <w:b/>
        <w:bCs/>
      </w:rPr>
      <w:t>1</w:t>
    </w:r>
    <w:r w:rsidR="00F67850" w:rsidRPr="00F67850">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3B6C" w14:textId="3792F0F6" w:rsidR="00F67850" w:rsidRDefault="002824BA">
    <w:pPr>
      <w:pStyle w:val="Footer"/>
    </w:pPr>
    <w:r>
      <w:rPr>
        <w:noProof/>
        <w:color w:val="FF0000"/>
      </w:rPr>
      <mc:AlternateContent>
        <mc:Choice Requires="wps">
          <w:drawing>
            <wp:anchor distT="0" distB="0" distL="0" distR="0" simplePos="0" relativeHeight="251670528" behindDoc="0" locked="0" layoutInCell="1" allowOverlap="1" wp14:anchorId="4AAE84CE" wp14:editId="398E7D0C">
              <wp:simplePos x="635" y="635"/>
              <wp:positionH relativeFrom="page">
                <wp:align>center</wp:align>
              </wp:positionH>
              <wp:positionV relativeFrom="page">
                <wp:align>bottom</wp:align>
              </wp:positionV>
              <wp:extent cx="551815" cy="452755"/>
              <wp:effectExtent l="0" t="0" r="635" b="0"/>
              <wp:wrapNone/>
              <wp:docPr id="112931534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5D97E8B" w14:textId="03D84C07" w:rsidR="002824BA" w:rsidRPr="002824BA" w:rsidRDefault="002824BA" w:rsidP="002824BA">
                          <w:pPr>
                            <w:spacing w:after="0"/>
                            <w:rPr>
                              <w:rFonts w:ascii="Calibri" w:eastAsia="Calibri" w:hAnsi="Calibri" w:cs="Calibri"/>
                              <w:noProof/>
                              <w:color w:val="FF0000"/>
                              <w:sz w:val="24"/>
                              <w:szCs w:val="24"/>
                            </w:rPr>
                          </w:pPr>
                          <w:r w:rsidRPr="002824B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AE84CE" id="_x0000_t202" coordsize="21600,21600" o:spt="202" path="m,l,21600r21600,l21600,xe">
              <v:stroke joinstyle="miter"/>
              <v:path gradientshapeok="t" o:connecttype="rect"/>
            </v:shapetype>
            <v:shape id="Text Box 4" o:spid="_x0000_s1031" type="#_x0000_t202" alt="OFFICIAL" style="position:absolute;margin-left:0;margin-top:0;width:43.45pt;height:35.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mhwKQ4CAAAc&#10;BAAADgAAAAAAAAAAAAAAAAAuAgAAZHJzL2Uyb0RvYy54bWxQSwECLQAUAAYACAAAACEA763esdsA&#10;AAADAQAADwAAAAAAAAAAAAAAAABoBAAAZHJzL2Rvd25yZXYueG1sUEsFBgAAAAAEAAQA8wAAAHAF&#10;AAAAAA==&#10;" filled="f" stroked="f">
              <v:textbox style="mso-fit-shape-to-text:t" inset="0,0,0,15pt">
                <w:txbxContent>
                  <w:p w14:paraId="05D97E8B" w14:textId="03D84C07" w:rsidR="002824BA" w:rsidRPr="002824BA" w:rsidRDefault="002824BA" w:rsidP="002824BA">
                    <w:pPr>
                      <w:spacing w:after="0"/>
                      <w:rPr>
                        <w:rFonts w:ascii="Calibri" w:eastAsia="Calibri" w:hAnsi="Calibri" w:cs="Calibri"/>
                        <w:noProof/>
                        <w:color w:val="FF0000"/>
                        <w:sz w:val="24"/>
                        <w:szCs w:val="24"/>
                      </w:rPr>
                    </w:pPr>
                    <w:r w:rsidRPr="002824BA">
                      <w:rPr>
                        <w:rFonts w:ascii="Calibri" w:eastAsia="Calibri" w:hAnsi="Calibri" w:cs="Calibri"/>
                        <w:noProof/>
                        <w:color w:val="FF0000"/>
                        <w:sz w:val="24"/>
                        <w:szCs w:val="24"/>
                      </w:rPr>
                      <w:t>OFFICIAL</w:t>
                    </w:r>
                  </w:p>
                </w:txbxContent>
              </v:textbox>
              <w10:wrap anchorx="page" anchory="page"/>
            </v:shape>
          </w:pict>
        </mc:Fallback>
      </mc:AlternateContent>
    </w:r>
    <w:r w:rsidR="00F67850" w:rsidRPr="00F54926">
      <w:rPr>
        <w:noProof/>
        <w:color w:val="FF0000"/>
      </w:rPr>
      <w:drawing>
        <wp:anchor distT="0" distB="0" distL="114300" distR="114300" simplePos="0" relativeHeight="251662336" behindDoc="0" locked="0" layoutInCell="1" allowOverlap="1" wp14:anchorId="0A8809BE" wp14:editId="1FEA73F7">
          <wp:simplePos x="0" y="0"/>
          <wp:positionH relativeFrom="column">
            <wp:posOffset>-135890</wp:posOffset>
          </wp:positionH>
          <wp:positionV relativeFrom="paragraph">
            <wp:posOffset>-26035</wp:posOffset>
          </wp:positionV>
          <wp:extent cx="138430" cy="179705"/>
          <wp:effectExtent l="0" t="0" r="0" b="0"/>
          <wp:wrapNone/>
          <wp:docPr id="1895484310"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2494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00F67850" w:rsidRPr="00F54926">
      <w:rPr>
        <w:color w:val="FF0000"/>
      </w:rPr>
      <w:t xml:space="preserve"> </w:t>
    </w:r>
    <w:r w:rsidR="00FF035E" w:rsidRPr="00FF035E">
      <w:rPr>
        <w:color w:val="auto"/>
      </w:rPr>
      <w:t>Chronic Obstructive Pulmonary Disease</w:t>
    </w:r>
    <w:r w:rsidR="00242456" w:rsidRPr="00FF035E">
      <w:rPr>
        <w:noProof/>
        <w:color w:val="auto"/>
      </w:rPr>
      <w:t xml:space="preserve"> </w:t>
    </w:r>
    <w:r w:rsidR="00242456" w:rsidRPr="00242456">
      <w:rPr>
        <w:noProof/>
        <w:color w:val="auto"/>
      </w:rPr>
      <w:t>– Technical note</w:t>
    </w:r>
    <w:r w:rsidR="00F67850" w:rsidRPr="00F67850">
      <w:tab/>
    </w:r>
    <w:r w:rsidR="00F67850" w:rsidRPr="00F67850">
      <w:rPr>
        <w:b/>
        <w:bCs/>
      </w:rPr>
      <w:fldChar w:fldCharType="begin"/>
    </w:r>
    <w:r w:rsidR="00F67850" w:rsidRPr="00F67850">
      <w:rPr>
        <w:b/>
        <w:bCs/>
      </w:rPr>
      <w:instrText xml:space="preserve"> PAGE   \* MERGEFORMAT </w:instrText>
    </w:r>
    <w:r w:rsidR="00F67850" w:rsidRPr="00F67850">
      <w:rPr>
        <w:b/>
        <w:bCs/>
      </w:rPr>
      <w:fldChar w:fldCharType="separate"/>
    </w:r>
    <w:r w:rsidR="00F67850" w:rsidRPr="00F67850">
      <w:rPr>
        <w:b/>
        <w:bCs/>
        <w:noProof/>
      </w:rPr>
      <w:t>1</w:t>
    </w:r>
    <w:r w:rsidR="00F67850" w:rsidRPr="00F67850">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3D44D" w14:textId="77777777" w:rsidR="00AC3E4B" w:rsidRDefault="00AC3E4B" w:rsidP="001D0AFC">
      <w:r>
        <w:separator/>
      </w:r>
    </w:p>
    <w:p w14:paraId="14848D5B" w14:textId="77777777" w:rsidR="00AC3E4B" w:rsidRDefault="00AC3E4B"/>
  </w:footnote>
  <w:footnote w:type="continuationSeparator" w:id="0">
    <w:p w14:paraId="066BDA6A" w14:textId="77777777" w:rsidR="00AC3E4B" w:rsidRDefault="00AC3E4B" w:rsidP="001D0AFC">
      <w:r>
        <w:continuationSeparator/>
      </w:r>
    </w:p>
    <w:p w14:paraId="72A6B83F" w14:textId="77777777" w:rsidR="00AC3E4B" w:rsidRDefault="00AC3E4B"/>
  </w:footnote>
  <w:footnote w:type="continuationNotice" w:id="1">
    <w:p w14:paraId="27ADC0B2" w14:textId="77777777" w:rsidR="00AC3E4B" w:rsidRDefault="00AC3E4B">
      <w:pPr>
        <w:spacing w:before="0" w:after="0"/>
      </w:pPr>
    </w:p>
    <w:p w14:paraId="4FC638F1" w14:textId="77777777" w:rsidR="00AC3E4B" w:rsidRDefault="00AC3E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F5EB9" w14:textId="4FD301E6" w:rsidR="002824BA" w:rsidRDefault="002824BA">
    <w:pPr>
      <w:pStyle w:val="Header"/>
    </w:pPr>
    <w:r>
      <w:rPr>
        <w:noProof/>
      </w:rPr>
      <mc:AlternateContent>
        <mc:Choice Requires="wps">
          <w:drawing>
            <wp:anchor distT="0" distB="0" distL="0" distR="0" simplePos="0" relativeHeight="251668480" behindDoc="0" locked="0" layoutInCell="1" allowOverlap="1" wp14:anchorId="6CFCACBE" wp14:editId="4A5F0B20">
              <wp:simplePos x="635" y="635"/>
              <wp:positionH relativeFrom="page">
                <wp:align>center</wp:align>
              </wp:positionH>
              <wp:positionV relativeFrom="page">
                <wp:align>top</wp:align>
              </wp:positionV>
              <wp:extent cx="551815" cy="452755"/>
              <wp:effectExtent l="0" t="0" r="635" b="4445"/>
              <wp:wrapNone/>
              <wp:docPr id="2491012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00BA71D" w14:textId="2A16D00A" w:rsidR="002824BA" w:rsidRPr="002824BA" w:rsidRDefault="002824BA" w:rsidP="002824BA">
                          <w:pPr>
                            <w:spacing w:after="0"/>
                            <w:rPr>
                              <w:rFonts w:ascii="Calibri" w:eastAsia="Calibri" w:hAnsi="Calibri" w:cs="Calibri"/>
                              <w:noProof/>
                              <w:color w:val="FF0000"/>
                              <w:sz w:val="24"/>
                              <w:szCs w:val="24"/>
                            </w:rPr>
                          </w:pPr>
                          <w:r w:rsidRPr="002824B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FCACBE"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100BA71D" w14:textId="2A16D00A" w:rsidR="002824BA" w:rsidRPr="002824BA" w:rsidRDefault="002824BA" w:rsidP="002824BA">
                    <w:pPr>
                      <w:spacing w:after="0"/>
                      <w:rPr>
                        <w:rFonts w:ascii="Calibri" w:eastAsia="Calibri" w:hAnsi="Calibri" w:cs="Calibri"/>
                        <w:noProof/>
                        <w:color w:val="FF0000"/>
                        <w:sz w:val="24"/>
                        <w:szCs w:val="24"/>
                      </w:rPr>
                    </w:pPr>
                    <w:r w:rsidRPr="002824BA">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07F8" w14:textId="56FD35C9" w:rsidR="002824BA" w:rsidRDefault="002824BA">
    <w:pPr>
      <w:pStyle w:val="Header"/>
    </w:pPr>
    <w:r>
      <w:rPr>
        <w:noProof/>
      </w:rPr>
      <mc:AlternateContent>
        <mc:Choice Requires="wps">
          <w:drawing>
            <wp:anchor distT="0" distB="0" distL="0" distR="0" simplePos="0" relativeHeight="251669504" behindDoc="0" locked="0" layoutInCell="1" allowOverlap="1" wp14:anchorId="4B053FED" wp14:editId="4F575064">
              <wp:simplePos x="635" y="635"/>
              <wp:positionH relativeFrom="page">
                <wp:align>center</wp:align>
              </wp:positionH>
              <wp:positionV relativeFrom="page">
                <wp:align>top</wp:align>
              </wp:positionV>
              <wp:extent cx="551815" cy="452755"/>
              <wp:effectExtent l="0" t="0" r="635" b="4445"/>
              <wp:wrapNone/>
              <wp:docPr id="43043772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DF49D52" w14:textId="5C443445" w:rsidR="002824BA" w:rsidRPr="002824BA" w:rsidRDefault="002824BA" w:rsidP="002824BA">
                          <w:pPr>
                            <w:spacing w:after="0"/>
                            <w:rPr>
                              <w:rFonts w:ascii="Calibri" w:eastAsia="Calibri" w:hAnsi="Calibri" w:cs="Calibri"/>
                              <w:noProof/>
                              <w:color w:val="FF0000"/>
                              <w:sz w:val="24"/>
                              <w:szCs w:val="24"/>
                            </w:rPr>
                          </w:pPr>
                          <w:r w:rsidRPr="002824B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053FED" id="_x0000_t202" coordsize="21600,21600" o:spt="202" path="m,l,21600r21600,l21600,xe">
              <v:stroke joinstyle="miter"/>
              <v:path gradientshapeok="t" o:connecttype="rect"/>
            </v:shapetype>
            <v:shape id="Text Box 3" o:spid="_x0000_s1027" type="#_x0000_t202" alt="OFFICIAL" style="position:absolute;margin-left:0;margin-top:0;width:43.45pt;height:35.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6DF49D52" w14:textId="5C443445" w:rsidR="002824BA" w:rsidRPr="002824BA" w:rsidRDefault="002824BA" w:rsidP="002824BA">
                    <w:pPr>
                      <w:spacing w:after="0"/>
                      <w:rPr>
                        <w:rFonts w:ascii="Calibri" w:eastAsia="Calibri" w:hAnsi="Calibri" w:cs="Calibri"/>
                        <w:noProof/>
                        <w:color w:val="FF0000"/>
                        <w:sz w:val="24"/>
                        <w:szCs w:val="24"/>
                      </w:rPr>
                    </w:pPr>
                    <w:r w:rsidRPr="002824BA">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C9B1" w14:textId="41285B5F" w:rsidR="007F549A" w:rsidRPr="007F549A" w:rsidRDefault="002824BA" w:rsidP="007F549A">
    <w:pPr>
      <w:spacing w:before="0" w:after="0" w:line="240" w:lineRule="auto"/>
      <w:rPr>
        <w:rFonts w:ascii="Times New Roman" w:eastAsia="Times New Roman" w:hAnsi="Times New Roman"/>
        <w:color w:val="auto"/>
        <w:sz w:val="24"/>
        <w:szCs w:val="24"/>
        <w:lang w:eastAsia="en-AU"/>
      </w:rPr>
    </w:pPr>
    <w:r>
      <w:rPr>
        <w:noProof/>
      </w:rPr>
      <mc:AlternateContent>
        <mc:Choice Requires="wps">
          <w:drawing>
            <wp:anchor distT="0" distB="0" distL="0" distR="0" simplePos="0" relativeHeight="251667456" behindDoc="0" locked="0" layoutInCell="1" allowOverlap="1" wp14:anchorId="44461CF5" wp14:editId="5D17C8CD">
              <wp:simplePos x="635" y="635"/>
              <wp:positionH relativeFrom="page">
                <wp:align>center</wp:align>
              </wp:positionH>
              <wp:positionV relativeFrom="page">
                <wp:align>top</wp:align>
              </wp:positionV>
              <wp:extent cx="551815" cy="452755"/>
              <wp:effectExtent l="0" t="0" r="635" b="4445"/>
              <wp:wrapNone/>
              <wp:docPr id="159114087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8852FA7" w14:textId="7881C9D8" w:rsidR="002824BA" w:rsidRPr="002824BA" w:rsidRDefault="002824BA" w:rsidP="002824BA">
                          <w:pPr>
                            <w:spacing w:after="0"/>
                            <w:rPr>
                              <w:rFonts w:ascii="Calibri" w:eastAsia="Calibri" w:hAnsi="Calibri" w:cs="Calibri"/>
                              <w:noProof/>
                              <w:color w:val="FF0000"/>
                              <w:sz w:val="24"/>
                              <w:szCs w:val="24"/>
                            </w:rPr>
                          </w:pPr>
                          <w:r w:rsidRPr="002824B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461CF5" id="_x0000_t202" coordsize="21600,21600" o:spt="202" path="m,l,21600r21600,l21600,xe">
              <v:stroke joinstyle="miter"/>
              <v:path gradientshapeok="t" o:connecttype="rect"/>
            </v:shapetype>
            <v:shape id="Text Box 1" o:spid="_x0000_s1030" type="#_x0000_t202" alt="OFFICIAL" style="position:absolute;margin-left:0;margin-top:0;width:43.45pt;height:35.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08852FA7" w14:textId="7881C9D8" w:rsidR="002824BA" w:rsidRPr="002824BA" w:rsidRDefault="002824BA" w:rsidP="002824BA">
                    <w:pPr>
                      <w:spacing w:after="0"/>
                      <w:rPr>
                        <w:rFonts w:ascii="Calibri" w:eastAsia="Calibri" w:hAnsi="Calibri" w:cs="Calibri"/>
                        <w:noProof/>
                        <w:color w:val="FF0000"/>
                        <w:sz w:val="24"/>
                        <w:szCs w:val="24"/>
                      </w:rPr>
                    </w:pPr>
                    <w:r w:rsidRPr="002824BA">
                      <w:rPr>
                        <w:rFonts w:ascii="Calibri" w:eastAsia="Calibri" w:hAnsi="Calibri" w:cs="Calibri"/>
                        <w:noProof/>
                        <w:color w:val="FF0000"/>
                        <w:sz w:val="24"/>
                        <w:szCs w:val="24"/>
                      </w:rPr>
                      <w:t>OFFICIAL</w:t>
                    </w:r>
                  </w:p>
                </w:txbxContent>
              </v:textbox>
              <w10:wrap anchorx="page" anchory="page"/>
            </v:shape>
          </w:pict>
        </mc:Fallback>
      </mc:AlternateContent>
    </w:r>
    <w:r w:rsidR="00496CCB">
      <w:rPr>
        <w:noProof/>
      </w:rPr>
      <w:drawing>
        <wp:anchor distT="0" distB="0" distL="114300" distR="114300" simplePos="0" relativeHeight="251666432" behindDoc="1" locked="0" layoutInCell="1" allowOverlap="1" wp14:anchorId="1C2255D7" wp14:editId="6C43E109">
          <wp:simplePos x="0" y="0"/>
          <wp:positionH relativeFrom="column">
            <wp:posOffset>-872490</wp:posOffset>
          </wp:positionH>
          <wp:positionV relativeFrom="paragraph">
            <wp:posOffset>-396240</wp:posOffset>
          </wp:positionV>
          <wp:extent cx="7578000" cy="4147200"/>
          <wp:effectExtent l="0" t="0" r="4445" b="5715"/>
          <wp:wrapNone/>
          <wp:docPr id="152228090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8090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00" cy="414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38733A" w14:textId="77777777" w:rsidR="00B967A4" w:rsidRDefault="00B967A4" w:rsidP="00B967A4">
    <w:pPr>
      <w:pStyle w:val="NormalWeb"/>
    </w:pPr>
    <w:r w:rsidRPr="009527AE">
      <w:rPr>
        <w:noProof/>
        <w:color w:val="FFFFFF" w:themeColor="background1"/>
        <w:sz w:val="16"/>
        <w:szCs w:val="16"/>
      </w:rPr>
      <w:drawing>
        <wp:anchor distT="0" distB="0" distL="114300" distR="114300" simplePos="0" relativeHeight="251661312" behindDoc="0" locked="1" layoutInCell="1" allowOverlap="1" wp14:anchorId="031CFE80" wp14:editId="0A5C1B17">
          <wp:simplePos x="0" y="0"/>
          <wp:positionH relativeFrom="page">
            <wp:posOffset>864235</wp:posOffset>
          </wp:positionH>
          <wp:positionV relativeFrom="page">
            <wp:posOffset>648335</wp:posOffset>
          </wp:positionV>
          <wp:extent cx="1814400" cy="648000"/>
          <wp:effectExtent l="0" t="0" r="0" b="0"/>
          <wp:wrapNone/>
          <wp:docPr id="1015010643" name="Graphic 11">
            <a:extLst xmlns:a="http://schemas.openxmlformats.org/drawingml/2006/main">
              <a:ext uri="{FF2B5EF4-FFF2-40B4-BE49-F238E27FC236}">
                <a16:creationId xmlns:a16="http://schemas.microsoft.com/office/drawing/2014/main" id="{03A7763C-B648-1C2B-592F-16266CACB7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010643" name="Graphic 11">
                    <a:extLst>
                      <a:ext uri="{FF2B5EF4-FFF2-40B4-BE49-F238E27FC236}">
                        <a16:creationId xmlns:a16="http://schemas.microsoft.com/office/drawing/2014/main" id="{03A7763C-B648-1C2B-592F-16266CACB79A}"/>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814400" cy="648000"/>
                  </a:xfrm>
                  <a:prstGeom prst="rect">
                    <a:avLst/>
                  </a:prstGeom>
                </pic:spPr>
              </pic:pic>
            </a:graphicData>
          </a:graphic>
          <wp14:sizeRelH relativeFrom="page">
            <wp14:pctWidth>0</wp14:pctWidth>
          </wp14:sizeRelH>
          <wp14:sizeRelV relativeFrom="page">
            <wp14:pctHeight>0</wp14:pctHeight>
          </wp14:sizeRelV>
        </wp:anchor>
      </w:drawing>
    </w:r>
  </w:p>
  <w:p w14:paraId="43A94F70" w14:textId="77777777" w:rsidR="00F9109B" w:rsidRDefault="00F9109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acfNhfgn" int2:invalidationBookmarkName="" int2:hashCode="UkkSO5fzCIy7wp" int2:id="QqDj5014">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92D"/>
    <w:multiLevelType w:val="hybridMultilevel"/>
    <w:tmpl w:val="2E2CB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E10026"/>
    <w:multiLevelType w:val="hybridMultilevel"/>
    <w:tmpl w:val="BB10F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542DC8"/>
    <w:multiLevelType w:val="hybridMultilevel"/>
    <w:tmpl w:val="28709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F77E30"/>
    <w:multiLevelType w:val="multilevel"/>
    <w:tmpl w:val="F3AA75CA"/>
    <w:lvl w:ilvl="0">
      <w:start w:val="1"/>
      <w:numFmt w:val="lowerLetter"/>
      <w:pStyle w:val="List"/>
      <w:lvlText w:val="%1."/>
      <w:lvlJc w:val="left"/>
      <w:pPr>
        <w:ind w:left="360" w:hanging="360"/>
      </w:pPr>
      <w:rPr>
        <w:rFonts w:asciiTheme="minorHAnsi" w:hAnsiTheme="minorHAnsi" w:hint="default"/>
        <w:b/>
        <w:i w:val="0"/>
        <w:color w:val="auto"/>
        <w:sz w:val="20"/>
      </w:rPr>
    </w:lvl>
    <w:lvl w:ilvl="1">
      <w:start w:val="1"/>
      <w:numFmt w:val="lowerRoman"/>
      <w:lvlText w:val="%2."/>
      <w:lvlJc w:val="left"/>
      <w:pPr>
        <w:ind w:left="720" w:hanging="360"/>
      </w:pPr>
      <w:rPr>
        <w:rFonts w:asciiTheme="minorHAnsi" w:hAnsiTheme="minorHAnsi" w:hint="default"/>
        <w:b/>
        <w:i w:val="0"/>
        <w:color w:val="auto"/>
        <w:sz w:val="20"/>
      </w:rPr>
    </w:lvl>
    <w:lvl w:ilvl="2">
      <w:start w:val="1"/>
      <w:numFmt w:val="upperLetter"/>
      <w:lvlText w:val="%3."/>
      <w:lvlJc w:val="left"/>
      <w:pPr>
        <w:ind w:left="1080" w:hanging="360"/>
      </w:pPr>
      <w:rPr>
        <w:rFonts w:asciiTheme="minorHAnsi" w:hAnsiTheme="minorHAnsi" w:hint="default"/>
        <w:b/>
        <w:i w:val="0"/>
        <w:color w:val="auto"/>
        <w:sz w:val="20"/>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upperLetter"/>
      <w:lvlText w:val="(%6)"/>
      <w:lvlJc w:val="left"/>
      <w:pPr>
        <w:ind w:left="2160" w:hanging="360"/>
      </w:pPr>
      <w:rPr>
        <w:rFonts w:hint="default"/>
        <w:color w:val="auto"/>
      </w:rPr>
    </w:lvl>
    <w:lvl w:ilvl="6">
      <w:start w:val="1"/>
      <w:numFmt w:val="lowerLetter"/>
      <w:lvlText w:val="%7."/>
      <w:lvlJc w:val="left"/>
      <w:pPr>
        <w:ind w:left="2520" w:hanging="360"/>
      </w:pPr>
      <w:rPr>
        <w:rFonts w:hint="default"/>
        <w:color w:val="auto"/>
      </w:rPr>
    </w:lvl>
    <w:lvl w:ilvl="7">
      <w:start w:val="1"/>
      <w:numFmt w:val="lowerRoman"/>
      <w:lvlText w:val="%8."/>
      <w:lvlJc w:val="left"/>
      <w:pPr>
        <w:ind w:left="2880" w:hanging="360"/>
      </w:pPr>
      <w:rPr>
        <w:rFonts w:hint="default"/>
        <w:color w:val="auto"/>
      </w:rPr>
    </w:lvl>
    <w:lvl w:ilvl="8">
      <w:start w:val="1"/>
      <w:numFmt w:val="upperLetter"/>
      <w:lvlText w:val="%9."/>
      <w:lvlJc w:val="left"/>
      <w:pPr>
        <w:ind w:left="3240" w:hanging="360"/>
      </w:pPr>
      <w:rPr>
        <w:rFonts w:hint="default"/>
        <w:color w:val="auto"/>
      </w:rPr>
    </w:lvl>
  </w:abstractNum>
  <w:abstractNum w:abstractNumId="4" w15:restartNumberingAfterBreak="0">
    <w:nsid w:val="2AD2772D"/>
    <w:multiLevelType w:val="hybridMultilevel"/>
    <w:tmpl w:val="8A2C4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713E13"/>
    <w:multiLevelType w:val="hybridMultilevel"/>
    <w:tmpl w:val="7A7EA42A"/>
    <w:lvl w:ilvl="0" w:tplc="774C2216">
      <w:start w:val="1"/>
      <w:numFmt w:val="decimal"/>
      <w:pStyle w:val="TableCaption"/>
      <w:lvlText w:val="Table %1"/>
      <w:lvlJc w:val="left"/>
      <w:pPr>
        <w:ind w:left="72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43949FA"/>
    <w:multiLevelType w:val="hybridMultilevel"/>
    <w:tmpl w:val="60BC8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272CF2"/>
    <w:multiLevelType w:val="hybridMultilevel"/>
    <w:tmpl w:val="1BDE5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216080"/>
    <w:multiLevelType w:val="hybridMultilevel"/>
    <w:tmpl w:val="B99AB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61F7723"/>
    <w:multiLevelType w:val="multilevel"/>
    <w:tmpl w:val="9808093A"/>
    <w:lvl w:ilvl="0">
      <w:start w:val="1"/>
      <w:numFmt w:val="decimal"/>
      <w:pStyle w:val="Caption"/>
      <w:lvlText w:val="Figure %1"/>
      <w:lvlJc w:val="left"/>
      <w:pPr>
        <w:ind w:left="36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81546A7"/>
    <w:multiLevelType w:val="multilevel"/>
    <w:tmpl w:val="6F709864"/>
    <w:lvl w:ilvl="0">
      <w:start w:val="1"/>
      <w:numFmt w:val="decimal"/>
      <w:pStyle w:val="ListNumber"/>
      <w:lvlText w:val="%1."/>
      <w:lvlJc w:val="left"/>
      <w:pPr>
        <w:ind w:left="360" w:hanging="360"/>
      </w:pPr>
      <w:rPr>
        <w:rFonts w:asciiTheme="minorHAnsi" w:hAnsiTheme="minorHAnsi" w:hint="default"/>
        <w:b/>
        <w:i w:val="0"/>
        <w:color w:val="auto"/>
        <w:sz w:val="20"/>
      </w:rPr>
    </w:lvl>
    <w:lvl w:ilvl="1">
      <w:start w:val="1"/>
      <w:numFmt w:val="lowerLetter"/>
      <w:pStyle w:val="ListNumber2"/>
      <w:lvlText w:val="%2."/>
      <w:lvlJc w:val="left"/>
      <w:pPr>
        <w:ind w:left="720" w:hanging="360"/>
      </w:pPr>
      <w:rPr>
        <w:rFonts w:asciiTheme="minorHAnsi" w:hAnsiTheme="minorHAnsi" w:hint="default"/>
        <w:b/>
        <w:i w:val="0"/>
        <w:color w:val="auto"/>
        <w:sz w:val="20"/>
      </w:rPr>
    </w:lvl>
    <w:lvl w:ilvl="2">
      <w:start w:val="1"/>
      <w:numFmt w:val="lowerRoman"/>
      <w:pStyle w:val="ListNumber3"/>
      <w:lvlText w:val="%3."/>
      <w:lvlJc w:val="left"/>
      <w:pPr>
        <w:ind w:left="1080" w:hanging="360"/>
      </w:pPr>
      <w:rPr>
        <w:rFonts w:asciiTheme="minorHAnsi" w:hAnsiTheme="minorHAnsi" w:hint="default"/>
        <w:b/>
        <w:i w:val="0"/>
        <w:color w:val="auto"/>
        <w:sz w:val="20"/>
      </w:rPr>
    </w:lvl>
    <w:lvl w:ilvl="3">
      <w:start w:val="1"/>
      <w:numFmt w:val="decimal"/>
      <w:pStyle w:val="ListNumber4"/>
      <w:lvlText w:val="(%4)"/>
      <w:lvlJc w:val="left"/>
      <w:pPr>
        <w:ind w:left="1440" w:hanging="360"/>
      </w:pPr>
      <w:rPr>
        <w:rFonts w:asciiTheme="minorHAnsi" w:hAnsiTheme="minorHAnsi" w:hint="default"/>
        <w:b/>
        <w:i w:val="0"/>
        <w:color w:val="auto"/>
        <w:sz w:val="20"/>
      </w:rPr>
    </w:lvl>
    <w:lvl w:ilvl="4">
      <w:start w:val="1"/>
      <w:numFmt w:val="lowerLetter"/>
      <w:pStyle w:val="ListNumber5"/>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11" w15:restartNumberingAfterBreak="0">
    <w:nsid w:val="782904EB"/>
    <w:multiLevelType w:val="hybridMultilevel"/>
    <w:tmpl w:val="1D42AE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87E4D88"/>
    <w:multiLevelType w:val="multilevel"/>
    <w:tmpl w:val="790ACF80"/>
    <w:lvl w:ilvl="0">
      <w:start w:val="1"/>
      <w:numFmt w:val="bullet"/>
      <w:pStyle w:val="ListBullet"/>
      <w:lvlText w:val=""/>
      <w:lvlJc w:val="left"/>
      <w:pPr>
        <w:ind w:left="360" w:hanging="360"/>
      </w:pPr>
      <w:rPr>
        <w:rFonts w:ascii="Symbol" w:hAnsi="Symbol" w:hint="default"/>
        <w:color w:val="auto"/>
        <w:sz w:val="22"/>
      </w:rPr>
    </w:lvl>
    <w:lvl w:ilvl="1">
      <w:start w:val="1"/>
      <w:numFmt w:val="bullet"/>
      <w:pStyle w:val="ListBullet2"/>
      <w:lvlText w:val="o"/>
      <w:lvlJc w:val="left"/>
      <w:pPr>
        <w:ind w:left="720" w:hanging="360"/>
      </w:pPr>
      <w:rPr>
        <w:rFonts w:ascii="Courier New" w:hAnsi="Courier New" w:hint="default"/>
        <w:color w:val="auto"/>
        <w:sz w:val="22"/>
      </w:rPr>
    </w:lvl>
    <w:lvl w:ilvl="2">
      <w:start w:val="1"/>
      <w:numFmt w:val="bullet"/>
      <w:pStyle w:val="ListBullet3"/>
      <w:lvlText w:val=""/>
      <w:lvlJc w:val="left"/>
      <w:pPr>
        <w:ind w:left="1080" w:hanging="360"/>
      </w:pPr>
      <w:rPr>
        <w:rFonts w:ascii="Wingdings" w:hAnsi="Wingdings" w:hint="default"/>
        <w:color w:val="auto"/>
        <w:sz w:val="22"/>
      </w:rPr>
    </w:lvl>
    <w:lvl w:ilvl="3">
      <w:start w:val="1"/>
      <w:numFmt w:val="bullet"/>
      <w:pStyle w:val="ListBullet4"/>
      <w:lvlText w:val="–"/>
      <w:lvlJc w:val="left"/>
      <w:pPr>
        <w:ind w:left="1440" w:hanging="360"/>
      </w:pPr>
      <w:rPr>
        <w:rFonts w:ascii="Arial" w:hAnsi="Arial" w:hint="default"/>
        <w:color w:val="auto"/>
        <w:sz w:val="22"/>
      </w:rPr>
    </w:lvl>
    <w:lvl w:ilvl="4">
      <w:start w:val="1"/>
      <w:numFmt w:val="bullet"/>
      <w:pStyle w:val="ListBullet5"/>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3" w15:restartNumberingAfterBreak="0">
    <w:nsid w:val="79155C62"/>
    <w:multiLevelType w:val="hybridMultilevel"/>
    <w:tmpl w:val="B1882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FA702FC"/>
    <w:multiLevelType w:val="hybridMultilevel"/>
    <w:tmpl w:val="438A7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523040">
    <w:abstractNumId w:val="3"/>
  </w:num>
  <w:num w:numId="2" w16cid:durableId="1741051169">
    <w:abstractNumId w:val="12"/>
  </w:num>
  <w:num w:numId="3" w16cid:durableId="1155560808">
    <w:abstractNumId w:val="9"/>
  </w:num>
  <w:num w:numId="4" w16cid:durableId="1231190212">
    <w:abstractNumId w:val="10"/>
  </w:num>
  <w:num w:numId="5" w16cid:durableId="1479827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3592745">
    <w:abstractNumId w:val="5"/>
  </w:num>
  <w:num w:numId="7" w16cid:durableId="2081175973">
    <w:abstractNumId w:val="1"/>
  </w:num>
  <w:num w:numId="8" w16cid:durableId="1456487416">
    <w:abstractNumId w:val="6"/>
  </w:num>
  <w:num w:numId="9" w16cid:durableId="69543888">
    <w:abstractNumId w:val="0"/>
  </w:num>
  <w:num w:numId="10" w16cid:durableId="1751152373">
    <w:abstractNumId w:val="13"/>
  </w:num>
  <w:num w:numId="11" w16cid:durableId="365914730">
    <w:abstractNumId w:val="2"/>
  </w:num>
  <w:num w:numId="12" w16cid:durableId="664209323">
    <w:abstractNumId w:val="7"/>
  </w:num>
  <w:num w:numId="13" w16cid:durableId="971441584">
    <w:abstractNumId w:val="8"/>
  </w:num>
  <w:num w:numId="14" w16cid:durableId="945695726">
    <w:abstractNumId w:val="11"/>
  </w:num>
  <w:num w:numId="15" w16cid:durableId="503712034">
    <w:abstractNumId w:val="14"/>
  </w:num>
  <w:num w:numId="16" w16cid:durableId="21115968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227"/>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2824BA"/>
    <w:rsid w:val="00005CA6"/>
    <w:rsid w:val="00011EBE"/>
    <w:rsid w:val="000121BA"/>
    <w:rsid w:val="000136A5"/>
    <w:rsid w:val="00013E33"/>
    <w:rsid w:val="00015555"/>
    <w:rsid w:val="0001627D"/>
    <w:rsid w:val="000164A5"/>
    <w:rsid w:val="00020CF3"/>
    <w:rsid w:val="0002234B"/>
    <w:rsid w:val="000237BA"/>
    <w:rsid w:val="00024813"/>
    <w:rsid w:val="0002528E"/>
    <w:rsid w:val="00026E4C"/>
    <w:rsid w:val="0003148E"/>
    <w:rsid w:val="00032388"/>
    <w:rsid w:val="00033439"/>
    <w:rsid w:val="00034043"/>
    <w:rsid w:val="0003501D"/>
    <w:rsid w:val="000369EA"/>
    <w:rsid w:val="00036C75"/>
    <w:rsid w:val="00036FE5"/>
    <w:rsid w:val="00037DE5"/>
    <w:rsid w:val="00041055"/>
    <w:rsid w:val="00041141"/>
    <w:rsid w:val="00046136"/>
    <w:rsid w:val="00051EEF"/>
    <w:rsid w:val="00056BC0"/>
    <w:rsid w:val="000577A4"/>
    <w:rsid w:val="00061B61"/>
    <w:rsid w:val="000635BC"/>
    <w:rsid w:val="0006369F"/>
    <w:rsid w:val="00064283"/>
    <w:rsid w:val="0006584D"/>
    <w:rsid w:val="00065887"/>
    <w:rsid w:val="000658B5"/>
    <w:rsid w:val="00065F7E"/>
    <w:rsid w:val="000723BC"/>
    <w:rsid w:val="000760F4"/>
    <w:rsid w:val="00080037"/>
    <w:rsid w:val="00081BFA"/>
    <w:rsid w:val="00083A58"/>
    <w:rsid w:val="00083FD2"/>
    <w:rsid w:val="0008584C"/>
    <w:rsid w:val="000872A3"/>
    <w:rsid w:val="00087F29"/>
    <w:rsid w:val="00091A80"/>
    <w:rsid w:val="00093BC8"/>
    <w:rsid w:val="00095151"/>
    <w:rsid w:val="00096866"/>
    <w:rsid w:val="00096AA7"/>
    <w:rsid w:val="000A054F"/>
    <w:rsid w:val="000A1273"/>
    <w:rsid w:val="000A1738"/>
    <w:rsid w:val="000A1916"/>
    <w:rsid w:val="000A1EF9"/>
    <w:rsid w:val="000A2E7B"/>
    <w:rsid w:val="000A336E"/>
    <w:rsid w:val="000A3F90"/>
    <w:rsid w:val="000A4DA7"/>
    <w:rsid w:val="000A5B5A"/>
    <w:rsid w:val="000A66C9"/>
    <w:rsid w:val="000B19D3"/>
    <w:rsid w:val="000B23CF"/>
    <w:rsid w:val="000B3106"/>
    <w:rsid w:val="000B3336"/>
    <w:rsid w:val="000B40C2"/>
    <w:rsid w:val="000B4363"/>
    <w:rsid w:val="000B5598"/>
    <w:rsid w:val="000B5729"/>
    <w:rsid w:val="000B7A1D"/>
    <w:rsid w:val="000C0CA6"/>
    <w:rsid w:val="000C1B92"/>
    <w:rsid w:val="000C30E5"/>
    <w:rsid w:val="000C4291"/>
    <w:rsid w:val="000C5879"/>
    <w:rsid w:val="000D19FF"/>
    <w:rsid w:val="000D22A8"/>
    <w:rsid w:val="000D5E95"/>
    <w:rsid w:val="000D793D"/>
    <w:rsid w:val="000D7D92"/>
    <w:rsid w:val="000D7F92"/>
    <w:rsid w:val="000E0F11"/>
    <w:rsid w:val="000E552A"/>
    <w:rsid w:val="000E76FA"/>
    <w:rsid w:val="000F0CAD"/>
    <w:rsid w:val="000F2461"/>
    <w:rsid w:val="000F2EDC"/>
    <w:rsid w:val="000F58A7"/>
    <w:rsid w:val="000F5A29"/>
    <w:rsid w:val="000F5CB5"/>
    <w:rsid w:val="000F6463"/>
    <w:rsid w:val="000F6579"/>
    <w:rsid w:val="000F7990"/>
    <w:rsid w:val="00100584"/>
    <w:rsid w:val="001010A9"/>
    <w:rsid w:val="00103B28"/>
    <w:rsid w:val="00103BB3"/>
    <w:rsid w:val="001056B5"/>
    <w:rsid w:val="0010640F"/>
    <w:rsid w:val="00106589"/>
    <w:rsid w:val="00106F60"/>
    <w:rsid w:val="00112DF1"/>
    <w:rsid w:val="0011366C"/>
    <w:rsid w:val="00113EA9"/>
    <w:rsid w:val="001141D0"/>
    <w:rsid w:val="001152B8"/>
    <w:rsid w:val="001175CB"/>
    <w:rsid w:val="00117894"/>
    <w:rsid w:val="001178D7"/>
    <w:rsid w:val="0012062F"/>
    <w:rsid w:val="00120E3D"/>
    <w:rsid w:val="001239E7"/>
    <w:rsid w:val="0012449A"/>
    <w:rsid w:val="001279BB"/>
    <w:rsid w:val="00133783"/>
    <w:rsid w:val="001338BA"/>
    <w:rsid w:val="00134B17"/>
    <w:rsid w:val="001368BE"/>
    <w:rsid w:val="00136B50"/>
    <w:rsid w:val="001425A7"/>
    <w:rsid w:val="001432FE"/>
    <w:rsid w:val="00143D93"/>
    <w:rsid w:val="00144282"/>
    <w:rsid w:val="00144E74"/>
    <w:rsid w:val="001457C0"/>
    <w:rsid w:val="001523A3"/>
    <w:rsid w:val="00152AC1"/>
    <w:rsid w:val="00153AEF"/>
    <w:rsid w:val="001547CB"/>
    <w:rsid w:val="00154C1A"/>
    <w:rsid w:val="00156042"/>
    <w:rsid w:val="001567DD"/>
    <w:rsid w:val="00157AB6"/>
    <w:rsid w:val="00157CE7"/>
    <w:rsid w:val="0016186D"/>
    <w:rsid w:val="00165F83"/>
    <w:rsid w:val="001714D3"/>
    <w:rsid w:val="0017356E"/>
    <w:rsid w:val="00174708"/>
    <w:rsid w:val="00182D27"/>
    <w:rsid w:val="00184B29"/>
    <w:rsid w:val="0018654C"/>
    <w:rsid w:val="00187C93"/>
    <w:rsid w:val="00191178"/>
    <w:rsid w:val="00191513"/>
    <w:rsid w:val="00191CC2"/>
    <w:rsid w:val="00192329"/>
    <w:rsid w:val="00193699"/>
    <w:rsid w:val="00197290"/>
    <w:rsid w:val="0019759D"/>
    <w:rsid w:val="00197ADC"/>
    <w:rsid w:val="00197E66"/>
    <w:rsid w:val="001A03FE"/>
    <w:rsid w:val="001A0E88"/>
    <w:rsid w:val="001A2B7F"/>
    <w:rsid w:val="001A3D99"/>
    <w:rsid w:val="001A41EB"/>
    <w:rsid w:val="001A4611"/>
    <w:rsid w:val="001A50A3"/>
    <w:rsid w:val="001A5727"/>
    <w:rsid w:val="001A599E"/>
    <w:rsid w:val="001A7D74"/>
    <w:rsid w:val="001B23B8"/>
    <w:rsid w:val="001B3928"/>
    <w:rsid w:val="001B709F"/>
    <w:rsid w:val="001B7FA1"/>
    <w:rsid w:val="001C28D3"/>
    <w:rsid w:val="001C3BEB"/>
    <w:rsid w:val="001C3FD0"/>
    <w:rsid w:val="001C48D8"/>
    <w:rsid w:val="001C4B8A"/>
    <w:rsid w:val="001C5149"/>
    <w:rsid w:val="001C52C2"/>
    <w:rsid w:val="001C6BB6"/>
    <w:rsid w:val="001D0AFC"/>
    <w:rsid w:val="001D1EF4"/>
    <w:rsid w:val="001D2019"/>
    <w:rsid w:val="001D2598"/>
    <w:rsid w:val="001D3383"/>
    <w:rsid w:val="001D51AF"/>
    <w:rsid w:val="001D6E4A"/>
    <w:rsid w:val="001D7528"/>
    <w:rsid w:val="001D76E4"/>
    <w:rsid w:val="001E0618"/>
    <w:rsid w:val="001E101A"/>
    <w:rsid w:val="001E3A54"/>
    <w:rsid w:val="001E41E5"/>
    <w:rsid w:val="001E49C9"/>
    <w:rsid w:val="001E5108"/>
    <w:rsid w:val="001E5F8E"/>
    <w:rsid w:val="001F06CA"/>
    <w:rsid w:val="001F1430"/>
    <w:rsid w:val="001F25C8"/>
    <w:rsid w:val="001F3C12"/>
    <w:rsid w:val="001F40EE"/>
    <w:rsid w:val="001F5741"/>
    <w:rsid w:val="00200A33"/>
    <w:rsid w:val="00202C71"/>
    <w:rsid w:val="00202F7F"/>
    <w:rsid w:val="00207CBE"/>
    <w:rsid w:val="00210409"/>
    <w:rsid w:val="00210E8D"/>
    <w:rsid w:val="00210F42"/>
    <w:rsid w:val="0021123A"/>
    <w:rsid w:val="0021134B"/>
    <w:rsid w:val="00216854"/>
    <w:rsid w:val="00217D19"/>
    <w:rsid w:val="0022009C"/>
    <w:rsid w:val="00223F37"/>
    <w:rsid w:val="00226249"/>
    <w:rsid w:val="00227152"/>
    <w:rsid w:val="002307E1"/>
    <w:rsid w:val="0023112F"/>
    <w:rsid w:val="002320CE"/>
    <w:rsid w:val="00233385"/>
    <w:rsid w:val="002333C5"/>
    <w:rsid w:val="00234564"/>
    <w:rsid w:val="002349BF"/>
    <w:rsid w:val="0023510C"/>
    <w:rsid w:val="00235529"/>
    <w:rsid w:val="00236950"/>
    <w:rsid w:val="00242034"/>
    <w:rsid w:val="002422FD"/>
    <w:rsid w:val="00242456"/>
    <w:rsid w:val="00244887"/>
    <w:rsid w:val="00244E46"/>
    <w:rsid w:val="002468CF"/>
    <w:rsid w:val="00253E2B"/>
    <w:rsid w:val="002548AD"/>
    <w:rsid w:val="002574B2"/>
    <w:rsid w:val="00257A55"/>
    <w:rsid w:val="00260209"/>
    <w:rsid w:val="00262769"/>
    <w:rsid w:val="002632B7"/>
    <w:rsid w:val="00264464"/>
    <w:rsid w:val="0026489B"/>
    <w:rsid w:val="00264F4D"/>
    <w:rsid w:val="00266C65"/>
    <w:rsid w:val="00272AAC"/>
    <w:rsid w:val="00274521"/>
    <w:rsid w:val="00275504"/>
    <w:rsid w:val="0027686A"/>
    <w:rsid w:val="002776FA"/>
    <w:rsid w:val="00277E47"/>
    <w:rsid w:val="0028070D"/>
    <w:rsid w:val="002824BA"/>
    <w:rsid w:val="002871D8"/>
    <w:rsid w:val="00291082"/>
    <w:rsid w:val="002917C6"/>
    <w:rsid w:val="002934C0"/>
    <w:rsid w:val="00295234"/>
    <w:rsid w:val="00296ADC"/>
    <w:rsid w:val="00297CB5"/>
    <w:rsid w:val="002A02B1"/>
    <w:rsid w:val="002A0B58"/>
    <w:rsid w:val="002A1211"/>
    <w:rsid w:val="002A12DA"/>
    <w:rsid w:val="002A1929"/>
    <w:rsid w:val="002A1BC8"/>
    <w:rsid w:val="002A50AE"/>
    <w:rsid w:val="002A521B"/>
    <w:rsid w:val="002A66E5"/>
    <w:rsid w:val="002A7087"/>
    <w:rsid w:val="002B1417"/>
    <w:rsid w:val="002B161A"/>
    <w:rsid w:val="002B16A7"/>
    <w:rsid w:val="002B3C79"/>
    <w:rsid w:val="002B5C37"/>
    <w:rsid w:val="002B5D25"/>
    <w:rsid w:val="002C0BE4"/>
    <w:rsid w:val="002C147F"/>
    <w:rsid w:val="002C1A6F"/>
    <w:rsid w:val="002C1E4B"/>
    <w:rsid w:val="002C2769"/>
    <w:rsid w:val="002C2E1B"/>
    <w:rsid w:val="002C3AFC"/>
    <w:rsid w:val="002C4209"/>
    <w:rsid w:val="002C58C6"/>
    <w:rsid w:val="002D291F"/>
    <w:rsid w:val="002D374F"/>
    <w:rsid w:val="002D4F2A"/>
    <w:rsid w:val="002D521E"/>
    <w:rsid w:val="002D62CE"/>
    <w:rsid w:val="002D67D3"/>
    <w:rsid w:val="002D7462"/>
    <w:rsid w:val="002E001E"/>
    <w:rsid w:val="002E038B"/>
    <w:rsid w:val="002E1998"/>
    <w:rsid w:val="002E2CB1"/>
    <w:rsid w:val="002E2F01"/>
    <w:rsid w:val="002E41A9"/>
    <w:rsid w:val="002E6D7C"/>
    <w:rsid w:val="002E7E37"/>
    <w:rsid w:val="002F0E89"/>
    <w:rsid w:val="002F208B"/>
    <w:rsid w:val="002F2993"/>
    <w:rsid w:val="002F4488"/>
    <w:rsid w:val="002F52F7"/>
    <w:rsid w:val="002F5514"/>
    <w:rsid w:val="002F6F32"/>
    <w:rsid w:val="003004FA"/>
    <w:rsid w:val="00303CD4"/>
    <w:rsid w:val="0030578E"/>
    <w:rsid w:val="0030669E"/>
    <w:rsid w:val="0030795C"/>
    <w:rsid w:val="0031173C"/>
    <w:rsid w:val="00313F81"/>
    <w:rsid w:val="00314BB5"/>
    <w:rsid w:val="00320667"/>
    <w:rsid w:val="003233EA"/>
    <w:rsid w:val="00325A41"/>
    <w:rsid w:val="00327466"/>
    <w:rsid w:val="003300BD"/>
    <w:rsid w:val="00333BFF"/>
    <w:rsid w:val="00336E8A"/>
    <w:rsid w:val="00337255"/>
    <w:rsid w:val="00337769"/>
    <w:rsid w:val="0033785B"/>
    <w:rsid w:val="0034210B"/>
    <w:rsid w:val="00342671"/>
    <w:rsid w:val="00342B0C"/>
    <w:rsid w:val="00343C87"/>
    <w:rsid w:val="003450AC"/>
    <w:rsid w:val="00351CED"/>
    <w:rsid w:val="0035330E"/>
    <w:rsid w:val="00353DC5"/>
    <w:rsid w:val="003606B1"/>
    <w:rsid w:val="0036434E"/>
    <w:rsid w:val="00375370"/>
    <w:rsid w:val="00377A12"/>
    <w:rsid w:val="00380AA5"/>
    <w:rsid w:val="0038259F"/>
    <w:rsid w:val="00384233"/>
    <w:rsid w:val="003845DF"/>
    <w:rsid w:val="00387AAC"/>
    <w:rsid w:val="00397A3B"/>
    <w:rsid w:val="003A0533"/>
    <w:rsid w:val="003A5810"/>
    <w:rsid w:val="003A5F1D"/>
    <w:rsid w:val="003A67D8"/>
    <w:rsid w:val="003A68CB"/>
    <w:rsid w:val="003B3D1A"/>
    <w:rsid w:val="003B4928"/>
    <w:rsid w:val="003B551F"/>
    <w:rsid w:val="003B5606"/>
    <w:rsid w:val="003B5C68"/>
    <w:rsid w:val="003C1731"/>
    <w:rsid w:val="003C17BB"/>
    <w:rsid w:val="003C27E2"/>
    <w:rsid w:val="003C3CC4"/>
    <w:rsid w:val="003C469B"/>
    <w:rsid w:val="003D0773"/>
    <w:rsid w:val="003D0D9C"/>
    <w:rsid w:val="003D1077"/>
    <w:rsid w:val="003D1716"/>
    <w:rsid w:val="003D17FB"/>
    <w:rsid w:val="003D2652"/>
    <w:rsid w:val="003D2B5A"/>
    <w:rsid w:val="003D5D9E"/>
    <w:rsid w:val="003D70C7"/>
    <w:rsid w:val="003D7C06"/>
    <w:rsid w:val="003E0987"/>
    <w:rsid w:val="003E0E97"/>
    <w:rsid w:val="003E0F3F"/>
    <w:rsid w:val="003E14DC"/>
    <w:rsid w:val="003E16F6"/>
    <w:rsid w:val="003E19F9"/>
    <w:rsid w:val="003E1AC6"/>
    <w:rsid w:val="003E37B6"/>
    <w:rsid w:val="003E3CF0"/>
    <w:rsid w:val="003E4D00"/>
    <w:rsid w:val="003E7795"/>
    <w:rsid w:val="003F0176"/>
    <w:rsid w:val="003F075C"/>
    <w:rsid w:val="003F0791"/>
    <w:rsid w:val="003F0DE2"/>
    <w:rsid w:val="003F422C"/>
    <w:rsid w:val="003F4615"/>
    <w:rsid w:val="003F4678"/>
    <w:rsid w:val="003F5B8F"/>
    <w:rsid w:val="003F6013"/>
    <w:rsid w:val="004003DB"/>
    <w:rsid w:val="00401788"/>
    <w:rsid w:val="00402F1C"/>
    <w:rsid w:val="00407E7F"/>
    <w:rsid w:val="00410032"/>
    <w:rsid w:val="00411636"/>
    <w:rsid w:val="00411B7D"/>
    <w:rsid w:val="004130AE"/>
    <w:rsid w:val="004133BD"/>
    <w:rsid w:val="00414086"/>
    <w:rsid w:val="00416267"/>
    <w:rsid w:val="00416788"/>
    <w:rsid w:val="0042039D"/>
    <w:rsid w:val="00421E99"/>
    <w:rsid w:val="004223ED"/>
    <w:rsid w:val="00424406"/>
    <w:rsid w:val="004252F4"/>
    <w:rsid w:val="0042574E"/>
    <w:rsid w:val="00425C5C"/>
    <w:rsid w:val="004265BE"/>
    <w:rsid w:val="00431975"/>
    <w:rsid w:val="00433093"/>
    <w:rsid w:val="004339D6"/>
    <w:rsid w:val="00435303"/>
    <w:rsid w:val="0044217F"/>
    <w:rsid w:val="0044369F"/>
    <w:rsid w:val="00444B74"/>
    <w:rsid w:val="00447F86"/>
    <w:rsid w:val="00450AEF"/>
    <w:rsid w:val="0045454F"/>
    <w:rsid w:val="0045567D"/>
    <w:rsid w:val="00456453"/>
    <w:rsid w:val="004622D6"/>
    <w:rsid w:val="004624F7"/>
    <w:rsid w:val="00462C1E"/>
    <w:rsid w:val="004642D9"/>
    <w:rsid w:val="00466AF8"/>
    <w:rsid w:val="0046795B"/>
    <w:rsid w:val="00467B74"/>
    <w:rsid w:val="00467CE7"/>
    <w:rsid w:val="0047130C"/>
    <w:rsid w:val="004753EA"/>
    <w:rsid w:val="0048437F"/>
    <w:rsid w:val="00495969"/>
    <w:rsid w:val="00496CCB"/>
    <w:rsid w:val="00497959"/>
    <w:rsid w:val="004A0ED4"/>
    <w:rsid w:val="004A1736"/>
    <w:rsid w:val="004A1BC5"/>
    <w:rsid w:val="004A3278"/>
    <w:rsid w:val="004A4B45"/>
    <w:rsid w:val="004A58E5"/>
    <w:rsid w:val="004A6A7C"/>
    <w:rsid w:val="004A6D7F"/>
    <w:rsid w:val="004A7DA8"/>
    <w:rsid w:val="004B17FB"/>
    <w:rsid w:val="004B3359"/>
    <w:rsid w:val="004B38F6"/>
    <w:rsid w:val="004B6C3D"/>
    <w:rsid w:val="004C26DA"/>
    <w:rsid w:val="004C2CBD"/>
    <w:rsid w:val="004C2D38"/>
    <w:rsid w:val="004C359D"/>
    <w:rsid w:val="004C47F5"/>
    <w:rsid w:val="004C5153"/>
    <w:rsid w:val="004C6084"/>
    <w:rsid w:val="004C6C62"/>
    <w:rsid w:val="004D0DC8"/>
    <w:rsid w:val="004D1D34"/>
    <w:rsid w:val="004D1FE3"/>
    <w:rsid w:val="004D3380"/>
    <w:rsid w:val="004D7430"/>
    <w:rsid w:val="004E06CD"/>
    <w:rsid w:val="004E0750"/>
    <w:rsid w:val="004E142F"/>
    <w:rsid w:val="004E169F"/>
    <w:rsid w:val="004E18F2"/>
    <w:rsid w:val="004E2765"/>
    <w:rsid w:val="004E38D4"/>
    <w:rsid w:val="004E5861"/>
    <w:rsid w:val="004E5EEB"/>
    <w:rsid w:val="004E6D42"/>
    <w:rsid w:val="004F16FA"/>
    <w:rsid w:val="004F6546"/>
    <w:rsid w:val="004F7FE0"/>
    <w:rsid w:val="00500B52"/>
    <w:rsid w:val="005035EB"/>
    <w:rsid w:val="00504AE4"/>
    <w:rsid w:val="00505381"/>
    <w:rsid w:val="005062D4"/>
    <w:rsid w:val="0050706D"/>
    <w:rsid w:val="005071B9"/>
    <w:rsid w:val="00507868"/>
    <w:rsid w:val="00507D3A"/>
    <w:rsid w:val="00507DED"/>
    <w:rsid w:val="00510A99"/>
    <w:rsid w:val="00512BE7"/>
    <w:rsid w:val="005138A5"/>
    <w:rsid w:val="005138DF"/>
    <w:rsid w:val="0051558C"/>
    <w:rsid w:val="00516ACB"/>
    <w:rsid w:val="00520281"/>
    <w:rsid w:val="005209B1"/>
    <w:rsid w:val="00521C5A"/>
    <w:rsid w:val="00521CCB"/>
    <w:rsid w:val="005234AB"/>
    <w:rsid w:val="005266C3"/>
    <w:rsid w:val="00527D0A"/>
    <w:rsid w:val="005316C5"/>
    <w:rsid w:val="0053171E"/>
    <w:rsid w:val="00536075"/>
    <w:rsid w:val="00536A70"/>
    <w:rsid w:val="00537ECB"/>
    <w:rsid w:val="005410C1"/>
    <w:rsid w:val="00550B1A"/>
    <w:rsid w:val="005511C1"/>
    <w:rsid w:val="005516A9"/>
    <w:rsid w:val="005520BC"/>
    <w:rsid w:val="00552F86"/>
    <w:rsid w:val="005532C6"/>
    <w:rsid w:val="005559C1"/>
    <w:rsid w:val="0055601C"/>
    <w:rsid w:val="00562DF0"/>
    <w:rsid w:val="005634B4"/>
    <w:rsid w:val="0056463F"/>
    <w:rsid w:val="005646CD"/>
    <w:rsid w:val="0056489B"/>
    <w:rsid w:val="00566964"/>
    <w:rsid w:val="00570151"/>
    <w:rsid w:val="005743DF"/>
    <w:rsid w:val="00582037"/>
    <w:rsid w:val="00583BF3"/>
    <w:rsid w:val="00584EA0"/>
    <w:rsid w:val="00585314"/>
    <w:rsid w:val="00585D96"/>
    <w:rsid w:val="00585FC6"/>
    <w:rsid w:val="00586756"/>
    <w:rsid w:val="00586A68"/>
    <w:rsid w:val="005915AE"/>
    <w:rsid w:val="0059331F"/>
    <w:rsid w:val="00593C4E"/>
    <w:rsid w:val="005943E4"/>
    <w:rsid w:val="00594996"/>
    <w:rsid w:val="00595909"/>
    <w:rsid w:val="005A094A"/>
    <w:rsid w:val="005A142A"/>
    <w:rsid w:val="005A22A5"/>
    <w:rsid w:val="005A647D"/>
    <w:rsid w:val="005B158F"/>
    <w:rsid w:val="005B1BD1"/>
    <w:rsid w:val="005B2791"/>
    <w:rsid w:val="005B3A1A"/>
    <w:rsid w:val="005B4808"/>
    <w:rsid w:val="005B5231"/>
    <w:rsid w:val="005C00EC"/>
    <w:rsid w:val="005C317B"/>
    <w:rsid w:val="005C3BCC"/>
    <w:rsid w:val="005C3C53"/>
    <w:rsid w:val="005C3D26"/>
    <w:rsid w:val="005C76E3"/>
    <w:rsid w:val="005D1997"/>
    <w:rsid w:val="005D32BE"/>
    <w:rsid w:val="005D65FE"/>
    <w:rsid w:val="005D7DCC"/>
    <w:rsid w:val="005E3C4D"/>
    <w:rsid w:val="005E3E4E"/>
    <w:rsid w:val="005F08D9"/>
    <w:rsid w:val="005F36C3"/>
    <w:rsid w:val="005F4740"/>
    <w:rsid w:val="005F56D4"/>
    <w:rsid w:val="005F59AA"/>
    <w:rsid w:val="0060327D"/>
    <w:rsid w:val="0060390B"/>
    <w:rsid w:val="00603D3A"/>
    <w:rsid w:val="00606ED1"/>
    <w:rsid w:val="0060777F"/>
    <w:rsid w:val="00607D8E"/>
    <w:rsid w:val="00610149"/>
    <w:rsid w:val="00610317"/>
    <w:rsid w:val="0061259C"/>
    <w:rsid w:val="00616063"/>
    <w:rsid w:val="0061628F"/>
    <w:rsid w:val="00616A8F"/>
    <w:rsid w:val="0062006A"/>
    <w:rsid w:val="00620692"/>
    <w:rsid w:val="00621DAE"/>
    <w:rsid w:val="00622A8D"/>
    <w:rsid w:val="0062348C"/>
    <w:rsid w:val="006330DA"/>
    <w:rsid w:val="006367D6"/>
    <w:rsid w:val="00640006"/>
    <w:rsid w:val="0064041E"/>
    <w:rsid w:val="00640B02"/>
    <w:rsid w:val="0064162C"/>
    <w:rsid w:val="00644F41"/>
    <w:rsid w:val="006454C7"/>
    <w:rsid w:val="006458A1"/>
    <w:rsid w:val="0064638E"/>
    <w:rsid w:val="00647F38"/>
    <w:rsid w:val="00654DB0"/>
    <w:rsid w:val="00656D2E"/>
    <w:rsid w:val="0065754D"/>
    <w:rsid w:val="00662B82"/>
    <w:rsid w:val="00663A07"/>
    <w:rsid w:val="00663EB2"/>
    <w:rsid w:val="00663FD5"/>
    <w:rsid w:val="00664625"/>
    <w:rsid w:val="00665F53"/>
    <w:rsid w:val="006666F0"/>
    <w:rsid w:val="006761D1"/>
    <w:rsid w:val="00681672"/>
    <w:rsid w:val="006818CB"/>
    <w:rsid w:val="00681922"/>
    <w:rsid w:val="00681DC4"/>
    <w:rsid w:val="00682690"/>
    <w:rsid w:val="0068530B"/>
    <w:rsid w:val="00686387"/>
    <w:rsid w:val="00686747"/>
    <w:rsid w:val="00687FC3"/>
    <w:rsid w:val="006909B3"/>
    <w:rsid w:val="006910B9"/>
    <w:rsid w:val="00691B1E"/>
    <w:rsid w:val="00693793"/>
    <w:rsid w:val="00693A71"/>
    <w:rsid w:val="006A0D5B"/>
    <w:rsid w:val="006A261D"/>
    <w:rsid w:val="006A35DD"/>
    <w:rsid w:val="006A3CDA"/>
    <w:rsid w:val="006A3D01"/>
    <w:rsid w:val="006A7FC2"/>
    <w:rsid w:val="006B0B35"/>
    <w:rsid w:val="006B0C33"/>
    <w:rsid w:val="006B1240"/>
    <w:rsid w:val="006B31AD"/>
    <w:rsid w:val="006B3A4B"/>
    <w:rsid w:val="006B4175"/>
    <w:rsid w:val="006B6CB3"/>
    <w:rsid w:val="006B7C51"/>
    <w:rsid w:val="006C1340"/>
    <w:rsid w:val="006C1E76"/>
    <w:rsid w:val="006C2813"/>
    <w:rsid w:val="006C2EEC"/>
    <w:rsid w:val="006C3EE5"/>
    <w:rsid w:val="006C3FCD"/>
    <w:rsid w:val="006C4497"/>
    <w:rsid w:val="006C5560"/>
    <w:rsid w:val="006C5BC4"/>
    <w:rsid w:val="006C643E"/>
    <w:rsid w:val="006D0E06"/>
    <w:rsid w:val="006D118B"/>
    <w:rsid w:val="006D2526"/>
    <w:rsid w:val="006D41CA"/>
    <w:rsid w:val="006D5930"/>
    <w:rsid w:val="006D6392"/>
    <w:rsid w:val="006D7A2A"/>
    <w:rsid w:val="006E0022"/>
    <w:rsid w:val="006E281A"/>
    <w:rsid w:val="006E546F"/>
    <w:rsid w:val="006E5981"/>
    <w:rsid w:val="006E6195"/>
    <w:rsid w:val="006E777C"/>
    <w:rsid w:val="006E7EA8"/>
    <w:rsid w:val="006F0D69"/>
    <w:rsid w:val="006F169C"/>
    <w:rsid w:val="006F297E"/>
    <w:rsid w:val="006F50F5"/>
    <w:rsid w:val="006F5C6F"/>
    <w:rsid w:val="006F6761"/>
    <w:rsid w:val="006F7CB3"/>
    <w:rsid w:val="007023B2"/>
    <w:rsid w:val="0070784B"/>
    <w:rsid w:val="00707B0F"/>
    <w:rsid w:val="00710AEE"/>
    <w:rsid w:val="00711370"/>
    <w:rsid w:val="00713ADF"/>
    <w:rsid w:val="00716958"/>
    <w:rsid w:val="00722E45"/>
    <w:rsid w:val="0072344E"/>
    <w:rsid w:val="00724799"/>
    <w:rsid w:val="00732F33"/>
    <w:rsid w:val="00733BB6"/>
    <w:rsid w:val="00734448"/>
    <w:rsid w:val="007345C6"/>
    <w:rsid w:val="0073698E"/>
    <w:rsid w:val="007369FD"/>
    <w:rsid w:val="00740F95"/>
    <w:rsid w:val="00742A2A"/>
    <w:rsid w:val="00742D15"/>
    <w:rsid w:val="00743223"/>
    <w:rsid w:val="00743F2B"/>
    <w:rsid w:val="007454B9"/>
    <w:rsid w:val="007467E3"/>
    <w:rsid w:val="00751B97"/>
    <w:rsid w:val="00752D37"/>
    <w:rsid w:val="007531C4"/>
    <w:rsid w:val="00754945"/>
    <w:rsid w:val="00755A69"/>
    <w:rsid w:val="00756E38"/>
    <w:rsid w:val="007577DB"/>
    <w:rsid w:val="00760E66"/>
    <w:rsid w:val="00762818"/>
    <w:rsid w:val="00763211"/>
    <w:rsid w:val="007641A7"/>
    <w:rsid w:val="0076540B"/>
    <w:rsid w:val="00772BCA"/>
    <w:rsid w:val="0077317E"/>
    <w:rsid w:val="007738AD"/>
    <w:rsid w:val="0077668B"/>
    <w:rsid w:val="007776CE"/>
    <w:rsid w:val="00780046"/>
    <w:rsid w:val="00780A83"/>
    <w:rsid w:val="007819DD"/>
    <w:rsid w:val="00781D4D"/>
    <w:rsid w:val="00794B20"/>
    <w:rsid w:val="00796DE6"/>
    <w:rsid w:val="007A040D"/>
    <w:rsid w:val="007A049D"/>
    <w:rsid w:val="007A63DD"/>
    <w:rsid w:val="007B03B8"/>
    <w:rsid w:val="007B20FE"/>
    <w:rsid w:val="007B3904"/>
    <w:rsid w:val="007B4C52"/>
    <w:rsid w:val="007B5FB6"/>
    <w:rsid w:val="007B730B"/>
    <w:rsid w:val="007C0D01"/>
    <w:rsid w:val="007C13F1"/>
    <w:rsid w:val="007C5286"/>
    <w:rsid w:val="007C5B4F"/>
    <w:rsid w:val="007C5FAE"/>
    <w:rsid w:val="007C68A4"/>
    <w:rsid w:val="007D0359"/>
    <w:rsid w:val="007D1CC1"/>
    <w:rsid w:val="007E2BEB"/>
    <w:rsid w:val="007E6C0C"/>
    <w:rsid w:val="007F1006"/>
    <w:rsid w:val="007F549A"/>
    <w:rsid w:val="007F6088"/>
    <w:rsid w:val="007F7683"/>
    <w:rsid w:val="007F7F9B"/>
    <w:rsid w:val="0080000F"/>
    <w:rsid w:val="00800F49"/>
    <w:rsid w:val="00802574"/>
    <w:rsid w:val="00803042"/>
    <w:rsid w:val="008043C0"/>
    <w:rsid w:val="008044C2"/>
    <w:rsid w:val="00806A1D"/>
    <w:rsid w:val="00807516"/>
    <w:rsid w:val="0080756E"/>
    <w:rsid w:val="00807B89"/>
    <w:rsid w:val="008106C1"/>
    <w:rsid w:val="00810F2C"/>
    <w:rsid w:val="00812D3A"/>
    <w:rsid w:val="00813D71"/>
    <w:rsid w:val="00814EB6"/>
    <w:rsid w:val="00814EEE"/>
    <w:rsid w:val="00815B59"/>
    <w:rsid w:val="00823B41"/>
    <w:rsid w:val="0082499B"/>
    <w:rsid w:val="008254F9"/>
    <w:rsid w:val="00825F78"/>
    <w:rsid w:val="00826D89"/>
    <w:rsid w:val="0082700C"/>
    <w:rsid w:val="00831354"/>
    <w:rsid w:val="00831855"/>
    <w:rsid w:val="008326EB"/>
    <w:rsid w:val="008327AB"/>
    <w:rsid w:val="00834459"/>
    <w:rsid w:val="00835736"/>
    <w:rsid w:val="00835D56"/>
    <w:rsid w:val="00837C66"/>
    <w:rsid w:val="008520E2"/>
    <w:rsid w:val="00853537"/>
    <w:rsid w:val="008572D0"/>
    <w:rsid w:val="008603FF"/>
    <w:rsid w:val="008629B7"/>
    <w:rsid w:val="00862D9B"/>
    <w:rsid w:val="0086323A"/>
    <w:rsid w:val="00863D5A"/>
    <w:rsid w:val="00864F9E"/>
    <w:rsid w:val="00867C7F"/>
    <w:rsid w:val="00867FD1"/>
    <w:rsid w:val="008720F3"/>
    <w:rsid w:val="0087248E"/>
    <w:rsid w:val="00872DBB"/>
    <w:rsid w:val="00873EEA"/>
    <w:rsid w:val="00875B30"/>
    <w:rsid w:val="00876962"/>
    <w:rsid w:val="00880FAF"/>
    <w:rsid w:val="008877E5"/>
    <w:rsid w:val="0088797B"/>
    <w:rsid w:val="008969F7"/>
    <w:rsid w:val="00896BFF"/>
    <w:rsid w:val="008A1F47"/>
    <w:rsid w:val="008A3F11"/>
    <w:rsid w:val="008A6F64"/>
    <w:rsid w:val="008B0557"/>
    <w:rsid w:val="008B4110"/>
    <w:rsid w:val="008B41E5"/>
    <w:rsid w:val="008B4594"/>
    <w:rsid w:val="008B513E"/>
    <w:rsid w:val="008B591A"/>
    <w:rsid w:val="008B6BA7"/>
    <w:rsid w:val="008C20AC"/>
    <w:rsid w:val="008C2AF7"/>
    <w:rsid w:val="008C3C5D"/>
    <w:rsid w:val="008D1C45"/>
    <w:rsid w:val="008D1DE2"/>
    <w:rsid w:val="008D5EA6"/>
    <w:rsid w:val="008D6976"/>
    <w:rsid w:val="008D7966"/>
    <w:rsid w:val="008E0BDC"/>
    <w:rsid w:val="008E2748"/>
    <w:rsid w:val="008E37C3"/>
    <w:rsid w:val="008E6310"/>
    <w:rsid w:val="008E76B2"/>
    <w:rsid w:val="008E78D4"/>
    <w:rsid w:val="008F22DF"/>
    <w:rsid w:val="008F348D"/>
    <w:rsid w:val="008F68E6"/>
    <w:rsid w:val="008F7ED4"/>
    <w:rsid w:val="009042B2"/>
    <w:rsid w:val="009059A0"/>
    <w:rsid w:val="00905EE7"/>
    <w:rsid w:val="00907414"/>
    <w:rsid w:val="00907D31"/>
    <w:rsid w:val="00907F93"/>
    <w:rsid w:val="009148B4"/>
    <w:rsid w:val="009173AC"/>
    <w:rsid w:val="00917DA2"/>
    <w:rsid w:val="009205AF"/>
    <w:rsid w:val="00930132"/>
    <w:rsid w:val="00930D4E"/>
    <w:rsid w:val="00932857"/>
    <w:rsid w:val="009363FF"/>
    <w:rsid w:val="0093688A"/>
    <w:rsid w:val="00943667"/>
    <w:rsid w:val="00944B83"/>
    <w:rsid w:val="00944E01"/>
    <w:rsid w:val="00950CB7"/>
    <w:rsid w:val="00951EA7"/>
    <w:rsid w:val="009527AE"/>
    <w:rsid w:val="0095289A"/>
    <w:rsid w:val="0095480D"/>
    <w:rsid w:val="00954883"/>
    <w:rsid w:val="0095784D"/>
    <w:rsid w:val="00957C0B"/>
    <w:rsid w:val="00962401"/>
    <w:rsid w:val="009643B7"/>
    <w:rsid w:val="0096683E"/>
    <w:rsid w:val="009673AA"/>
    <w:rsid w:val="009720E5"/>
    <w:rsid w:val="00975401"/>
    <w:rsid w:val="0097559E"/>
    <w:rsid w:val="009805D1"/>
    <w:rsid w:val="00983A0C"/>
    <w:rsid w:val="00984C04"/>
    <w:rsid w:val="0098562A"/>
    <w:rsid w:val="00985941"/>
    <w:rsid w:val="009875F1"/>
    <w:rsid w:val="009928C3"/>
    <w:rsid w:val="009939C2"/>
    <w:rsid w:val="009949CF"/>
    <w:rsid w:val="009951D1"/>
    <w:rsid w:val="009967DA"/>
    <w:rsid w:val="00996A28"/>
    <w:rsid w:val="009A1343"/>
    <w:rsid w:val="009A244B"/>
    <w:rsid w:val="009A29FA"/>
    <w:rsid w:val="009A3301"/>
    <w:rsid w:val="009A4CF8"/>
    <w:rsid w:val="009A5260"/>
    <w:rsid w:val="009A7E7C"/>
    <w:rsid w:val="009B08C9"/>
    <w:rsid w:val="009B1C03"/>
    <w:rsid w:val="009B2762"/>
    <w:rsid w:val="009B2BD5"/>
    <w:rsid w:val="009C0C46"/>
    <w:rsid w:val="009C6862"/>
    <w:rsid w:val="009C69D1"/>
    <w:rsid w:val="009D04F8"/>
    <w:rsid w:val="009D13BE"/>
    <w:rsid w:val="009D18FC"/>
    <w:rsid w:val="009D27F9"/>
    <w:rsid w:val="009D5542"/>
    <w:rsid w:val="009D5614"/>
    <w:rsid w:val="009D6BAB"/>
    <w:rsid w:val="009D7365"/>
    <w:rsid w:val="009E0D5D"/>
    <w:rsid w:val="009E0DBB"/>
    <w:rsid w:val="009E3ABE"/>
    <w:rsid w:val="009E5530"/>
    <w:rsid w:val="009F1238"/>
    <w:rsid w:val="009F1578"/>
    <w:rsid w:val="009F3EB9"/>
    <w:rsid w:val="009F4403"/>
    <w:rsid w:val="00A002B2"/>
    <w:rsid w:val="00A0390D"/>
    <w:rsid w:val="00A040B2"/>
    <w:rsid w:val="00A05877"/>
    <w:rsid w:val="00A05B14"/>
    <w:rsid w:val="00A05CB3"/>
    <w:rsid w:val="00A10C8D"/>
    <w:rsid w:val="00A11010"/>
    <w:rsid w:val="00A121BE"/>
    <w:rsid w:val="00A124BD"/>
    <w:rsid w:val="00A1740D"/>
    <w:rsid w:val="00A2102A"/>
    <w:rsid w:val="00A21250"/>
    <w:rsid w:val="00A22106"/>
    <w:rsid w:val="00A237CC"/>
    <w:rsid w:val="00A239E9"/>
    <w:rsid w:val="00A24E7E"/>
    <w:rsid w:val="00A263AC"/>
    <w:rsid w:val="00A26AB3"/>
    <w:rsid w:val="00A26FDC"/>
    <w:rsid w:val="00A305C0"/>
    <w:rsid w:val="00A30B2F"/>
    <w:rsid w:val="00A30CA2"/>
    <w:rsid w:val="00A311EC"/>
    <w:rsid w:val="00A31F47"/>
    <w:rsid w:val="00A3271C"/>
    <w:rsid w:val="00A3563F"/>
    <w:rsid w:val="00A35EB9"/>
    <w:rsid w:val="00A37834"/>
    <w:rsid w:val="00A379D0"/>
    <w:rsid w:val="00A406C2"/>
    <w:rsid w:val="00A40702"/>
    <w:rsid w:val="00A40E79"/>
    <w:rsid w:val="00A41D2C"/>
    <w:rsid w:val="00A42CED"/>
    <w:rsid w:val="00A438DA"/>
    <w:rsid w:val="00A45CA9"/>
    <w:rsid w:val="00A50F2A"/>
    <w:rsid w:val="00A549C7"/>
    <w:rsid w:val="00A54B77"/>
    <w:rsid w:val="00A554CC"/>
    <w:rsid w:val="00A57BEE"/>
    <w:rsid w:val="00A60798"/>
    <w:rsid w:val="00A608A2"/>
    <w:rsid w:val="00A61580"/>
    <w:rsid w:val="00A62057"/>
    <w:rsid w:val="00A62BBD"/>
    <w:rsid w:val="00A6586C"/>
    <w:rsid w:val="00A6719F"/>
    <w:rsid w:val="00A70F1E"/>
    <w:rsid w:val="00A72917"/>
    <w:rsid w:val="00A729F7"/>
    <w:rsid w:val="00A73806"/>
    <w:rsid w:val="00A738DB"/>
    <w:rsid w:val="00A752C3"/>
    <w:rsid w:val="00A76331"/>
    <w:rsid w:val="00A7654D"/>
    <w:rsid w:val="00A76AD3"/>
    <w:rsid w:val="00A778EF"/>
    <w:rsid w:val="00A80C22"/>
    <w:rsid w:val="00A8239E"/>
    <w:rsid w:val="00A82C5F"/>
    <w:rsid w:val="00A83030"/>
    <w:rsid w:val="00A857C9"/>
    <w:rsid w:val="00A866B8"/>
    <w:rsid w:val="00A91389"/>
    <w:rsid w:val="00A9727D"/>
    <w:rsid w:val="00A97298"/>
    <w:rsid w:val="00A97EE7"/>
    <w:rsid w:val="00AB082E"/>
    <w:rsid w:val="00AB0BBD"/>
    <w:rsid w:val="00AB0D0F"/>
    <w:rsid w:val="00AB208B"/>
    <w:rsid w:val="00AB3114"/>
    <w:rsid w:val="00AB3259"/>
    <w:rsid w:val="00AB396A"/>
    <w:rsid w:val="00AB3C56"/>
    <w:rsid w:val="00AB3E03"/>
    <w:rsid w:val="00AB6449"/>
    <w:rsid w:val="00AB64A7"/>
    <w:rsid w:val="00AC04BB"/>
    <w:rsid w:val="00AC0DCA"/>
    <w:rsid w:val="00AC1695"/>
    <w:rsid w:val="00AC2041"/>
    <w:rsid w:val="00AC2C84"/>
    <w:rsid w:val="00AC3E4B"/>
    <w:rsid w:val="00AC4171"/>
    <w:rsid w:val="00AC4303"/>
    <w:rsid w:val="00AC4B47"/>
    <w:rsid w:val="00AC4CF0"/>
    <w:rsid w:val="00AC6350"/>
    <w:rsid w:val="00AC75DC"/>
    <w:rsid w:val="00AC7A49"/>
    <w:rsid w:val="00AD10B5"/>
    <w:rsid w:val="00AD374F"/>
    <w:rsid w:val="00AD3B5E"/>
    <w:rsid w:val="00AD54DB"/>
    <w:rsid w:val="00AD5C27"/>
    <w:rsid w:val="00AD64EA"/>
    <w:rsid w:val="00AD6E31"/>
    <w:rsid w:val="00AD770A"/>
    <w:rsid w:val="00AE2702"/>
    <w:rsid w:val="00AE4737"/>
    <w:rsid w:val="00AE5580"/>
    <w:rsid w:val="00AE5EDF"/>
    <w:rsid w:val="00AE6670"/>
    <w:rsid w:val="00AE7410"/>
    <w:rsid w:val="00AE7D1E"/>
    <w:rsid w:val="00AF1121"/>
    <w:rsid w:val="00AF72A3"/>
    <w:rsid w:val="00AF74B0"/>
    <w:rsid w:val="00B00592"/>
    <w:rsid w:val="00B0101D"/>
    <w:rsid w:val="00B014AA"/>
    <w:rsid w:val="00B0201E"/>
    <w:rsid w:val="00B02197"/>
    <w:rsid w:val="00B03F57"/>
    <w:rsid w:val="00B03FC2"/>
    <w:rsid w:val="00B044AE"/>
    <w:rsid w:val="00B0751F"/>
    <w:rsid w:val="00B12ADD"/>
    <w:rsid w:val="00B14440"/>
    <w:rsid w:val="00B146CB"/>
    <w:rsid w:val="00B1523C"/>
    <w:rsid w:val="00B15399"/>
    <w:rsid w:val="00B21920"/>
    <w:rsid w:val="00B22EE5"/>
    <w:rsid w:val="00B232F6"/>
    <w:rsid w:val="00B23442"/>
    <w:rsid w:val="00B265C9"/>
    <w:rsid w:val="00B26D2F"/>
    <w:rsid w:val="00B3112C"/>
    <w:rsid w:val="00B33686"/>
    <w:rsid w:val="00B36484"/>
    <w:rsid w:val="00B37CD6"/>
    <w:rsid w:val="00B41C57"/>
    <w:rsid w:val="00B42F1B"/>
    <w:rsid w:val="00B46E65"/>
    <w:rsid w:val="00B50CF8"/>
    <w:rsid w:val="00B52143"/>
    <w:rsid w:val="00B543B5"/>
    <w:rsid w:val="00B57046"/>
    <w:rsid w:val="00B5778A"/>
    <w:rsid w:val="00B60932"/>
    <w:rsid w:val="00B6203C"/>
    <w:rsid w:val="00B62237"/>
    <w:rsid w:val="00B62340"/>
    <w:rsid w:val="00B64364"/>
    <w:rsid w:val="00B67DE1"/>
    <w:rsid w:val="00B71030"/>
    <w:rsid w:val="00B715FF"/>
    <w:rsid w:val="00B72F90"/>
    <w:rsid w:val="00B761FF"/>
    <w:rsid w:val="00B81FB3"/>
    <w:rsid w:val="00B846A2"/>
    <w:rsid w:val="00B848DC"/>
    <w:rsid w:val="00B90471"/>
    <w:rsid w:val="00B91278"/>
    <w:rsid w:val="00B937C2"/>
    <w:rsid w:val="00B93D2E"/>
    <w:rsid w:val="00B94743"/>
    <w:rsid w:val="00B949E0"/>
    <w:rsid w:val="00B94A36"/>
    <w:rsid w:val="00B967A4"/>
    <w:rsid w:val="00BA28F9"/>
    <w:rsid w:val="00BA2B7C"/>
    <w:rsid w:val="00BA2D5F"/>
    <w:rsid w:val="00BA2F61"/>
    <w:rsid w:val="00BA32F1"/>
    <w:rsid w:val="00BA5F2F"/>
    <w:rsid w:val="00BA6AD7"/>
    <w:rsid w:val="00BA7EF2"/>
    <w:rsid w:val="00BB03F1"/>
    <w:rsid w:val="00BB1DCF"/>
    <w:rsid w:val="00BB3E60"/>
    <w:rsid w:val="00BB4210"/>
    <w:rsid w:val="00BB6D5E"/>
    <w:rsid w:val="00BB7373"/>
    <w:rsid w:val="00BC05DE"/>
    <w:rsid w:val="00BC0B55"/>
    <w:rsid w:val="00BC2986"/>
    <w:rsid w:val="00BC4040"/>
    <w:rsid w:val="00BC4754"/>
    <w:rsid w:val="00BC488E"/>
    <w:rsid w:val="00BC4E55"/>
    <w:rsid w:val="00BC736D"/>
    <w:rsid w:val="00BD2982"/>
    <w:rsid w:val="00BD7AD8"/>
    <w:rsid w:val="00BE29D9"/>
    <w:rsid w:val="00BE2A20"/>
    <w:rsid w:val="00BE2DF2"/>
    <w:rsid w:val="00BE55DC"/>
    <w:rsid w:val="00BE5DF1"/>
    <w:rsid w:val="00BE6AD3"/>
    <w:rsid w:val="00BE6C26"/>
    <w:rsid w:val="00BE75B6"/>
    <w:rsid w:val="00BF0041"/>
    <w:rsid w:val="00BF4602"/>
    <w:rsid w:val="00BF5F0E"/>
    <w:rsid w:val="00BF6B6C"/>
    <w:rsid w:val="00BF6D6A"/>
    <w:rsid w:val="00C00A73"/>
    <w:rsid w:val="00C0177A"/>
    <w:rsid w:val="00C02412"/>
    <w:rsid w:val="00C02EA8"/>
    <w:rsid w:val="00C03645"/>
    <w:rsid w:val="00C05BC6"/>
    <w:rsid w:val="00C05C65"/>
    <w:rsid w:val="00C064C8"/>
    <w:rsid w:val="00C06C5D"/>
    <w:rsid w:val="00C10D9D"/>
    <w:rsid w:val="00C115C2"/>
    <w:rsid w:val="00C11AB0"/>
    <w:rsid w:val="00C1216D"/>
    <w:rsid w:val="00C1257C"/>
    <w:rsid w:val="00C127FA"/>
    <w:rsid w:val="00C1394E"/>
    <w:rsid w:val="00C15873"/>
    <w:rsid w:val="00C16318"/>
    <w:rsid w:val="00C1659D"/>
    <w:rsid w:val="00C2062C"/>
    <w:rsid w:val="00C207DA"/>
    <w:rsid w:val="00C21194"/>
    <w:rsid w:val="00C213C2"/>
    <w:rsid w:val="00C217DF"/>
    <w:rsid w:val="00C227EC"/>
    <w:rsid w:val="00C238D8"/>
    <w:rsid w:val="00C24B29"/>
    <w:rsid w:val="00C24FE9"/>
    <w:rsid w:val="00C263F4"/>
    <w:rsid w:val="00C26D49"/>
    <w:rsid w:val="00C31329"/>
    <w:rsid w:val="00C313A3"/>
    <w:rsid w:val="00C31441"/>
    <w:rsid w:val="00C328CC"/>
    <w:rsid w:val="00C34610"/>
    <w:rsid w:val="00C34E35"/>
    <w:rsid w:val="00C409A5"/>
    <w:rsid w:val="00C45B5E"/>
    <w:rsid w:val="00C46294"/>
    <w:rsid w:val="00C46F97"/>
    <w:rsid w:val="00C471C4"/>
    <w:rsid w:val="00C50FF3"/>
    <w:rsid w:val="00C51F57"/>
    <w:rsid w:val="00C5647F"/>
    <w:rsid w:val="00C56A46"/>
    <w:rsid w:val="00C57E87"/>
    <w:rsid w:val="00C646A8"/>
    <w:rsid w:val="00C6547C"/>
    <w:rsid w:val="00C6566B"/>
    <w:rsid w:val="00C66147"/>
    <w:rsid w:val="00C663C0"/>
    <w:rsid w:val="00C671BA"/>
    <w:rsid w:val="00C72800"/>
    <w:rsid w:val="00C7645F"/>
    <w:rsid w:val="00C76B8E"/>
    <w:rsid w:val="00C80B2D"/>
    <w:rsid w:val="00C80DDE"/>
    <w:rsid w:val="00C8199C"/>
    <w:rsid w:val="00C83C72"/>
    <w:rsid w:val="00C840D8"/>
    <w:rsid w:val="00C84E10"/>
    <w:rsid w:val="00C85349"/>
    <w:rsid w:val="00C86AF1"/>
    <w:rsid w:val="00C87D99"/>
    <w:rsid w:val="00C9029F"/>
    <w:rsid w:val="00C9039F"/>
    <w:rsid w:val="00C923AD"/>
    <w:rsid w:val="00C92477"/>
    <w:rsid w:val="00C92A32"/>
    <w:rsid w:val="00C94113"/>
    <w:rsid w:val="00C9668B"/>
    <w:rsid w:val="00C96C49"/>
    <w:rsid w:val="00C9762A"/>
    <w:rsid w:val="00CA1EE9"/>
    <w:rsid w:val="00CA27B7"/>
    <w:rsid w:val="00CA2E95"/>
    <w:rsid w:val="00CA55FB"/>
    <w:rsid w:val="00CA7572"/>
    <w:rsid w:val="00CA794C"/>
    <w:rsid w:val="00CA7F74"/>
    <w:rsid w:val="00CB0C32"/>
    <w:rsid w:val="00CB1248"/>
    <w:rsid w:val="00CB16D2"/>
    <w:rsid w:val="00CB1DFC"/>
    <w:rsid w:val="00CB2D65"/>
    <w:rsid w:val="00CB6246"/>
    <w:rsid w:val="00CC0759"/>
    <w:rsid w:val="00CC29FD"/>
    <w:rsid w:val="00CC3160"/>
    <w:rsid w:val="00CC6953"/>
    <w:rsid w:val="00CD2A69"/>
    <w:rsid w:val="00CD2DBF"/>
    <w:rsid w:val="00CD4E24"/>
    <w:rsid w:val="00CD6207"/>
    <w:rsid w:val="00CD72A6"/>
    <w:rsid w:val="00CE1AA9"/>
    <w:rsid w:val="00CE39B8"/>
    <w:rsid w:val="00CE4A83"/>
    <w:rsid w:val="00CE4BBF"/>
    <w:rsid w:val="00CE525E"/>
    <w:rsid w:val="00CF1591"/>
    <w:rsid w:val="00CF1689"/>
    <w:rsid w:val="00CF3DAC"/>
    <w:rsid w:val="00CF4344"/>
    <w:rsid w:val="00CF5164"/>
    <w:rsid w:val="00CF55E6"/>
    <w:rsid w:val="00CF5B88"/>
    <w:rsid w:val="00CF72D7"/>
    <w:rsid w:val="00D00689"/>
    <w:rsid w:val="00D014A6"/>
    <w:rsid w:val="00D015A4"/>
    <w:rsid w:val="00D02F69"/>
    <w:rsid w:val="00D044FB"/>
    <w:rsid w:val="00D108BF"/>
    <w:rsid w:val="00D1092B"/>
    <w:rsid w:val="00D1107B"/>
    <w:rsid w:val="00D11DB8"/>
    <w:rsid w:val="00D1423F"/>
    <w:rsid w:val="00D14B43"/>
    <w:rsid w:val="00D167D0"/>
    <w:rsid w:val="00D177A0"/>
    <w:rsid w:val="00D20092"/>
    <w:rsid w:val="00D2293A"/>
    <w:rsid w:val="00D22E65"/>
    <w:rsid w:val="00D22EAF"/>
    <w:rsid w:val="00D2430E"/>
    <w:rsid w:val="00D251B7"/>
    <w:rsid w:val="00D26410"/>
    <w:rsid w:val="00D2717B"/>
    <w:rsid w:val="00D3078B"/>
    <w:rsid w:val="00D3118E"/>
    <w:rsid w:val="00D32E8F"/>
    <w:rsid w:val="00D32FB1"/>
    <w:rsid w:val="00D34BC5"/>
    <w:rsid w:val="00D36BA1"/>
    <w:rsid w:val="00D36C76"/>
    <w:rsid w:val="00D37F07"/>
    <w:rsid w:val="00D41BB8"/>
    <w:rsid w:val="00D444E3"/>
    <w:rsid w:val="00D50850"/>
    <w:rsid w:val="00D52AFA"/>
    <w:rsid w:val="00D54285"/>
    <w:rsid w:val="00D5566B"/>
    <w:rsid w:val="00D6102D"/>
    <w:rsid w:val="00D63381"/>
    <w:rsid w:val="00D643F8"/>
    <w:rsid w:val="00D64F3A"/>
    <w:rsid w:val="00D67892"/>
    <w:rsid w:val="00D7119E"/>
    <w:rsid w:val="00D71BF6"/>
    <w:rsid w:val="00D72BF8"/>
    <w:rsid w:val="00D7590F"/>
    <w:rsid w:val="00D75ED8"/>
    <w:rsid w:val="00D7685A"/>
    <w:rsid w:val="00D85656"/>
    <w:rsid w:val="00D927DF"/>
    <w:rsid w:val="00DA0143"/>
    <w:rsid w:val="00DA0378"/>
    <w:rsid w:val="00DA0EA5"/>
    <w:rsid w:val="00DA1664"/>
    <w:rsid w:val="00DA258B"/>
    <w:rsid w:val="00DA33AC"/>
    <w:rsid w:val="00DA4D73"/>
    <w:rsid w:val="00DB13D3"/>
    <w:rsid w:val="00DB4283"/>
    <w:rsid w:val="00DB62E8"/>
    <w:rsid w:val="00DB65A3"/>
    <w:rsid w:val="00DB78FC"/>
    <w:rsid w:val="00DB7E4B"/>
    <w:rsid w:val="00DC0F37"/>
    <w:rsid w:val="00DC18AE"/>
    <w:rsid w:val="00DC33B0"/>
    <w:rsid w:val="00DC57CD"/>
    <w:rsid w:val="00DC58F4"/>
    <w:rsid w:val="00DC5BFB"/>
    <w:rsid w:val="00DC6912"/>
    <w:rsid w:val="00DD3EA6"/>
    <w:rsid w:val="00DD588C"/>
    <w:rsid w:val="00DD5CF9"/>
    <w:rsid w:val="00DD6787"/>
    <w:rsid w:val="00DE0022"/>
    <w:rsid w:val="00DE08B3"/>
    <w:rsid w:val="00DE1D8B"/>
    <w:rsid w:val="00DE251A"/>
    <w:rsid w:val="00DE29A8"/>
    <w:rsid w:val="00DE2C1D"/>
    <w:rsid w:val="00DE4533"/>
    <w:rsid w:val="00DE49E1"/>
    <w:rsid w:val="00DE596C"/>
    <w:rsid w:val="00DE7206"/>
    <w:rsid w:val="00DF0CB9"/>
    <w:rsid w:val="00DF172C"/>
    <w:rsid w:val="00DF5286"/>
    <w:rsid w:val="00DF571E"/>
    <w:rsid w:val="00DF7FFC"/>
    <w:rsid w:val="00E01402"/>
    <w:rsid w:val="00E01D1F"/>
    <w:rsid w:val="00E055E6"/>
    <w:rsid w:val="00E05B3F"/>
    <w:rsid w:val="00E06A0A"/>
    <w:rsid w:val="00E06A9D"/>
    <w:rsid w:val="00E07146"/>
    <w:rsid w:val="00E0783E"/>
    <w:rsid w:val="00E15F80"/>
    <w:rsid w:val="00E23775"/>
    <w:rsid w:val="00E238C6"/>
    <w:rsid w:val="00E26DB0"/>
    <w:rsid w:val="00E277FE"/>
    <w:rsid w:val="00E315FC"/>
    <w:rsid w:val="00E352A5"/>
    <w:rsid w:val="00E35E2E"/>
    <w:rsid w:val="00E364A7"/>
    <w:rsid w:val="00E36B78"/>
    <w:rsid w:val="00E3732F"/>
    <w:rsid w:val="00E40576"/>
    <w:rsid w:val="00E40C21"/>
    <w:rsid w:val="00E40DD3"/>
    <w:rsid w:val="00E410F8"/>
    <w:rsid w:val="00E41313"/>
    <w:rsid w:val="00E42FFF"/>
    <w:rsid w:val="00E433F1"/>
    <w:rsid w:val="00E442CC"/>
    <w:rsid w:val="00E46236"/>
    <w:rsid w:val="00E47469"/>
    <w:rsid w:val="00E570B7"/>
    <w:rsid w:val="00E573AC"/>
    <w:rsid w:val="00E579E2"/>
    <w:rsid w:val="00E6120F"/>
    <w:rsid w:val="00E63092"/>
    <w:rsid w:val="00E65AC2"/>
    <w:rsid w:val="00E66116"/>
    <w:rsid w:val="00E714C7"/>
    <w:rsid w:val="00E74653"/>
    <w:rsid w:val="00E7489D"/>
    <w:rsid w:val="00E753E2"/>
    <w:rsid w:val="00E7548B"/>
    <w:rsid w:val="00E75C04"/>
    <w:rsid w:val="00E768ED"/>
    <w:rsid w:val="00E76C1B"/>
    <w:rsid w:val="00E7711C"/>
    <w:rsid w:val="00E773FF"/>
    <w:rsid w:val="00E77A3D"/>
    <w:rsid w:val="00E80627"/>
    <w:rsid w:val="00E817BE"/>
    <w:rsid w:val="00E82046"/>
    <w:rsid w:val="00E82472"/>
    <w:rsid w:val="00E866C7"/>
    <w:rsid w:val="00E956CF"/>
    <w:rsid w:val="00E957A3"/>
    <w:rsid w:val="00EA114E"/>
    <w:rsid w:val="00EA1341"/>
    <w:rsid w:val="00EA1B2E"/>
    <w:rsid w:val="00EA1C66"/>
    <w:rsid w:val="00EA73F8"/>
    <w:rsid w:val="00EB4D1D"/>
    <w:rsid w:val="00EC21BE"/>
    <w:rsid w:val="00EC3938"/>
    <w:rsid w:val="00EC4D13"/>
    <w:rsid w:val="00EC4F17"/>
    <w:rsid w:val="00EC643A"/>
    <w:rsid w:val="00EC6B5C"/>
    <w:rsid w:val="00EC71D8"/>
    <w:rsid w:val="00ED244D"/>
    <w:rsid w:val="00ED4708"/>
    <w:rsid w:val="00ED7ED8"/>
    <w:rsid w:val="00EE0607"/>
    <w:rsid w:val="00EE0E86"/>
    <w:rsid w:val="00EE36E8"/>
    <w:rsid w:val="00EE49E7"/>
    <w:rsid w:val="00EE54B9"/>
    <w:rsid w:val="00EE5707"/>
    <w:rsid w:val="00EE5A67"/>
    <w:rsid w:val="00EF11B5"/>
    <w:rsid w:val="00EF4E2A"/>
    <w:rsid w:val="00EF53BF"/>
    <w:rsid w:val="00EF5E63"/>
    <w:rsid w:val="00EF7E9B"/>
    <w:rsid w:val="00F0134F"/>
    <w:rsid w:val="00F0366B"/>
    <w:rsid w:val="00F04440"/>
    <w:rsid w:val="00F05DDD"/>
    <w:rsid w:val="00F07DC3"/>
    <w:rsid w:val="00F07E01"/>
    <w:rsid w:val="00F1198E"/>
    <w:rsid w:val="00F12B0C"/>
    <w:rsid w:val="00F13AC6"/>
    <w:rsid w:val="00F14231"/>
    <w:rsid w:val="00F14EA5"/>
    <w:rsid w:val="00F15CD5"/>
    <w:rsid w:val="00F15F64"/>
    <w:rsid w:val="00F16059"/>
    <w:rsid w:val="00F16393"/>
    <w:rsid w:val="00F17C14"/>
    <w:rsid w:val="00F20C42"/>
    <w:rsid w:val="00F210BE"/>
    <w:rsid w:val="00F2533F"/>
    <w:rsid w:val="00F30EEE"/>
    <w:rsid w:val="00F3483C"/>
    <w:rsid w:val="00F348CF"/>
    <w:rsid w:val="00F35E47"/>
    <w:rsid w:val="00F364CB"/>
    <w:rsid w:val="00F36D7A"/>
    <w:rsid w:val="00F37592"/>
    <w:rsid w:val="00F400A4"/>
    <w:rsid w:val="00F400EF"/>
    <w:rsid w:val="00F41EF2"/>
    <w:rsid w:val="00F42218"/>
    <w:rsid w:val="00F423D3"/>
    <w:rsid w:val="00F43D14"/>
    <w:rsid w:val="00F45ABD"/>
    <w:rsid w:val="00F46705"/>
    <w:rsid w:val="00F46CFF"/>
    <w:rsid w:val="00F47F82"/>
    <w:rsid w:val="00F50457"/>
    <w:rsid w:val="00F504A8"/>
    <w:rsid w:val="00F515E6"/>
    <w:rsid w:val="00F51E7E"/>
    <w:rsid w:val="00F52BFF"/>
    <w:rsid w:val="00F538A1"/>
    <w:rsid w:val="00F53E64"/>
    <w:rsid w:val="00F540B3"/>
    <w:rsid w:val="00F545EB"/>
    <w:rsid w:val="00F54926"/>
    <w:rsid w:val="00F56218"/>
    <w:rsid w:val="00F56615"/>
    <w:rsid w:val="00F56B0B"/>
    <w:rsid w:val="00F57150"/>
    <w:rsid w:val="00F601E2"/>
    <w:rsid w:val="00F631A1"/>
    <w:rsid w:val="00F673DE"/>
    <w:rsid w:val="00F676E2"/>
    <w:rsid w:val="00F67850"/>
    <w:rsid w:val="00F71556"/>
    <w:rsid w:val="00F72E68"/>
    <w:rsid w:val="00F73845"/>
    <w:rsid w:val="00F76366"/>
    <w:rsid w:val="00F807B4"/>
    <w:rsid w:val="00F82439"/>
    <w:rsid w:val="00F834B3"/>
    <w:rsid w:val="00F85300"/>
    <w:rsid w:val="00F86761"/>
    <w:rsid w:val="00F87AFD"/>
    <w:rsid w:val="00F90B8D"/>
    <w:rsid w:val="00F9109B"/>
    <w:rsid w:val="00F92885"/>
    <w:rsid w:val="00F93B56"/>
    <w:rsid w:val="00F95BEA"/>
    <w:rsid w:val="00F967D7"/>
    <w:rsid w:val="00FA1B12"/>
    <w:rsid w:val="00FA1ED8"/>
    <w:rsid w:val="00FA4CC6"/>
    <w:rsid w:val="00FB0353"/>
    <w:rsid w:val="00FB2995"/>
    <w:rsid w:val="00FB49DA"/>
    <w:rsid w:val="00FB5748"/>
    <w:rsid w:val="00FB5DAB"/>
    <w:rsid w:val="00FB67B6"/>
    <w:rsid w:val="00FB6ACA"/>
    <w:rsid w:val="00FC2C83"/>
    <w:rsid w:val="00FC3883"/>
    <w:rsid w:val="00FC3E07"/>
    <w:rsid w:val="00FC6061"/>
    <w:rsid w:val="00FC7517"/>
    <w:rsid w:val="00FD0EEF"/>
    <w:rsid w:val="00FD1232"/>
    <w:rsid w:val="00FD2908"/>
    <w:rsid w:val="00FD3A12"/>
    <w:rsid w:val="00FD3AC0"/>
    <w:rsid w:val="00FD59F8"/>
    <w:rsid w:val="00FD662D"/>
    <w:rsid w:val="00FD766A"/>
    <w:rsid w:val="00FD7896"/>
    <w:rsid w:val="00FE0D43"/>
    <w:rsid w:val="00FE13CD"/>
    <w:rsid w:val="00FE19A6"/>
    <w:rsid w:val="00FE1D8F"/>
    <w:rsid w:val="00FE1E79"/>
    <w:rsid w:val="00FE5BFC"/>
    <w:rsid w:val="00FF035E"/>
    <w:rsid w:val="00FF2332"/>
    <w:rsid w:val="00FF302B"/>
    <w:rsid w:val="00FF4975"/>
    <w:rsid w:val="00FF4A25"/>
    <w:rsid w:val="00FF4D6B"/>
    <w:rsid w:val="00FF52CA"/>
    <w:rsid w:val="00FF5897"/>
    <w:rsid w:val="00FF5FE1"/>
    <w:rsid w:val="00FF6A46"/>
    <w:rsid w:val="00FF7A53"/>
    <w:rsid w:val="09C70DCC"/>
    <w:rsid w:val="101BB3A1"/>
    <w:rsid w:val="1392B86E"/>
    <w:rsid w:val="181F582D"/>
    <w:rsid w:val="1D327755"/>
    <w:rsid w:val="1DCFB2C1"/>
    <w:rsid w:val="1E1377C2"/>
    <w:rsid w:val="2A795FC3"/>
    <w:rsid w:val="30FE571C"/>
    <w:rsid w:val="358CD134"/>
    <w:rsid w:val="396DA80C"/>
    <w:rsid w:val="3B0F1DAC"/>
    <w:rsid w:val="476F4FC1"/>
    <w:rsid w:val="51DAFEDE"/>
    <w:rsid w:val="53F8F21E"/>
    <w:rsid w:val="576F9F2A"/>
    <w:rsid w:val="61DE263F"/>
    <w:rsid w:val="65F8FF1A"/>
    <w:rsid w:val="6C254E1E"/>
    <w:rsid w:val="6CD4B712"/>
    <w:rsid w:val="736897AC"/>
    <w:rsid w:val="7631253B"/>
    <w:rsid w:val="766C7F5B"/>
    <w:rsid w:val="78E0D512"/>
    <w:rsid w:val="79AC0CD9"/>
    <w:rsid w:val="7C077393"/>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9AADE"/>
  <w15:docId w15:val="{A9E4A09D-AB2C-4D7C-AB14-6E02A7C63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pPr>
        <w:spacing w:before="120" w:after="120" w:line="26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3F4"/>
  </w:style>
  <w:style w:type="paragraph" w:styleId="Heading1">
    <w:name w:val="heading 1"/>
    <w:basedOn w:val="Normal"/>
    <w:next w:val="Normal"/>
    <w:link w:val="Heading1Char"/>
    <w:autoRedefine/>
    <w:uiPriority w:val="9"/>
    <w:rsid w:val="00235529"/>
    <w:pPr>
      <w:keepNext/>
      <w:keepLines/>
      <w:spacing w:before="480" w:after="240"/>
      <w:contextualSpacing/>
      <w:outlineLvl w:val="0"/>
    </w:pPr>
    <w:rPr>
      <w:rFonts w:asciiTheme="majorHAnsi" w:hAnsiTheme="majorHAnsi"/>
      <w:b/>
      <w:sz w:val="30"/>
      <w:szCs w:val="44"/>
    </w:rPr>
  </w:style>
  <w:style w:type="paragraph" w:styleId="Heading2">
    <w:name w:val="heading 2"/>
    <w:basedOn w:val="Normal"/>
    <w:next w:val="Normal"/>
    <w:link w:val="Heading2Char"/>
    <w:autoRedefine/>
    <w:uiPriority w:val="9"/>
    <w:qFormat/>
    <w:rsid w:val="00235529"/>
    <w:pPr>
      <w:keepNext/>
      <w:keepLines/>
      <w:spacing w:before="240" w:after="240"/>
      <w:contextualSpacing/>
      <w:outlineLvl w:val="1"/>
    </w:pPr>
    <w:rPr>
      <w:rFonts w:asciiTheme="majorHAnsi" w:hAnsiTheme="majorHAnsi"/>
      <w:b/>
      <w:sz w:val="26"/>
      <w:szCs w:val="28"/>
    </w:rPr>
  </w:style>
  <w:style w:type="paragraph" w:styleId="Heading3">
    <w:name w:val="heading 3"/>
    <w:basedOn w:val="Normal"/>
    <w:next w:val="Normal"/>
    <w:link w:val="Heading3Char"/>
    <w:uiPriority w:val="9"/>
    <w:qFormat/>
    <w:rsid w:val="00235529"/>
    <w:pPr>
      <w:keepNext/>
      <w:keepLines/>
      <w:spacing w:before="240"/>
      <w:contextualSpacing/>
      <w:outlineLvl w:val="2"/>
    </w:pPr>
    <w:rPr>
      <w:rFonts w:asciiTheme="majorHAnsi" w:hAnsiTheme="majorHAnsi"/>
      <w:b/>
      <w:color w:val="auto"/>
    </w:rPr>
  </w:style>
  <w:style w:type="paragraph" w:styleId="Heading4">
    <w:name w:val="heading 4"/>
    <w:basedOn w:val="Normal"/>
    <w:next w:val="Normal"/>
    <w:link w:val="Heading4Char"/>
    <w:autoRedefine/>
    <w:uiPriority w:val="9"/>
    <w:qFormat/>
    <w:rsid w:val="00235529"/>
    <w:pPr>
      <w:keepNext/>
      <w:keepLines/>
      <w:spacing w:before="240"/>
      <w:contextualSpacing/>
      <w:outlineLvl w:val="3"/>
    </w:pPr>
    <w:rPr>
      <w:rFonts w:asciiTheme="majorHAnsi" w:eastAsiaTheme="majorEastAsia" w:hAnsiTheme="majorHAnsi" w:cstheme="majorBidi"/>
      <w:b/>
      <w:i/>
      <w:iCs/>
    </w:rPr>
  </w:style>
  <w:style w:type="paragraph" w:styleId="Heading5">
    <w:name w:val="heading 5"/>
    <w:basedOn w:val="Normal"/>
    <w:next w:val="Normal"/>
    <w:link w:val="Heading5Char"/>
    <w:autoRedefine/>
    <w:uiPriority w:val="9"/>
    <w:qFormat/>
    <w:rsid w:val="005138DF"/>
    <w:pPr>
      <w:keepNext/>
      <w:keepLines/>
      <w:spacing w:before="240"/>
      <w:contextualSpacing/>
      <w:outlineLvl w:val="4"/>
    </w:pPr>
    <w:rPr>
      <w:rFonts w:asciiTheme="majorHAnsi" w:eastAsiaTheme="majorEastAsia" w:hAnsiTheme="majorHAnsi" w:cstheme="majorBidi"/>
      <w:b/>
      <w:color w:val="auto"/>
      <w:sz w:val="20"/>
    </w:rPr>
  </w:style>
  <w:style w:type="paragraph" w:styleId="Heading6">
    <w:name w:val="heading 6"/>
    <w:basedOn w:val="Normal"/>
    <w:next w:val="Normal"/>
    <w:link w:val="Heading6Char"/>
    <w:autoRedefine/>
    <w:uiPriority w:val="9"/>
    <w:qFormat/>
    <w:rsid w:val="007E2BEB"/>
    <w:pPr>
      <w:keepNext/>
      <w:keepLines/>
      <w:spacing w:before="240"/>
      <w:contextualSpacing/>
      <w:outlineLvl w:val="5"/>
    </w:pPr>
    <w:rPr>
      <w:rFonts w:asciiTheme="majorHAnsi" w:eastAsiaTheme="majorEastAsia" w:hAnsiTheme="majorHAnsi" w:cstheme="majorBidi"/>
      <w:b/>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qFormat/>
    <w:rsid w:val="00496CCB"/>
    <w:pPr>
      <w:tabs>
        <w:tab w:val="right" w:pos="9184"/>
      </w:tabs>
      <w:spacing w:before="360" w:after="360"/>
    </w:pPr>
    <w:rPr>
      <w:b/>
      <w:bCs/>
      <w:sz w:val="24"/>
      <w:szCs w:val="24"/>
    </w:rPr>
  </w:style>
  <w:style w:type="character" w:customStyle="1" w:styleId="SubtitleChar">
    <w:name w:val="Subtitle Char"/>
    <w:basedOn w:val="DefaultParagraphFont"/>
    <w:link w:val="Subtitle"/>
    <w:uiPriority w:val="18"/>
    <w:rsid w:val="00496CCB"/>
    <w:rPr>
      <w:b/>
      <w:bCs/>
      <w:sz w:val="24"/>
      <w:szCs w:val="24"/>
    </w:rPr>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FC7517"/>
    <w:pPr>
      <w:tabs>
        <w:tab w:val="center" w:pos="4513"/>
        <w:tab w:val="right" w:pos="9026"/>
      </w:tabs>
      <w:spacing w:before="0" w:after="0" w:line="240" w:lineRule="auto"/>
    </w:pPr>
    <w:rPr>
      <w:sz w:val="20"/>
    </w:rPr>
  </w:style>
  <w:style w:type="character" w:customStyle="1" w:styleId="HeaderChar">
    <w:name w:val="Header Char"/>
    <w:basedOn w:val="DefaultParagraphFont"/>
    <w:link w:val="Header"/>
    <w:uiPriority w:val="99"/>
    <w:rsid w:val="00FC7517"/>
    <w:rPr>
      <w:sz w:val="20"/>
    </w:rPr>
  </w:style>
  <w:style w:type="paragraph" w:styleId="Footer">
    <w:name w:val="footer"/>
    <w:basedOn w:val="Normal"/>
    <w:link w:val="FooterChar"/>
    <w:uiPriority w:val="99"/>
    <w:unhideWhenUsed/>
    <w:rsid w:val="00E74653"/>
    <w:pPr>
      <w:tabs>
        <w:tab w:val="right" w:pos="10206"/>
      </w:tabs>
      <w:spacing w:before="0" w:after="0" w:line="240" w:lineRule="auto"/>
    </w:pPr>
    <w:rPr>
      <w:sz w:val="18"/>
    </w:rPr>
  </w:style>
  <w:style w:type="character" w:customStyle="1" w:styleId="FooterChar">
    <w:name w:val="Footer Char"/>
    <w:basedOn w:val="DefaultParagraphFont"/>
    <w:link w:val="Footer"/>
    <w:uiPriority w:val="99"/>
    <w:rsid w:val="00E74653"/>
    <w:rPr>
      <w:sz w:val="18"/>
    </w:rPr>
  </w:style>
  <w:style w:type="paragraph" w:styleId="Title">
    <w:name w:val="Title"/>
    <w:basedOn w:val="Normal"/>
    <w:link w:val="TitleChar"/>
    <w:autoRedefine/>
    <w:uiPriority w:val="17"/>
    <w:qFormat/>
    <w:rsid w:val="00235529"/>
    <w:rPr>
      <w:sz w:val="64"/>
    </w:rPr>
  </w:style>
  <w:style w:type="character" w:customStyle="1" w:styleId="TitleChar">
    <w:name w:val="Title Char"/>
    <w:basedOn w:val="DefaultParagraphFont"/>
    <w:link w:val="Title"/>
    <w:uiPriority w:val="17"/>
    <w:rsid w:val="00235529"/>
    <w:rPr>
      <w:sz w:val="64"/>
    </w:rPr>
  </w:style>
  <w:style w:type="paragraph" w:customStyle="1" w:styleId="Address">
    <w:name w:val="Address"/>
    <w:basedOn w:val="Normal"/>
    <w:semiHidden/>
    <w:rsid w:val="00191178"/>
    <w:pPr>
      <w:spacing w:before="0" w:after="0"/>
    </w:pPr>
    <w:rPr>
      <w:b/>
      <w:color w:val="421A75" w:themeColor="accent1"/>
    </w:rPr>
  </w:style>
  <w:style w:type="character" w:customStyle="1" w:styleId="Heading1Char">
    <w:name w:val="Heading 1 Char"/>
    <w:basedOn w:val="DefaultParagraphFont"/>
    <w:link w:val="Heading1"/>
    <w:uiPriority w:val="9"/>
    <w:rsid w:val="00235529"/>
    <w:rPr>
      <w:rFonts w:asciiTheme="majorHAnsi" w:hAnsiTheme="majorHAnsi"/>
      <w:b/>
      <w:sz w:val="30"/>
      <w:szCs w:val="44"/>
    </w:rPr>
  </w:style>
  <w:style w:type="character" w:customStyle="1" w:styleId="Heading2Char">
    <w:name w:val="Heading 2 Char"/>
    <w:basedOn w:val="DefaultParagraphFont"/>
    <w:link w:val="Heading2"/>
    <w:uiPriority w:val="9"/>
    <w:rsid w:val="00235529"/>
    <w:rPr>
      <w:rFonts w:asciiTheme="majorHAnsi" w:hAnsiTheme="majorHAnsi"/>
      <w:b/>
      <w:sz w:val="26"/>
      <w:szCs w:val="28"/>
    </w:rPr>
  </w:style>
  <w:style w:type="character" w:customStyle="1" w:styleId="Heading3Char">
    <w:name w:val="Heading 3 Char"/>
    <w:basedOn w:val="DefaultParagraphFont"/>
    <w:link w:val="Heading3"/>
    <w:uiPriority w:val="9"/>
    <w:rsid w:val="00235529"/>
    <w:rPr>
      <w:rFonts w:asciiTheme="majorHAnsi" w:hAnsiTheme="majorHAnsi"/>
      <w:b/>
      <w:color w:val="auto"/>
    </w:rPr>
  </w:style>
  <w:style w:type="paragraph" w:styleId="TOCHeading">
    <w:name w:val="TOC Heading"/>
    <w:basedOn w:val="Heading1"/>
    <w:next w:val="Normal"/>
    <w:uiPriority w:val="39"/>
    <w:rsid w:val="00FF52CA"/>
    <w:pPr>
      <w:spacing w:after="1080"/>
      <w:outlineLvl w:val="9"/>
    </w:pPr>
    <w:rPr>
      <w:rFonts w:eastAsiaTheme="majorEastAsia"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4D0DC8"/>
    <w:pPr>
      <w:spacing w:before="0" w:after="0" w:line="240" w:lineRule="auto"/>
    </w:pPr>
    <w:rPr>
      <w:sz w:val="14"/>
    </w:rPr>
  </w:style>
  <w:style w:type="character" w:customStyle="1" w:styleId="FootnoteTextChar">
    <w:name w:val="Footnote Text Char"/>
    <w:basedOn w:val="DefaultParagraphFont"/>
    <w:link w:val="FootnoteText"/>
    <w:uiPriority w:val="99"/>
    <w:rsid w:val="004D0DC8"/>
    <w:rPr>
      <w:sz w:val="14"/>
    </w:rPr>
  </w:style>
  <w:style w:type="character" w:styleId="Hyperlink">
    <w:name w:val="Hyperlink"/>
    <w:basedOn w:val="DefaultParagraphFont"/>
    <w:uiPriority w:val="99"/>
    <w:unhideWhenUsed/>
    <w:qFormat/>
    <w:rsid w:val="00F54926"/>
    <w:rPr>
      <w:b w:val="0"/>
      <w:color w:val="282EA0"/>
      <w:u w:val="single"/>
    </w:rPr>
  </w:style>
  <w:style w:type="paragraph" w:styleId="ListBullet">
    <w:name w:val="List Bullet"/>
    <w:basedOn w:val="Normal"/>
    <w:uiPriority w:val="2"/>
    <w:qFormat/>
    <w:rsid w:val="00F71556"/>
    <w:pPr>
      <w:numPr>
        <w:numId w:val="2"/>
      </w:numPr>
    </w:pPr>
    <w:rPr>
      <w:rFonts w:eastAsia="Times New Roman"/>
      <w:lang w:eastAsia="en-AU"/>
    </w:rPr>
  </w:style>
  <w:style w:type="paragraph" w:styleId="ListNumber">
    <w:name w:val="List Number"/>
    <w:basedOn w:val="Normal"/>
    <w:uiPriority w:val="2"/>
    <w:qFormat/>
    <w:rsid w:val="00F71556"/>
    <w:pPr>
      <w:numPr>
        <w:numId w:val="4"/>
      </w:numPr>
    </w:pPr>
    <w:rPr>
      <w:rFonts w:eastAsia="Times New Roman"/>
      <w:lang w:eastAsia="en-AU"/>
    </w:rPr>
  </w:style>
  <w:style w:type="table" w:customStyle="1" w:styleId="SQHTable">
    <w:name w:val="SQH Table"/>
    <w:basedOn w:val="TableNormal"/>
    <w:uiPriority w:val="99"/>
    <w:rsid w:val="009D13BE"/>
    <w:pPr>
      <w:spacing w:line="240" w:lineRule="auto"/>
    </w:pPr>
    <w:rPr>
      <w:sz w:val="20"/>
    </w:rPr>
    <w:tblPr>
      <w:tblStyleRowBandSize w:val="1"/>
      <w:tblBorders>
        <w:top w:val="single" w:sz="4" w:space="0" w:color="F0E8FE" w:themeColor="background2"/>
        <w:bottom w:val="single" w:sz="4" w:space="0" w:color="F0E8FE" w:themeColor="background2"/>
        <w:insideH w:val="single" w:sz="4" w:space="0" w:color="F0E8FE" w:themeColor="background2"/>
      </w:tblBorders>
    </w:tblPr>
    <w:tblStylePr w:type="firstRow">
      <w:rPr>
        <w:b/>
        <w:color w:val="FFFFFF" w:themeColor="background1"/>
        <w:sz w:val="20"/>
      </w:rPr>
      <w:tblPr/>
      <w:tcPr>
        <w:tcBorders>
          <w:top w:val="nil"/>
          <w:left w:val="nil"/>
          <w:bottom w:val="nil"/>
          <w:right w:val="nil"/>
          <w:insideH w:val="nil"/>
          <w:insideV w:val="nil"/>
          <w:tl2br w:val="nil"/>
          <w:tr2bl w:val="nil"/>
        </w:tcBorders>
        <w:shd w:val="clear" w:color="auto" w:fill="421A75" w:themeFill="accent1"/>
      </w:tcPr>
    </w:tblStylePr>
    <w:tblStylePr w:type="band2Horz">
      <w:tblPr/>
      <w:tcPr>
        <w:shd w:val="clear" w:color="auto" w:fill="F0E8FE" w:themeFill="background2"/>
      </w:tcPr>
    </w:tblStylePr>
  </w:style>
  <w:style w:type="paragraph" w:styleId="TOC1">
    <w:name w:val="toc 1"/>
    <w:basedOn w:val="Normal"/>
    <w:next w:val="Normal"/>
    <w:autoRedefine/>
    <w:uiPriority w:val="39"/>
    <w:rsid w:val="008C3C5D"/>
    <w:pPr>
      <w:tabs>
        <w:tab w:val="right" w:pos="9174"/>
      </w:tabs>
      <w:spacing w:before="360" w:line="240" w:lineRule="auto"/>
    </w:pPr>
    <w:rPr>
      <w:b/>
    </w:rPr>
  </w:style>
  <w:style w:type="table" w:styleId="LightShading-Accent1">
    <w:name w:val="Light Shading Accent 1"/>
    <w:basedOn w:val="TableNormal"/>
    <w:uiPriority w:val="60"/>
    <w:rsid w:val="00056BC0"/>
    <w:rPr>
      <w:color w:val="311357" w:themeColor="accent1" w:themeShade="BF"/>
    </w:rPr>
    <w:tblPr>
      <w:tblStyleRowBandSize w:val="1"/>
      <w:tblStyleColBandSize w:val="1"/>
      <w:tblBorders>
        <w:top w:val="single" w:sz="8" w:space="0" w:color="421A75" w:themeColor="accent1"/>
        <w:bottom w:val="single" w:sz="8" w:space="0" w:color="421A75" w:themeColor="accent1"/>
      </w:tblBorders>
    </w:tblPr>
    <w:tblStylePr w:type="firstRow">
      <w:pPr>
        <w:spacing w:before="0" w:after="0" w:line="240" w:lineRule="auto"/>
      </w:pPr>
      <w:rPr>
        <w:b/>
        <w:bCs/>
      </w:rPr>
      <w:tblPr/>
      <w:tcPr>
        <w:tcBorders>
          <w:top w:val="single" w:sz="8" w:space="0" w:color="421A75" w:themeColor="accent1"/>
          <w:left w:val="nil"/>
          <w:bottom w:val="single" w:sz="8" w:space="0" w:color="421A75" w:themeColor="accent1"/>
          <w:right w:val="nil"/>
          <w:insideH w:val="nil"/>
          <w:insideV w:val="nil"/>
        </w:tcBorders>
      </w:tcPr>
    </w:tblStylePr>
    <w:tblStylePr w:type="lastRow">
      <w:pPr>
        <w:spacing w:before="0" w:after="0" w:line="240" w:lineRule="auto"/>
      </w:pPr>
      <w:rPr>
        <w:b/>
        <w:bCs/>
      </w:rPr>
      <w:tblPr/>
      <w:tcPr>
        <w:tcBorders>
          <w:top w:val="single" w:sz="8" w:space="0" w:color="421A75" w:themeColor="accent1"/>
          <w:left w:val="nil"/>
          <w:bottom w:val="single" w:sz="8" w:space="0" w:color="421A7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B4EE" w:themeFill="accent1" w:themeFillTint="3F"/>
      </w:tcPr>
    </w:tblStylePr>
    <w:tblStylePr w:type="band1Horz">
      <w:tblPr/>
      <w:tcPr>
        <w:tcBorders>
          <w:left w:val="nil"/>
          <w:right w:val="nil"/>
          <w:insideH w:val="nil"/>
          <w:insideV w:val="nil"/>
        </w:tcBorders>
        <w:shd w:val="clear" w:color="auto" w:fill="CDB4EE"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1A7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21A75" w:themeFill="accent1"/>
      </w:tcPr>
    </w:tblStylePr>
    <w:tblStylePr w:type="lastCol">
      <w:rPr>
        <w:b/>
        <w:bCs/>
        <w:color w:val="FFFFFF" w:themeColor="background1"/>
      </w:rPr>
      <w:tblPr/>
      <w:tcPr>
        <w:tcBorders>
          <w:left w:val="nil"/>
          <w:right w:val="nil"/>
          <w:insideH w:val="nil"/>
          <w:insideV w:val="nil"/>
        </w:tcBorders>
        <w:shd w:val="clear" w:color="auto" w:fill="421A7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8C3C5D"/>
    <w:pPr>
      <w:pBdr>
        <w:bottom w:val="single" w:sz="4" w:space="4" w:color="D3BBFD" w:themeColor="text2"/>
        <w:between w:val="single" w:sz="4" w:space="4" w:color="D3BBFD" w:themeColor="text2"/>
      </w:pBdr>
      <w:tabs>
        <w:tab w:val="right" w:pos="9174"/>
      </w:tabs>
      <w:spacing w:before="0" w:after="0" w:line="240" w:lineRule="auto"/>
    </w:pPr>
    <w:rPr>
      <w:noProof/>
    </w:rPr>
  </w:style>
  <w:style w:type="paragraph" w:styleId="ListBullet2">
    <w:name w:val="List Bullet 2"/>
    <w:basedOn w:val="Normal"/>
    <w:uiPriority w:val="2"/>
    <w:semiHidden/>
    <w:qFormat/>
    <w:rsid w:val="00F71556"/>
    <w:pPr>
      <w:numPr>
        <w:ilvl w:val="1"/>
        <w:numId w:val="2"/>
      </w:numPr>
    </w:pPr>
    <w:rPr>
      <w:rFonts w:eastAsia="Times New Roman"/>
      <w:lang w:eastAsia="en-AU"/>
    </w:rPr>
  </w:style>
  <w:style w:type="character" w:customStyle="1" w:styleId="Heading4Char">
    <w:name w:val="Heading 4 Char"/>
    <w:basedOn w:val="DefaultParagraphFont"/>
    <w:link w:val="Heading4"/>
    <w:uiPriority w:val="9"/>
    <w:rsid w:val="00235529"/>
    <w:rPr>
      <w:rFonts w:asciiTheme="majorHAnsi" w:eastAsiaTheme="majorEastAsia" w:hAnsiTheme="majorHAnsi" w:cstheme="majorBidi"/>
      <w:b/>
      <w:i/>
      <w:iCs/>
    </w:rPr>
  </w:style>
  <w:style w:type="paragraph" w:styleId="ListBullet3">
    <w:name w:val="List Bullet 3"/>
    <w:basedOn w:val="Normal"/>
    <w:uiPriority w:val="2"/>
    <w:semiHidden/>
    <w:rsid w:val="00F71556"/>
    <w:pPr>
      <w:numPr>
        <w:ilvl w:val="2"/>
        <w:numId w:val="2"/>
      </w:numPr>
    </w:pPr>
    <w:rPr>
      <w:rFonts w:eastAsia="Times New Roman"/>
      <w:lang w:eastAsia="en-AU"/>
    </w:rPr>
  </w:style>
  <w:style w:type="paragraph" w:styleId="ListBullet4">
    <w:name w:val="List Bullet 4"/>
    <w:basedOn w:val="Normal"/>
    <w:uiPriority w:val="2"/>
    <w:semiHidden/>
    <w:rsid w:val="00F71556"/>
    <w:pPr>
      <w:numPr>
        <w:ilvl w:val="3"/>
        <w:numId w:val="2"/>
      </w:numPr>
      <w:tabs>
        <w:tab w:val="num" w:pos="360"/>
      </w:tabs>
      <w:ind w:left="0" w:firstLine="0"/>
    </w:pPr>
    <w:rPr>
      <w:rFonts w:eastAsia="Times New Roman"/>
      <w:lang w:eastAsia="en-AU"/>
    </w:rPr>
  </w:style>
  <w:style w:type="paragraph" w:styleId="ListBullet5">
    <w:name w:val="List Bullet 5"/>
    <w:basedOn w:val="Normal"/>
    <w:uiPriority w:val="2"/>
    <w:semiHidden/>
    <w:rsid w:val="00F71556"/>
    <w:pPr>
      <w:numPr>
        <w:ilvl w:val="4"/>
        <w:numId w:val="2"/>
      </w:numPr>
      <w:tabs>
        <w:tab w:val="num" w:pos="360"/>
      </w:tabs>
      <w:ind w:left="0" w:firstLine="0"/>
    </w:pPr>
    <w:rPr>
      <w:rFonts w:eastAsia="Times New Roman"/>
      <w:lang w:eastAsia="en-AU"/>
    </w:rPr>
  </w:style>
  <w:style w:type="paragraph" w:styleId="ListNumber2">
    <w:name w:val="List Number 2"/>
    <w:basedOn w:val="Normal"/>
    <w:uiPriority w:val="2"/>
    <w:semiHidden/>
    <w:rsid w:val="00F71556"/>
    <w:pPr>
      <w:numPr>
        <w:ilvl w:val="1"/>
        <w:numId w:val="4"/>
      </w:numPr>
    </w:pPr>
    <w:rPr>
      <w:rFonts w:eastAsia="Times New Roman"/>
      <w:lang w:eastAsia="en-AU"/>
    </w:rPr>
  </w:style>
  <w:style w:type="paragraph" w:styleId="ListNumber3">
    <w:name w:val="List Number 3"/>
    <w:basedOn w:val="Normal"/>
    <w:uiPriority w:val="2"/>
    <w:semiHidden/>
    <w:rsid w:val="00F71556"/>
    <w:pPr>
      <w:numPr>
        <w:ilvl w:val="2"/>
        <w:numId w:val="4"/>
      </w:numPr>
    </w:pPr>
    <w:rPr>
      <w:rFonts w:eastAsia="Times New Roman"/>
      <w:lang w:eastAsia="en-AU"/>
    </w:rPr>
  </w:style>
  <w:style w:type="paragraph" w:styleId="ListNumber4">
    <w:name w:val="List Number 4"/>
    <w:basedOn w:val="Normal"/>
    <w:uiPriority w:val="2"/>
    <w:semiHidden/>
    <w:rsid w:val="00F71556"/>
    <w:pPr>
      <w:numPr>
        <w:ilvl w:val="3"/>
        <w:numId w:val="4"/>
      </w:numPr>
    </w:pPr>
    <w:rPr>
      <w:rFonts w:eastAsia="Times New Roman"/>
      <w:lang w:eastAsia="en-AU"/>
    </w:rPr>
  </w:style>
  <w:style w:type="paragraph" w:styleId="ListNumber5">
    <w:name w:val="List Number 5"/>
    <w:basedOn w:val="Normal"/>
    <w:uiPriority w:val="2"/>
    <w:semiHidden/>
    <w:rsid w:val="00F71556"/>
    <w:pPr>
      <w:numPr>
        <w:ilvl w:val="4"/>
        <w:numId w:val="4"/>
      </w:numPr>
    </w:pPr>
    <w:rPr>
      <w:rFonts w:eastAsia="Times New Roman"/>
      <w:lang w:eastAsia="en-AU"/>
    </w:rPr>
  </w:style>
  <w:style w:type="paragraph" w:styleId="List">
    <w:name w:val="List"/>
    <w:aliases w:val="Letter"/>
    <w:basedOn w:val="Normal"/>
    <w:uiPriority w:val="2"/>
    <w:rsid w:val="00F71556"/>
    <w:pPr>
      <w:numPr>
        <w:numId w:val="1"/>
      </w:numPr>
    </w:pPr>
    <w:rPr>
      <w:rFonts w:eastAsia="Times New Roman"/>
      <w:lang w:eastAsia="en-AU"/>
    </w:rPr>
  </w:style>
  <w:style w:type="paragraph" w:customStyle="1" w:styleId="SectionHeading">
    <w:name w:val="Section Heading"/>
    <w:basedOn w:val="Normal"/>
    <w:uiPriority w:val="8"/>
    <w:rsid w:val="00907414"/>
    <w:pPr>
      <w:spacing w:before="0" w:after="0" w:line="240" w:lineRule="auto"/>
      <w:ind w:right="450"/>
    </w:pPr>
    <w:rPr>
      <w:rFonts w:asciiTheme="majorHAnsi" w:hAnsiTheme="majorHAnsi"/>
      <w:color w:val="auto"/>
      <w:sz w:val="64"/>
      <w:szCs w:val="60"/>
    </w:rPr>
  </w:style>
  <w:style w:type="paragraph" w:styleId="Caption">
    <w:name w:val="caption"/>
    <w:basedOn w:val="Normal"/>
    <w:next w:val="Normal"/>
    <w:link w:val="CaptionChar"/>
    <w:autoRedefine/>
    <w:uiPriority w:val="12"/>
    <w:qFormat/>
    <w:rsid w:val="00DC33B0"/>
    <w:pPr>
      <w:keepNext/>
      <w:keepLines/>
      <w:numPr>
        <w:numId w:val="3"/>
      </w:numPr>
      <w:spacing w:before="360" w:line="240" w:lineRule="auto"/>
      <w:contextualSpacing/>
    </w:pPr>
    <w:rPr>
      <w:iCs/>
      <w:sz w:val="20"/>
    </w:rPr>
  </w:style>
  <w:style w:type="character" w:styleId="PlaceholderText">
    <w:name w:val="Placeholder Text"/>
    <w:basedOn w:val="DefaultParagraphFont"/>
    <w:uiPriority w:val="99"/>
    <w:semiHidden/>
    <w:rsid w:val="00D02F69"/>
    <w:rPr>
      <w:color w:val="666666"/>
    </w:rPr>
  </w:style>
  <w:style w:type="paragraph" w:styleId="TOC3">
    <w:name w:val="toc 3"/>
    <w:basedOn w:val="Normal"/>
    <w:next w:val="Normal"/>
    <w:autoRedefine/>
    <w:uiPriority w:val="39"/>
    <w:unhideWhenUsed/>
    <w:rsid w:val="005F36C3"/>
    <w:pPr>
      <w:spacing w:line="240" w:lineRule="auto"/>
      <w:ind w:left="357"/>
      <w:contextualSpacing/>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D2BBFC" w:themeColor="accent4" w:themeTint="99"/>
        <w:bottom w:val="single" w:sz="4" w:space="0" w:color="D2BBFC" w:themeColor="accent4" w:themeTint="99"/>
        <w:insideH w:val="single" w:sz="4" w:space="0" w:color="D2BBF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8FE" w:themeFill="accent4" w:themeFillTint="33"/>
      </w:tcPr>
    </w:tblStylePr>
    <w:tblStylePr w:type="band1Horz">
      <w:tblPr/>
      <w:tcPr>
        <w:shd w:val="clear" w:color="auto" w:fill="EFE8FE" w:themeFill="accent4" w:themeFillTint="33"/>
      </w:tcPr>
    </w:tblStylePr>
  </w:style>
  <w:style w:type="paragraph" w:styleId="Date">
    <w:name w:val="Date"/>
    <w:basedOn w:val="Normal"/>
    <w:next w:val="Normal"/>
    <w:link w:val="DateChar"/>
    <w:uiPriority w:val="99"/>
    <w:rsid w:val="00907D31"/>
    <w:pPr>
      <w:spacing w:before="0" w:after="0" w:line="320" w:lineRule="atLeast"/>
    </w:pPr>
    <w:rPr>
      <w:b/>
      <w:color w:val="FFFFFF" w:themeColor="background1"/>
      <w:sz w:val="24"/>
    </w:rPr>
  </w:style>
  <w:style w:type="character" w:customStyle="1" w:styleId="DateChar">
    <w:name w:val="Date Char"/>
    <w:basedOn w:val="DefaultParagraphFont"/>
    <w:link w:val="Date"/>
    <w:uiPriority w:val="99"/>
    <w:rsid w:val="00907D31"/>
    <w:rPr>
      <w:b/>
      <w:color w:val="FFFFFF" w:themeColor="background1"/>
      <w:sz w:val="24"/>
    </w:rPr>
  </w:style>
  <w:style w:type="character" w:customStyle="1" w:styleId="Heading5Char">
    <w:name w:val="Heading 5 Char"/>
    <w:basedOn w:val="DefaultParagraphFont"/>
    <w:link w:val="Heading5"/>
    <w:uiPriority w:val="9"/>
    <w:rsid w:val="005138DF"/>
    <w:rPr>
      <w:rFonts w:asciiTheme="majorHAnsi" w:eastAsiaTheme="majorEastAsia" w:hAnsiTheme="majorHAnsi" w:cstheme="majorBidi"/>
      <w:b/>
      <w:color w:val="auto"/>
      <w:sz w:val="20"/>
    </w:rPr>
  </w:style>
  <w:style w:type="character" w:customStyle="1" w:styleId="Heading6Char">
    <w:name w:val="Heading 6 Char"/>
    <w:basedOn w:val="DefaultParagraphFont"/>
    <w:link w:val="Heading6"/>
    <w:uiPriority w:val="9"/>
    <w:rsid w:val="007E2BEB"/>
    <w:rPr>
      <w:rFonts w:asciiTheme="majorHAnsi" w:eastAsiaTheme="majorEastAsia" w:hAnsiTheme="majorHAnsi" w:cstheme="majorBidi"/>
      <w:b/>
      <w:color w:val="auto"/>
      <w:sz w:val="20"/>
    </w:rPr>
  </w:style>
  <w:style w:type="paragraph" w:styleId="NoSpacing">
    <w:name w:val="No Spacing"/>
    <w:uiPriority w:val="1"/>
    <w:rsid w:val="003A5810"/>
    <w:pPr>
      <w:spacing w:before="0" w:after="0"/>
    </w:pPr>
  </w:style>
  <w:style w:type="character" w:styleId="UnresolvedMention">
    <w:name w:val="Unresolved Mention"/>
    <w:basedOn w:val="DefaultParagraphFont"/>
    <w:uiPriority w:val="99"/>
    <w:semiHidden/>
    <w:unhideWhenUsed/>
    <w:rsid w:val="00AC4B47"/>
    <w:rPr>
      <w:color w:val="605E5C"/>
      <w:shd w:val="clear" w:color="auto" w:fill="E1DFDD"/>
    </w:rPr>
  </w:style>
  <w:style w:type="table" w:styleId="GridTable4-Accent4">
    <w:name w:val="Grid Table 4 Accent 4"/>
    <w:basedOn w:val="TableNormal"/>
    <w:uiPriority w:val="49"/>
    <w:rsid w:val="00F400EF"/>
    <w:pPr>
      <w:spacing w:after="0" w:line="240" w:lineRule="auto"/>
    </w:pPr>
    <w:tblPr>
      <w:tblStyleRowBandSize w:val="1"/>
      <w:tblStyleColBandSize w:val="1"/>
      <w:tblBorders>
        <w:top w:val="single" w:sz="4" w:space="0" w:color="D2BBFC" w:themeColor="accent4" w:themeTint="99"/>
        <w:left w:val="single" w:sz="4" w:space="0" w:color="D2BBFC" w:themeColor="accent4" w:themeTint="99"/>
        <w:bottom w:val="single" w:sz="4" w:space="0" w:color="D2BBFC" w:themeColor="accent4" w:themeTint="99"/>
        <w:right w:val="single" w:sz="4" w:space="0" w:color="D2BBFC" w:themeColor="accent4" w:themeTint="99"/>
        <w:insideH w:val="single" w:sz="4" w:space="0" w:color="D2BBFC" w:themeColor="accent4" w:themeTint="99"/>
        <w:insideV w:val="single" w:sz="4" w:space="0" w:color="D2BBFC" w:themeColor="accent4" w:themeTint="99"/>
      </w:tblBorders>
    </w:tblPr>
    <w:tblStylePr w:type="firstRow">
      <w:rPr>
        <w:b/>
        <w:bCs/>
        <w:color w:val="FFFFFF" w:themeColor="background1"/>
      </w:rPr>
      <w:tblPr/>
      <w:tcPr>
        <w:tcBorders>
          <w:top w:val="single" w:sz="4" w:space="0" w:color="B58EFB" w:themeColor="accent4"/>
          <w:left w:val="single" w:sz="4" w:space="0" w:color="B58EFB" w:themeColor="accent4"/>
          <w:bottom w:val="single" w:sz="4" w:space="0" w:color="B58EFB" w:themeColor="accent4"/>
          <w:right w:val="single" w:sz="4" w:space="0" w:color="B58EFB" w:themeColor="accent4"/>
          <w:insideH w:val="nil"/>
          <w:insideV w:val="nil"/>
        </w:tcBorders>
        <w:shd w:val="clear" w:color="auto" w:fill="B58EFB" w:themeFill="accent4"/>
      </w:tcPr>
    </w:tblStylePr>
    <w:tblStylePr w:type="lastRow">
      <w:rPr>
        <w:b/>
        <w:bCs/>
      </w:rPr>
      <w:tblPr/>
      <w:tcPr>
        <w:tcBorders>
          <w:top w:val="double" w:sz="4" w:space="0" w:color="B58EFB" w:themeColor="accent4"/>
        </w:tcBorders>
      </w:tcPr>
    </w:tblStylePr>
    <w:tblStylePr w:type="firstCol">
      <w:rPr>
        <w:b/>
        <w:bCs/>
      </w:rPr>
    </w:tblStylePr>
    <w:tblStylePr w:type="lastCol">
      <w:rPr>
        <w:b/>
        <w:bCs/>
      </w:rPr>
    </w:tblStylePr>
    <w:tblStylePr w:type="band1Vert">
      <w:tblPr/>
      <w:tcPr>
        <w:shd w:val="clear" w:color="auto" w:fill="EFE8FE" w:themeFill="accent4" w:themeFillTint="33"/>
      </w:tcPr>
    </w:tblStylePr>
    <w:tblStylePr w:type="band1Horz">
      <w:tblPr/>
      <w:tcPr>
        <w:shd w:val="clear" w:color="auto" w:fill="EFE8FE" w:themeFill="accent4" w:themeFillTint="33"/>
      </w:tcPr>
    </w:tblStylePr>
  </w:style>
  <w:style w:type="paragraph" w:customStyle="1" w:styleId="BoxHeading">
    <w:name w:val="Box Heading"/>
    <w:basedOn w:val="Normal"/>
    <w:next w:val="Normal"/>
    <w:uiPriority w:val="10"/>
    <w:qFormat/>
    <w:rsid w:val="002B3C79"/>
    <w:rPr>
      <w:b/>
      <w:bCs/>
      <w:sz w:val="24"/>
      <w:szCs w:val="24"/>
    </w:rPr>
  </w:style>
  <w:style w:type="paragraph" w:customStyle="1" w:styleId="IntroPara">
    <w:name w:val="Intro Para"/>
    <w:basedOn w:val="Normal"/>
    <w:next w:val="Normal"/>
    <w:autoRedefine/>
    <w:uiPriority w:val="11"/>
    <w:qFormat/>
    <w:rsid w:val="008720F3"/>
    <w:pPr>
      <w:spacing w:before="1920" w:after="360"/>
      <w:contextualSpacing/>
    </w:pPr>
    <w:rPr>
      <w:sz w:val="26"/>
      <w:szCs w:val="26"/>
    </w:rPr>
  </w:style>
  <w:style w:type="character" w:styleId="FollowedHyperlink">
    <w:name w:val="FollowedHyperlink"/>
    <w:basedOn w:val="DefaultParagraphFont"/>
    <w:uiPriority w:val="99"/>
    <w:semiHidden/>
    <w:unhideWhenUsed/>
    <w:rsid w:val="00C15873"/>
    <w:rPr>
      <w:color w:val="000000" w:themeColor="followedHyperlink"/>
      <w:u w:val="single"/>
    </w:rPr>
  </w:style>
  <w:style w:type="paragraph" w:styleId="NormalWeb">
    <w:name w:val="Normal (Web)"/>
    <w:basedOn w:val="Normal"/>
    <w:uiPriority w:val="99"/>
    <w:semiHidden/>
    <w:unhideWhenUsed/>
    <w:rsid w:val="00B967A4"/>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TableCaption">
    <w:name w:val="Table Caption"/>
    <w:basedOn w:val="Caption"/>
    <w:link w:val="TableCaptionChar"/>
    <w:autoRedefine/>
    <w:qFormat/>
    <w:rsid w:val="00DC33B0"/>
    <w:pPr>
      <w:numPr>
        <w:numId w:val="6"/>
      </w:numPr>
      <w:ind w:left="0" w:firstLine="0"/>
    </w:pPr>
  </w:style>
  <w:style w:type="character" w:customStyle="1" w:styleId="CaptionChar">
    <w:name w:val="Caption Char"/>
    <w:basedOn w:val="DefaultParagraphFont"/>
    <w:link w:val="Caption"/>
    <w:uiPriority w:val="12"/>
    <w:rsid w:val="00DC33B0"/>
    <w:rPr>
      <w:iCs/>
      <w:sz w:val="20"/>
    </w:rPr>
  </w:style>
  <w:style w:type="character" w:customStyle="1" w:styleId="TableCaptionChar">
    <w:name w:val="Table Caption Char"/>
    <w:basedOn w:val="CaptionChar"/>
    <w:link w:val="TableCaption"/>
    <w:rsid w:val="00DC33B0"/>
    <w:rPr>
      <w:iCs/>
      <w:sz w:val="20"/>
    </w:rPr>
  </w:style>
  <w:style w:type="paragraph" w:styleId="ListParagraph">
    <w:name w:val="List Paragraph"/>
    <w:basedOn w:val="Normal"/>
    <w:uiPriority w:val="34"/>
    <w:rsid w:val="00210F42"/>
    <w:pPr>
      <w:ind w:left="720"/>
      <w:contextualSpacing/>
    </w:pPr>
  </w:style>
  <w:style w:type="paragraph" w:styleId="Revision">
    <w:name w:val="Revision"/>
    <w:hidden/>
    <w:uiPriority w:val="99"/>
    <w:semiHidden/>
    <w:rsid w:val="00AB208B"/>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798086">
      <w:bodyDiv w:val="1"/>
      <w:marLeft w:val="0"/>
      <w:marRight w:val="0"/>
      <w:marTop w:val="0"/>
      <w:marBottom w:val="0"/>
      <w:divBdr>
        <w:top w:val="none" w:sz="0" w:space="0" w:color="auto"/>
        <w:left w:val="none" w:sz="0" w:space="0" w:color="auto"/>
        <w:bottom w:val="none" w:sz="0" w:space="0" w:color="auto"/>
        <w:right w:val="none" w:sz="0" w:space="0" w:color="auto"/>
      </w:divBdr>
    </w:div>
    <w:div w:id="1424691769">
      <w:bodyDiv w:val="1"/>
      <w:marLeft w:val="0"/>
      <w:marRight w:val="0"/>
      <w:marTop w:val="0"/>
      <w:marBottom w:val="0"/>
      <w:divBdr>
        <w:top w:val="none" w:sz="0" w:space="0" w:color="auto"/>
        <w:left w:val="none" w:sz="0" w:space="0" w:color="auto"/>
        <w:bottom w:val="none" w:sz="0" w:space="0" w:color="auto"/>
        <w:right w:val="none" w:sz="0" w:space="0" w:color="auto"/>
      </w:divBdr>
    </w:div>
    <w:div w:id="152882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teor.aihw.gov.au/content/604103" TargetMode="External"/><Relationship Id="rId18" Type="http://schemas.openxmlformats.org/officeDocument/2006/relationships/hyperlink" Target="https://www.safetyandquality.gov.au/our-work/healthcare-variation/atlas-focus-report-chronic-obstructive-pulmonary-disea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meteor.aihw.gov.au/content/601800" TargetMode="External"/><Relationship Id="rId17" Type="http://schemas.openxmlformats.org/officeDocument/2006/relationships/hyperlink" Target="https://www.abs.gov.au/statistics/people/people-and-communities/socio-economic-indexes-areas-seifa-australia/latest-releas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meteor.aihw.gov.au/content/76208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teor.aihw.gov.au/content/805346"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meteor.aihw.gov.au/content/747163" TargetMode="External"/><Relationship Id="rId23" Type="http://schemas.openxmlformats.org/officeDocument/2006/relationships/footer" Target="footer2.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teor.aihw.gov.au/content/747315"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WELE\AppData\Roaming\Micro%20Focus\Content%20Manager\TRIM\TEMP\HPTRIM.9800\D25-28527%20%20Template%20-%20ACSQHC%20-%20Short%20form%20document%20-%20Corporate%20-%2015%20page%20max%20-%20July%202025(2).DOTX" TargetMode="External"/></Relationships>
</file>

<file path=word/theme/theme1.xml><?xml version="1.0" encoding="utf-8"?>
<a:theme xmlns:a="http://schemas.openxmlformats.org/drawingml/2006/main" name="Office Theme">
  <a:themeElements>
    <a:clrScheme name="SQH">
      <a:dk1>
        <a:srgbClr val="000000"/>
      </a:dk1>
      <a:lt1>
        <a:srgbClr val="FFFFFF"/>
      </a:lt1>
      <a:dk2>
        <a:srgbClr val="D3BBFD"/>
      </a:dk2>
      <a:lt2>
        <a:srgbClr val="F0E8FE"/>
      </a:lt2>
      <a:accent1>
        <a:srgbClr val="421A75"/>
      </a:accent1>
      <a:accent2>
        <a:srgbClr val="890014"/>
      </a:accent2>
      <a:accent3>
        <a:srgbClr val="004C6E"/>
      </a:accent3>
      <a:accent4>
        <a:srgbClr val="B58EFB"/>
      </a:accent4>
      <a:accent5>
        <a:srgbClr val="FF959A"/>
      </a:accent5>
      <a:accent6>
        <a:srgbClr val="6ECCD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7fb4f1-39b0-4ef9-ad52-929d325d2c9d" xsi:nil="true"/>
    <lcf76f155ced4ddcb4097134ff3c332f xmlns="b33a22f0-1548-4bd4-90ad-f69b2bdef635">
      <Terms xmlns="http://schemas.microsoft.com/office/infopath/2007/PartnerControls"/>
    </lcf76f155ced4ddcb4097134ff3c332f>
    <MovedtoTRIM xmlns="b33a22f0-1548-4bd4-90ad-f69b2bdef63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F8F12C133ADE49867CD979358DDE52" ma:contentTypeVersion="13" ma:contentTypeDescription="Create a new document." ma:contentTypeScope="" ma:versionID="f1689ac2044ad18af13e4fa8d0e068da">
  <xsd:schema xmlns:xsd="http://www.w3.org/2001/XMLSchema" xmlns:xs="http://www.w3.org/2001/XMLSchema" xmlns:p="http://schemas.microsoft.com/office/2006/metadata/properties" xmlns:ns2="b33a22f0-1548-4bd4-90ad-f69b2bdef635" xmlns:ns3="117fb4f1-39b0-4ef9-ad52-929d325d2c9d" targetNamespace="http://schemas.microsoft.com/office/2006/metadata/properties" ma:root="true" ma:fieldsID="d6f29033ea98591f5bfcda477c7e0f78" ns2:_="" ns3:_="">
    <xsd:import namespace="b33a22f0-1548-4bd4-90ad-f69b2bdef635"/>
    <xsd:import namespace="117fb4f1-39b0-4ef9-ad52-929d325d2c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ovedtoTRIM"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a22f0-1548-4bd4-90ad-f69b2bdef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ovedtoTRIM" ma:index="19" nillable="true" ma:displayName="Moved to TRIM" ma:format="Dropdown" ma:internalName="MovedtoTRIM">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7fb4f1-39b0-4ef9-ad52-929d325d2c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c9745e-faae-4e2a-ab50-58658ab09d0a}" ma:internalName="TaxCatchAll" ma:showField="CatchAllData" ma:web="117fb4f1-39b0-4ef9-ad52-929d325d2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C21501-E60D-4FBE-B51F-1CE19C62A8C7}">
  <ds:schemaRefs>
    <ds:schemaRef ds:uri="http://schemas.microsoft.com/office/2006/metadata/properties"/>
    <ds:schemaRef ds:uri="http://schemas.microsoft.com/office/infopath/2007/PartnerControls"/>
    <ds:schemaRef ds:uri="117fb4f1-39b0-4ef9-ad52-929d325d2c9d"/>
    <ds:schemaRef ds:uri="b33a22f0-1548-4bd4-90ad-f69b2bdef635"/>
  </ds:schemaRefs>
</ds:datastoreItem>
</file>

<file path=customXml/itemProps2.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customXml/itemProps3.xml><?xml version="1.0" encoding="utf-8"?>
<ds:datastoreItem xmlns:ds="http://schemas.openxmlformats.org/officeDocument/2006/customXml" ds:itemID="{3E50E0C8-41CD-4EE5-A0BA-D9EA4C987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a22f0-1548-4bd4-90ad-f69b2bdef635"/>
    <ds:schemaRef ds:uri="117fb4f1-39b0-4ef9-ad52-929d325d2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50A5B0-6B8D-4F63-8392-FDD493C5F8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D25-28527  Template - ACSQHC - Short form document - Corporate - 15 page max - July 2025(2).DOTX</Template>
  <TotalTime>1</TotalTime>
  <Pages>9</Pages>
  <Words>3152</Words>
  <Characters>17542</Characters>
  <Application>Microsoft Office Word</Application>
  <DocSecurity>0</DocSecurity>
  <Lines>358</Lines>
  <Paragraphs>162</Paragraphs>
  <ScaleCrop>false</ScaleCrop>
  <Company/>
  <LinksUpToDate>false</LinksUpToDate>
  <CharactersWithSpaces>20611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POWELL, Elyse</dc:creator>
  <cp:keywords/>
  <dc:description/>
  <cp:lastModifiedBy>JESSOP, Tommy</cp:lastModifiedBy>
  <cp:revision>2</cp:revision>
  <cp:lastPrinted>2025-06-04T00:50:00Z</cp:lastPrinted>
  <dcterms:created xsi:type="dcterms:W3CDTF">2026-05-11T01:51:00Z</dcterms:created>
  <dcterms:modified xsi:type="dcterms:W3CDTF">2026-05-11T01:51:00Z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3190500</vt:r8>
  </property>
  <property fmtid="{D5CDD505-2E9C-101B-9397-08002B2CF9AE}" pid="3" name="ContentTypeId">
    <vt:lpwstr>0x01010019F8F12C133ADE49867CD979358DDE52</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ClassificationContentMarkingHeaderShapeIds">
    <vt:lpwstr>5ed6e208,ed8fbce,19a7f559</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ClassificationContentMarkingFooterShapeIds">
    <vt:lpwstr>434ffc0e,105c80d4,32bcc9ea</vt:lpwstr>
  </property>
  <property fmtid="{D5CDD505-2E9C-101B-9397-08002B2CF9AE}" pid="12" name="ClassificationContentMarkingFooterFontProps">
    <vt:lpwstr>#ff0000,12,Calibri</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2025-11-06T04:36:03Z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d1e7e1ad-44ef-44af-b45a-333acec30915</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