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DEBB3" w14:textId="77777777" w:rsidR="00235529" w:rsidRDefault="00235529" w:rsidP="00235529">
      <w:pPr>
        <w:pStyle w:val="Title"/>
      </w:pPr>
      <w:bookmarkStart w:id="0" w:name="_Toc197590571"/>
    </w:p>
    <w:bookmarkEnd w:id="0"/>
    <w:p w14:paraId="25C70DB2" w14:textId="77777777" w:rsidR="00275958" w:rsidRPr="007E2BEB" w:rsidRDefault="00275958" w:rsidP="00275958">
      <w:pPr>
        <w:pStyle w:val="Title"/>
      </w:pPr>
      <w:r>
        <w:t>Heavy Menstrual Bleeding – Technical note</w:t>
      </w:r>
    </w:p>
    <w:p w14:paraId="6C632750" w14:textId="33CA392B" w:rsidR="00235529" w:rsidRDefault="00235529" w:rsidP="00A3324D">
      <w:pPr>
        <w:pStyle w:val="Subtitle"/>
        <w:spacing w:before="240"/>
      </w:pPr>
    </w:p>
    <w:p w14:paraId="4B13010E" w14:textId="77777777" w:rsidR="00A3324D" w:rsidRPr="00A3324D" w:rsidRDefault="00A3324D" w:rsidP="00A3324D"/>
    <w:p w14:paraId="629FECD5" w14:textId="77777777" w:rsidR="00A3324D" w:rsidRPr="00A3324D" w:rsidRDefault="00A3324D" w:rsidP="00A3324D"/>
    <w:p w14:paraId="38E69F07" w14:textId="77777777" w:rsidR="00A3324D" w:rsidRPr="00A3324D" w:rsidRDefault="00A3324D" w:rsidP="00A3324D"/>
    <w:p w14:paraId="0FA27336" w14:textId="77777777" w:rsidR="00A3324D" w:rsidRDefault="00A3324D" w:rsidP="00A3324D">
      <w:pPr>
        <w:rPr>
          <w:b/>
          <w:bCs/>
          <w:sz w:val="24"/>
          <w:szCs w:val="24"/>
        </w:rPr>
      </w:pPr>
    </w:p>
    <w:p w14:paraId="08A6DD3F" w14:textId="77777777" w:rsidR="00A3324D" w:rsidRDefault="00A3324D" w:rsidP="00A3324D">
      <w:pPr>
        <w:ind w:firstLine="227"/>
      </w:pPr>
    </w:p>
    <w:p w14:paraId="351B568B" w14:textId="77777777" w:rsidR="004B1271" w:rsidRDefault="004B1271" w:rsidP="004B1271">
      <w:pPr>
        <w:pStyle w:val="Heading2"/>
      </w:pPr>
      <w:r>
        <w:t xml:space="preserve">Introduction </w:t>
      </w:r>
    </w:p>
    <w:p w14:paraId="74D3F15A" w14:textId="77777777" w:rsidR="004B1271" w:rsidRDefault="004B1271" w:rsidP="004B1271">
      <w:r>
        <w:t xml:space="preserve">This technical note provides information on the methods used for data extraction and analysis for two women’s health indicators (time series analyses). These indicators are reported as part of the Australian Atlas of Healthcare Variation, which provides statistics at a local level identifying variation across Australia. </w:t>
      </w:r>
    </w:p>
    <w:p w14:paraId="01DF0841" w14:textId="77777777" w:rsidR="004B1271" w:rsidRDefault="004B1271" w:rsidP="004B1271">
      <w:r>
        <w:t xml:space="preserve">Activity rates are presented by local areas using Statistical Area Level 3 (SA3) geography defined by the Australian Bureau of Statistics (ABS), as well as Primary Health Network (PHN) areas defined by the Australian Government Department of Health, Disability and Ageing, at state and territory, and national levels. </w:t>
      </w:r>
    </w:p>
    <w:p w14:paraId="644C5125" w14:textId="77777777" w:rsidR="004B1271" w:rsidRDefault="004B1271" w:rsidP="004B1271">
      <w:r>
        <w:t xml:space="preserve">The Australian Commission on Safety and Quality in Health Care and the Australian Institute of Health and Welfare (AIHW) developed the specifications for each indicator. These can be found on the AIHW Metadata Online Registry (METeOR) at </w:t>
      </w:r>
      <w:hyperlink r:id="rId11" w:history="1">
        <w:r w:rsidRPr="00773138">
          <w:rPr>
            <w:rStyle w:val="Hyperlink"/>
          </w:rPr>
          <w:t>https://meteor.aihw.gov.au/content/780576</w:t>
        </w:r>
      </w:hyperlink>
      <w:r>
        <w:t xml:space="preserve"> and </w:t>
      </w:r>
      <w:hyperlink r:id="rId12" w:history="1">
        <w:r w:rsidRPr="00773138">
          <w:rPr>
            <w:rStyle w:val="Hyperlink"/>
          </w:rPr>
          <w:t>https://meteor.aihw.gov.au/content/781186</w:t>
        </w:r>
      </w:hyperlink>
      <w:r>
        <w:t xml:space="preserve">. </w:t>
      </w:r>
    </w:p>
    <w:p w14:paraId="5ED1E6BD" w14:textId="77777777" w:rsidR="004B1271" w:rsidRDefault="004B1271" w:rsidP="004B1271">
      <w:r>
        <w:t xml:space="preserve">The specifications include details such as: </w:t>
      </w:r>
    </w:p>
    <w:p w14:paraId="358DB987" w14:textId="77777777" w:rsidR="004B1271" w:rsidRDefault="004B1271" w:rsidP="004B1271">
      <w:pPr>
        <w:pStyle w:val="ListParagraph"/>
        <w:numPr>
          <w:ilvl w:val="0"/>
          <w:numId w:val="7"/>
        </w:numPr>
      </w:pPr>
      <w:r>
        <w:t xml:space="preserve">The data source </w:t>
      </w:r>
    </w:p>
    <w:p w14:paraId="191333DB" w14:textId="77777777" w:rsidR="004B1271" w:rsidRDefault="004B1271" w:rsidP="004B1271">
      <w:pPr>
        <w:pStyle w:val="ListParagraph"/>
        <w:numPr>
          <w:ilvl w:val="0"/>
          <w:numId w:val="7"/>
        </w:numPr>
      </w:pPr>
      <w:r>
        <w:t xml:space="preserve">Inclusions and exclusions (description of items included and excluded, and relevant data source codes) </w:t>
      </w:r>
    </w:p>
    <w:p w14:paraId="10B91ACC" w14:textId="77777777" w:rsidR="004B1271" w:rsidRDefault="004B1271" w:rsidP="004B1271">
      <w:pPr>
        <w:pStyle w:val="ListParagraph"/>
        <w:numPr>
          <w:ilvl w:val="0"/>
          <w:numId w:val="7"/>
        </w:numPr>
      </w:pPr>
      <w:r>
        <w:t xml:space="preserve">The numerator (what is being measured) and denominator (in what population) </w:t>
      </w:r>
    </w:p>
    <w:p w14:paraId="2845CD77" w14:textId="77777777" w:rsidR="004B1271" w:rsidRDefault="004B1271" w:rsidP="004B1271">
      <w:pPr>
        <w:pStyle w:val="ListParagraph"/>
        <w:numPr>
          <w:ilvl w:val="0"/>
          <w:numId w:val="7"/>
        </w:numPr>
      </w:pPr>
      <w:r>
        <w:t xml:space="preserve">Computation (the calculation that shows how the numerator and denominator relate) </w:t>
      </w:r>
    </w:p>
    <w:p w14:paraId="18E82167" w14:textId="77777777" w:rsidR="004B1271" w:rsidRDefault="004B1271" w:rsidP="004B1271">
      <w:pPr>
        <w:pStyle w:val="ListParagraph"/>
        <w:numPr>
          <w:ilvl w:val="0"/>
          <w:numId w:val="7"/>
        </w:numPr>
      </w:pPr>
      <w:r>
        <w:t xml:space="preserve">Disaggregation (the way or ways in which the data are analysed and presented) </w:t>
      </w:r>
    </w:p>
    <w:p w14:paraId="1C5637B9" w14:textId="77777777" w:rsidR="004B1271" w:rsidRDefault="004B1271" w:rsidP="004B1271">
      <w:pPr>
        <w:pStyle w:val="ListParagraph"/>
        <w:numPr>
          <w:ilvl w:val="0"/>
          <w:numId w:val="7"/>
        </w:numPr>
      </w:pPr>
      <w:r>
        <w:t xml:space="preserve">Data suppression rules (rules that set out what cannot be presented for reasons of confidentiality and/or reliability). </w:t>
      </w:r>
    </w:p>
    <w:p w14:paraId="32A47CBD" w14:textId="77777777" w:rsidR="004B1271" w:rsidRDefault="004B1271" w:rsidP="004B1271">
      <w:r>
        <w:t xml:space="preserve">The AIHW conducted the data extraction and analysis. </w:t>
      </w:r>
    </w:p>
    <w:p w14:paraId="6B5231E7" w14:textId="77777777" w:rsidR="004B1271" w:rsidRPr="00F81232" w:rsidRDefault="004B1271" w:rsidP="004B1271">
      <w:r>
        <w:t xml:space="preserve">The data source used in these Women’s Health time series analyses was the National Hospital Morbidity Database (NHMD). </w:t>
      </w:r>
      <w:r>
        <w:cr/>
      </w:r>
    </w:p>
    <w:p w14:paraId="4B51638D" w14:textId="77777777" w:rsidR="004B1271" w:rsidRPr="00D1580F" w:rsidRDefault="004B1271" w:rsidP="004B1271">
      <w:pPr>
        <w:pStyle w:val="Heading2"/>
      </w:pPr>
      <w:r w:rsidRPr="00D1580F">
        <w:lastRenderedPageBreak/>
        <w:t>National Hospital Morbidity Database</w:t>
      </w:r>
    </w:p>
    <w:p w14:paraId="0C650326" w14:textId="77777777" w:rsidR="004B1271" w:rsidRDefault="004B1271" w:rsidP="004B1271">
      <w:r>
        <w:t xml:space="preserve">The National Hospital Morbidity Database (NHMD) is a comprehensive dataset containing records for all episodes of admitted patient care from almost all hospitals in Australia. This includes all public and private acute and psychiatric hospitals, freestanding day hospital facilities, and alcohol and drug treatment centres. Hospitals operated by the Australian Defence Force and corrections authorities, and hospitals in Australia’s offshore territories are not in scope but some are included. The data elements included in the NHMD are based on the Admitted Patient Care National Minimum Data Set (APC NMDS). </w:t>
      </w:r>
    </w:p>
    <w:p w14:paraId="1A368400" w14:textId="77777777" w:rsidR="004B1271" w:rsidRDefault="004B1271" w:rsidP="004B1271">
      <w:r>
        <w:t xml:space="preserve">Data are collected at each hospital from patient administrative and clinical record systems and forwarded to the relevant state or territory health authorities. The data are provided to the AIHW for national collation annually. The NHMD includes episodes of care for admitted patients discharged (separated) between 1 July and 30 June for each financial year. </w:t>
      </w:r>
    </w:p>
    <w:p w14:paraId="3872BA82" w14:textId="77777777" w:rsidR="004B1271" w:rsidRDefault="004B1271" w:rsidP="004B1271">
      <w:r>
        <w:t xml:space="preserve">The counting unit for the NHMD is a ‘separation’. Separation refers to a completed episode of admitted patient care, which can be a total hospital stay (from admission to discharge, transfer or death) or a portion of a hospital stay, beginning or ending in a change of type of care (for example, from acute care to rehabilitation). In this report, separations are referred to as ‘hospitalisations’. </w:t>
      </w:r>
    </w:p>
    <w:p w14:paraId="2469E425" w14:textId="77777777" w:rsidR="004B1271" w:rsidRDefault="004B1271" w:rsidP="004B1271">
      <w:r>
        <w:t xml:space="preserve">A record is included for each hospitalisation, not for each patient. Patients hospitalised more than once in the financial year have more than one record in the NHMD. </w:t>
      </w:r>
    </w:p>
    <w:p w14:paraId="0D622DE5" w14:textId="77777777" w:rsidR="004B1271" w:rsidRDefault="004B1271" w:rsidP="004B1271">
      <w:r>
        <w:t xml:space="preserve">Analyses are based on the place of usual residence of the patient (patient residence) and not the location of the hospital where procedures were performed. If the patient residence was unknown or invalid, or could not be allocated to an SA3, PHN, or state or territory, the record was included in the total for Australia only. </w:t>
      </w:r>
    </w:p>
    <w:p w14:paraId="0A87647D" w14:textId="77777777" w:rsidR="004B1271" w:rsidRDefault="004B1271" w:rsidP="004B1271">
      <w:r>
        <w:t xml:space="preserve">Analyses in this report have not been adjusted to account for the under-identification of First Nations people in the data sources used. Data by Indigenous status should be interpreted with caution because First Nations people are under-enumerated in health data, and there is variation in the under-enumeration among states and territories, and by different data sets. </w:t>
      </w:r>
    </w:p>
    <w:p w14:paraId="0726CF07" w14:textId="77777777" w:rsidR="004B1271" w:rsidRDefault="004B1271" w:rsidP="004B1271">
      <w:r>
        <w:t>A patient’s age calculated in NHMD data is their age in years on the date they were admitted to hospital.</w:t>
      </w:r>
    </w:p>
    <w:p w14:paraId="76E0FB2F" w14:textId="77777777" w:rsidR="004B1271" w:rsidRDefault="004B1271" w:rsidP="004B1271">
      <w:r w:rsidRPr="00036D4B">
        <w:t xml:space="preserve">Records with unknown or invalid age or sex were excluded from NHMD data as they could not be age standardised (see Analysis methods). </w:t>
      </w:r>
    </w:p>
    <w:p w14:paraId="30112A65" w14:textId="77777777" w:rsidR="004B1271" w:rsidRDefault="004B1271" w:rsidP="004B1271">
      <w:r w:rsidRPr="00036D4B">
        <w:t>Records for which the overall nature of care was ‘</w:t>
      </w:r>
      <w:r w:rsidRPr="00036D4B">
        <w:rPr>
          <w:i/>
          <w:iCs/>
        </w:rPr>
        <w:t>newborn care with unqualified days only’</w:t>
      </w:r>
      <w:r w:rsidRPr="00036D4B">
        <w:t>, ‘</w:t>
      </w:r>
      <w:r w:rsidRPr="00036D4B">
        <w:rPr>
          <w:i/>
          <w:iCs/>
        </w:rPr>
        <w:t>posthumous organ procuremen</w:t>
      </w:r>
      <w:r w:rsidRPr="00036D4B">
        <w:t>t’ or ‘</w:t>
      </w:r>
      <w:r w:rsidRPr="00036D4B">
        <w:rPr>
          <w:i/>
          <w:iCs/>
        </w:rPr>
        <w:t>hospital boarder</w:t>
      </w:r>
      <w:r w:rsidRPr="00036D4B">
        <w:t xml:space="preserve">’ were excluded from the analysis. </w:t>
      </w:r>
    </w:p>
    <w:p w14:paraId="1D9422F6" w14:textId="77777777" w:rsidR="004B1271" w:rsidRDefault="004B1271" w:rsidP="004B1271">
      <w:r w:rsidRPr="00036D4B">
        <w:t>The NHMD does not include non-admitted patient care provided in outpatient clinics or emergency departments. If patients in these settings are admitted to hospital subsequently, the care provided to them as admitted patients is included in the NHMD.</w:t>
      </w:r>
    </w:p>
    <w:p w14:paraId="570DE8AB" w14:textId="77777777" w:rsidR="004B1271" w:rsidRDefault="004B1271" w:rsidP="004B1271">
      <w:r>
        <w:t xml:space="preserve">NHMD data in this report comprise hospitalisations in: </w:t>
      </w:r>
    </w:p>
    <w:p w14:paraId="4BA3D5E4" w14:textId="77777777" w:rsidR="004B1271" w:rsidRDefault="004B1271" w:rsidP="004B1271">
      <w:pPr>
        <w:pStyle w:val="ListParagraph"/>
        <w:numPr>
          <w:ilvl w:val="0"/>
          <w:numId w:val="8"/>
        </w:numPr>
      </w:pPr>
      <w:r>
        <w:t xml:space="preserve">2013–14 to 2021–22 for Endometrial Ablation hospitalisations </w:t>
      </w:r>
    </w:p>
    <w:p w14:paraId="675169A3" w14:textId="77777777" w:rsidR="004B1271" w:rsidRDefault="004B1271" w:rsidP="004B1271">
      <w:pPr>
        <w:pStyle w:val="ListParagraph"/>
        <w:numPr>
          <w:ilvl w:val="0"/>
          <w:numId w:val="8"/>
        </w:numPr>
      </w:pPr>
      <w:r>
        <w:t xml:space="preserve">2014–15 to 2021–22 for Hysterectomy hospitalisations. </w:t>
      </w:r>
    </w:p>
    <w:p w14:paraId="394E7BF0" w14:textId="77777777" w:rsidR="004B1271" w:rsidRDefault="004B1271" w:rsidP="004B1271">
      <w:r>
        <w:t>For Endometrial Ablation hospitalisations, the annual number of hospitalisations is not sufficient for reliable reporting at a local level and so 3-years of data (2013–14 to 2015–16, 2016–17 to 2018–19 and 2019–20 to 2021–22) are combined for analysis. In this case, rates are based on the number of hospitalisations over three years and the summed population over three years. This method differs from the calculation of an average annual rate. However, the rates from both methods will generally be the same, or very similar, particularly for areas with low proportional population change between years.</w:t>
      </w:r>
    </w:p>
    <w:p w14:paraId="12F58B58" w14:textId="77777777" w:rsidR="004B1271" w:rsidRDefault="004B1271" w:rsidP="004B1271"/>
    <w:p w14:paraId="70EF6AAF" w14:textId="77777777" w:rsidR="004B1271" w:rsidRDefault="004B1271" w:rsidP="004B1271">
      <w:r>
        <w:t xml:space="preserve">More information on the APC NMDS for 2013–14 to 2021–22 is available at: </w:t>
      </w:r>
    </w:p>
    <w:p w14:paraId="2BDCB2DD" w14:textId="77777777" w:rsidR="004B1271" w:rsidRDefault="004B1271" w:rsidP="004B1271">
      <w:pPr>
        <w:pStyle w:val="ListParagraph"/>
        <w:numPr>
          <w:ilvl w:val="0"/>
          <w:numId w:val="9"/>
        </w:numPr>
      </w:pPr>
      <w:hyperlink r:id="rId13" w:history="1">
        <w:r w:rsidRPr="00773138">
          <w:rPr>
            <w:rStyle w:val="Hyperlink"/>
          </w:rPr>
          <w:t>https://meteor.aihw.gov.au/content/index.phtml/itemId/491555</w:t>
        </w:r>
      </w:hyperlink>
      <w:r>
        <w:t xml:space="preserve"> (2013–14) </w:t>
      </w:r>
    </w:p>
    <w:p w14:paraId="4CC6825B" w14:textId="77777777" w:rsidR="004B1271" w:rsidRDefault="004B1271" w:rsidP="004B1271">
      <w:pPr>
        <w:pStyle w:val="ListParagraph"/>
        <w:numPr>
          <w:ilvl w:val="0"/>
          <w:numId w:val="9"/>
        </w:numPr>
      </w:pPr>
      <w:hyperlink r:id="rId14" w:history="1">
        <w:r w:rsidRPr="00773138">
          <w:rPr>
            <w:rStyle w:val="Hyperlink"/>
          </w:rPr>
          <w:t>https://meteor.aihw.gov.au/content/index.phtml/itemId/535047</w:t>
        </w:r>
      </w:hyperlink>
      <w:r>
        <w:t xml:space="preserve"> (2014–15) </w:t>
      </w:r>
    </w:p>
    <w:p w14:paraId="7683AE21" w14:textId="77777777" w:rsidR="004B1271" w:rsidRDefault="004B1271" w:rsidP="004B1271">
      <w:pPr>
        <w:pStyle w:val="ListParagraph"/>
        <w:numPr>
          <w:ilvl w:val="0"/>
          <w:numId w:val="9"/>
        </w:numPr>
      </w:pPr>
      <w:hyperlink r:id="rId15" w:history="1">
        <w:r w:rsidRPr="00773138">
          <w:rPr>
            <w:rStyle w:val="Hyperlink"/>
          </w:rPr>
          <w:t>https://meteor.aihw.gov.au/content/index.phtml/itemId/588909</w:t>
        </w:r>
      </w:hyperlink>
      <w:r>
        <w:t xml:space="preserve"> (2015–16) </w:t>
      </w:r>
    </w:p>
    <w:p w14:paraId="34BC165C" w14:textId="77777777" w:rsidR="004B1271" w:rsidRDefault="004B1271" w:rsidP="004B1271">
      <w:pPr>
        <w:pStyle w:val="ListParagraph"/>
        <w:numPr>
          <w:ilvl w:val="0"/>
          <w:numId w:val="9"/>
        </w:numPr>
      </w:pPr>
      <w:hyperlink r:id="rId16" w:history="1">
        <w:r w:rsidRPr="00773138">
          <w:rPr>
            <w:rStyle w:val="Hyperlink"/>
          </w:rPr>
          <w:t>https://meteor.aihw.gov.au/content/index.phtml/itemId/612171</w:t>
        </w:r>
      </w:hyperlink>
      <w:r>
        <w:t xml:space="preserve"> (2016–17) </w:t>
      </w:r>
    </w:p>
    <w:p w14:paraId="2EB29054" w14:textId="77777777" w:rsidR="004B1271" w:rsidRDefault="004B1271" w:rsidP="004B1271">
      <w:pPr>
        <w:pStyle w:val="ListParagraph"/>
        <w:numPr>
          <w:ilvl w:val="0"/>
          <w:numId w:val="9"/>
        </w:numPr>
      </w:pPr>
      <w:hyperlink r:id="rId17" w:history="1">
        <w:r w:rsidRPr="00773138">
          <w:rPr>
            <w:rStyle w:val="Hyperlink"/>
          </w:rPr>
          <w:t>https://meteor.aihw.gov.au/content/index.phtml/itemId/641349</w:t>
        </w:r>
      </w:hyperlink>
      <w:r>
        <w:t xml:space="preserve"> (2017-18) </w:t>
      </w:r>
    </w:p>
    <w:p w14:paraId="1357B63E" w14:textId="77777777" w:rsidR="004B1271" w:rsidRDefault="004B1271" w:rsidP="004B1271">
      <w:pPr>
        <w:pStyle w:val="ListParagraph"/>
        <w:numPr>
          <w:ilvl w:val="0"/>
          <w:numId w:val="9"/>
        </w:numPr>
      </w:pPr>
      <w:hyperlink r:id="rId18" w:history="1">
        <w:r w:rsidRPr="00773138">
          <w:rPr>
            <w:rStyle w:val="Hyperlink"/>
          </w:rPr>
          <w:t>https://meteor.aihw.gov.au/content/index.phtml/itemId/676382</w:t>
        </w:r>
      </w:hyperlink>
      <w:r>
        <w:t xml:space="preserve"> (2018-19) </w:t>
      </w:r>
    </w:p>
    <w:p w14:paraId="26F72631" w14:textId="77777777" w:rsidR="004B1271" w:rsidRDefault="004B1271" w:rsidP="004B1271">
      <w:pPr>
        <w:pStyle w:val="ListParagraph"/>
        <w:numPr>
          <w:ilvl w:val="0"/>
          <w:numId w:val="9"/>
        </w:numPr>
      </w:pPr>
      <w:hyperlink r:id="rId19" w:history="1">
        <w:r w:rsidRPr="00773138">
          <w:rPr>
            <w:rStyle w:val="Hyperlink"/>
          </w:rPr>
          <w:t>https://meteor.aihw.gov.au/content/index.phtml/itemId/699728</w:t>
        </w:r>
      </w:hyperlink>
      <w:r>
        <w:t xml:space="preserve"> (2019-20) </w:t>
      </w:r>
    </w:p>
    <w:p w14:paraId="7280EC15" w14:textId="77777777" w:rsidR="004B1271" w:rsidRDefault="004B1271" w:rsidP="004B1271">
      <w:pPr>
        <w:pStyle w:val="ListParagraph"/>
        <w:numPr>
          <w:ilvl w:val="0"/>
          <w:numId w:val="9"/>
        </w:numPr>
      </w:pPr>
      <w:hyperlink r:id="rId20" w:history="1">
        <w:r w:rsidRPr="00773138">
          <w:rPr>
            <w:rStyle w:val="Hyperlink"/>
          </w:rPr>
          <w:t>https://meteor.aihw.gov.au/content/index.phtml/itemId/713850</w:t>
        </w:r>
      </w:hyperlink>
      <w:r>
        <w:t xml:space="preserve"> (2020-21) </w:t>
      </w:r>
    </w:p>
    <w:p w14:paraId="56EDCA01" w14:textId="77777777" w:rsidR="004B1271" w:rsidRDefault="004B1271" w:rsidP="004B1271">
      <w:pPr>
        <w:pStyle w:val="ListParagraph"/>
        <w:numPr>
          <w:ilvl w:val="0"/>
          <w:numId w:val="9"/>
        </w:numPr>
      </w:pPr>
      <w:hyperlink r:id="rId21" w:history="1">
        <w:r w:rsidRPr="00773138">
          <w:rPr>
            <w:rStyle w:val="Hyperlink"/>
          </w:rPr>
          <w:t>https://meteor.aihw.gov.au/content/index.phtml/itemId/728439</w:t>
        </w:r>
      </w:hyperlink>
      <w:r>
        <w:t xml:space="preserve"> (2021-22)</w:t>
      </w:r>
    </w:p>
    <w:p w14:paraId="7B6B633F" w14:textId="77777777" w:rsidR="004B1271" w:rsidRDefault="004B1271" w:rsidP="004B1271"/>
    <w:p w14:paraId="61CB74C0" w14:textId="77777777" w:rsidR="004B1271" w:rsidRDefault="004B1271" w:rsidP="004B1271">
      <w:r>
        <w:t>The data quality statements for the NHMD for 2013–14 to 2017–18 are available at:</w:t>
      </w:r>
    </w:p>
    <w:p w14:paraId="554AD62C" w14:textId="77777777" w:rsidR="004B1271" w:rsidRDefault="004B1271" w:rsidP="004B1271">
      <w:pPr>
        <w:pStyle w:val="ListParagraph"/>
        <w:numPr>
          <w:ilvl w:val="0"/>
          <w:numId w:val="10"/>
        </w:numPr>
      </w:pPr>
      <w:hyperlink r:id="rId22" w:history="1">
        <w:r w:rsidRPr="00773138">
          <w:rPr>
            <w:rStyle w:val="Hyperlink"/>
          </w:rPr>
          <w:t>https://meteor.aihw.gov.au/content/index.phtml/itemId/611030</w:t>
        </w:r>
      </w:hyperlink>
      <w:r>
        <w:t xml:space="preserve"> (2013-14) </w:t>
      </w:r>
    </w:p>
    <w:p w14:paraId="33072975" w14:textId="77777777" w:rsidR="004B1271" w:rsidRDefault="004B1271" w:rsidP="004B1271">
      <w:pPr>
        <w:pStyle w:val="ListParagraph"/>
        <w:numPr>
          <w:ilvl w:val="0"/>
          <w:numId w:val="10"/>
        </w:numPr>
      </w:pPr>
      <w:hyperlink r:id="rId23" w:history="1">
        <w:r w:rsidRPr="00773138">
          <w:rPr>
            <w:rStyle w:val="Hyperlink"/>
          </w:rPr>
          <w:t>https://meteor.aihw.gov.au/content/index.phtml/itemId/638202</w:t>
        </w:r>
      </w:hyperlink>
      <w:r>
        <w:t xml:space="preserve"> (2014-15) </w:t>
      </w:r>
    </w:p>
    <w:p w14:paraId="34CE2E51" w14:textId="77777777" w:rsidR="004B1271" w:rsidRDefault="004B1271" w:rsidP="004B1271">
      <w:pPr>
        <w:pStyle w:val="ListParagraph"/>
        <w:numPr>
          <w:ilvl w:val="0"/>
          <w:numId w:val="10"/>
        </w:numPr>
      </w:pPr>
      <w:hyperlink r:id="rId24" w:history="1">
        <w:r w:rsidRPr="00773138">
          <w:rPr>
            <w:rStyle w:val="Hyperlink"/>
          </w:rPr>
          <w:t>https://meteor.aihw.gov.au/content/index.phtml/itemId/723825</w:t>
        </w:r>
      </w:hyperlink>
      <w:r>
        <w:t xml:space="preserve"> (2015–16) </w:t>
      </w:r>
    </w:p>
    <w:p w14:paraId="64D3B7D5" w14:textId="77777777" w:rsidR="004B1271" w:rsidRDefault="004B1271" w:rsidP="004B1271">
      <w:pPr>
        <w:pStyle w:val="ListParagraph"/>
        <w:numPr>
          <w:ilvl w:val="0"/>
          <w:numId w:val="10"/>
        </w:numPr>
      </w:pPr>
      <w:hyperlink r:id="rId25" w:history="1">
        <w:r w:rsidRPr="00773138">
          <w:rPr>
            <w:rStyle w:val="Hyperlink"/>
          </w:rPr>
          <w:t>https://meteor.aihw.gov.au/content/index.phtml/itemId/724186</w:t>
        </w:r>
      </w:hyperlink>
      <w:r>
        <w:t xml:space="preserve"> (2016–17) </w:t>
      </w:r>
    </w:p>
    <w:p w14:paraId="2940617D" w14:textId="77777777" w:rsidR="004B1271" w:rsidRDefault="004B1271" w:rsidP="004B1271">
      <w:pPr>
        <w:pStyle w:val="ListParagraph"/>
        <w:numPr>
          <w:ilvl w:val="0"/>
          <w:numId w:val="10"/>
        </w:numPr>
      </w:pPr>
      <w:hyperlink r:id="rId26" w:history="1">
        <w:r w:rsidRPr="00773138">
          <w:rPr>
            <w:rStyle w:val="Hyperlink"/>
          </w:rPr>
          <w:t>https://meteor.aihw.gov.au/content/index.phtml/itemId/724188</w:t>
        </w:r>
      </w:hyperlink>
      <w:r>
        <w:t xml:space="preserve"> (2017–18)</w:t>
      </w:r>
    </w:p>
    <w:p w14:paraId="25E8BC99" w14:textId="77777777" w:rsidR="004B1271" w:rsidRDefault="004B1271" w:rsidP="004B1271">
      <w:pPr>
        <w:pStyle w:val="Heading3"/>
      </w:pPr>
      <w:r w:rsidRPr="0031526B">
        <w:t>Components of NHMD analysis</w:t>
      </w:r>
    </w:p>
    <w:p w14:paraId="6C97F84B" w14:textId="77777777" w:rsidR="004B1271" w:rsidRPr="0031526B" w:rsidRDefault="004B1271" w:rsidP="004B1271">
      <w:pPr>
        <w:rPr>
          <w:i/>
          <w:iCs/>
        </w:rPr>
      </w:pPr>
      <w:r w:rsidRPr="0031526B">
        <w:rPr>
          <w:i/>
          <w:iCs/>
        </w:rPr>
        <w:t xml:space="preserve">Diagnoses and procedures </w:t>
      </w:r>
    </w:p>
    <w:p w14:paraId="1D1D56BA" w14:textId="77777777" w:rsidR="004B1271" w:rsidRDefault="004B1271" w:rsidP="004B1271">
      <w:r>
        <w:t xml:space="preserve">Hospital diagnosis and procedure data in this report were reported to the NHMD by states and territories using several editions of the </w:t>
      </w:r>
      <w:r w:rsidRPr="0031526B">
        <w:rPr>
          <w:i/>
          <w:iCs/>
        </w:rPr>
        <w:t>International statistical classification of diseases and related health problems, tenth revision, Australian modification</w:t>
      </w:r>
      <w:r>
        <w:t xml:space="preserve"> (ICD-10-AM), incorporating the </w:t>
      </w:r>
      <w:r w:rsidRPr="0031526B">
        <w:rPr>
          <w:i/>
          <w:iCs/>
        </w:rPr>
        <w:t>Australian classification of health interventions</w:t>
      </w:r>
      <w:r>
        <w:t xml:space="preserve">. The eighth edition was used for 2013–14 and 2014–15, ninth edition for 2015–16 and 2016–17, tenth edition for 2017–18 and 2018–19, and the eleventh edition for 2019–20, 2020–21 and 2021–22. </w:t>
      </w:r>
    </w:p>
    <w:p w14:paraId="0994CC41" w14:textId="77777777" w:rsidR="004B1271" w:rsidRDefault="004B1271" w:rsidP="004B1271">
      <w:r>
        <w:t>The comparability of the coded diagnosis and procedure data can be affected by variations in the quality of the coding, and by state-specific coding standards. This should be taken into account when comparing across states and territories.</w:t>
      </w:r>
    </w:p>
    <w:p w14:paraId="2C6C934F" w14:textId="77777777" w:rsidR="004B1271" w:rsidRPr="0031526B" w:rsidRDefault="004B1271" w:rsidP="004B1271">
      <w:pPr>
        <w:rPr>
          <w:i/>
          <w:iCs/>
        </w:rPr>
      </w:pPr>
      <w:r>
        <w:rPr>
          <w:i/>
          <w:iCs/>
        </w:rPr>
        <w:br/>
      </w:r>
      <w:r w:rsidRPr="0031526B">
        <w:rPr>
          <w:i/>
          <w:iCs/>
        </w:rPr>
        <w:t xml:space="preserve">Indigenous status </w:t>
      </w:r>
    </w:p>
    <w:p w14:paraId="5C5C124B" w14:textId="77777777" w:rsidR="004B1271" w:rsidRDefault="004B1271" w:rsidP="004B1271">
      <w:r>
        <w:t xml:space="preserve">For NHMD data, hospitalisations for Aboriginal and Torres Strait Islander (First Nations) people are compared with hospitalisations for other Australians. Other Australians comprise people who were reported as not of First Nations origin, and people for whom information on Indigenous status was not reported. </w:t>
      </w:r>
      <w:r>
        <w:cr/>
      </w:r>
    </w:p>
    <w:p w14:paraId="5336A3DB" w14:textId="77777777" w:rsidR="004B1271" w:rsidRPr="0031526B" w:rsidRDefault="004B1271" w:rsidP="004B1271">
      <w:pPr>
        <w:rPr>
          <w:i/>
          <w:iCs/>
        </w:rPr>
      </w:pPr>
      <w:r w:rsidRPr="0031526B">
        <w:rPr>
          <w:i/>
          <w:iCs/>
        </w:rPr>
        <w:t xml:space="preserve">Patient funding status </w:t>
      </w:r>
    </w:p>
    <w:p w14:paraId="7238F5E0" w14:textId="77777777" w:rsidR="004B1271" w:rsidRDefault="004B1271" w:rsidP="004B1271">
      <w:r>
        <w:t>NHMD data are presented separately for hospitalisations according to the funding status of the patient. This reflects the funding arrangements for the patient’s hospitalisation, not the sector of the hospital to which they were admitted. Hospitalisations were categorised by funding status of patients – public or private – based on three data elements:</w:t>
      </w:r>
    </w:p>
    <w:p w14:paraId="0E3D931B" w14:textId="77777777" w:rsidR="004B1271" w:rsidRDefault="004B1271" w:rsidP="004B1271">
      <w:pPr>
        <w:pStyle w:val="ListParagraph"/>
        <w:numPr>
          <w:ilvl w:val="0"/>
          <w:numId w:val="11"/>
        </w:numPr>
      </w:pPr>
      <w:r>
        <w:t>‘source of funding’ (</w:t>
      </w:r>
      <w:hyperlink r:id="rId27" w:history="1">
        <w:r w:rsidRPr="00773138">
          <w:rPr>
            <w:rStyle w:val="Hyperlink"/>
          </w:rPr>
          <w:t>https://meteor.aihw.gov.au/content/index.phtml/itemId/649391</w:t>
        </w:r>
      </w:hyperlink>
      <w:r>
        <w:t xml:space="preserve">)  </w:t>
      </w:r>
    </w:p>
    <w:p w14:paraId="6B4128AE" w14:textId="77777777" w:rsidR="004B1271" w:rsidRDefault="004B1271" w:rsidP="004B1271">
      <w:pPr>
        <w:pStyle w:val="ListParagraph"/>
        <w:numPr>
          <w:ilvl w:val="0"/>
          <w:numId w:val="11"/>
        </w:numPr>
      </w:pPr>
      <w:r>
        <w:t>‘patient election status’ (</w:t>
      </w:r>
      <w:hyperlink r:id="rId28" w:history="1">
        <w:r w:rsidRPr="00773138">
          <w:rPr>
            <w:rStyle w:val="Hyperlink"/>
          </w:rPr>
          <w:t>https://meteor.aihw.gov.au/content/index.phtml/itemId/326619</w:t>
        </w:r>
      </w:hyperlink>
      <w:r>
        <w:t xml:space="preserve">) </w:t>
      </w:r>
    </w:p>
    <w:p w14:paraId="3DC28C0E" w14:textId="77777777" w:rsidR="004B1271" w:rsidRDefault="004B1271" w:rsidP="004B1271">
      <w:pPr>
        <w:pStyle w:val="ListParagraph"/>
        <w:numPr>
          <w:ilvl w:val="0"/>
          <w:numId w:val="12"/>
        </w:numPr>
      </w:pPr>
      <w:r>
        <w:t>‘hospital sector’ (</w:t>
      </w:r>
      <w:hyperlink r:id="rId29" w:history="1">
        <w:r w:rsidRPr="00773138">
          <w:rPr>
            <w:rStyle w:val="Hyperlink"/>
          </w:rPr>
          <w:t>https://meteor.aihw.gov.au/content/index.phtml/itemId/269977</w:t>
        </w:r>
      </w:hyperlink>
      <w:r>
        <w:t>).</w:t>
      </w:r>
    </w:p>
    <w:p w14:paraId="6B83BDD7" w14:textId="77777777" w:rsidR="004B1271" w:rsidRDefault="004B1271" w:rsidP="004B1271"/>
    <w:p w14:paraId="3816C942" w14:textId="77777777" w:rsidR="004B1271" w:rsidRDefault="004B1271" w:rsidP="004B1271">
      <w:r>
        <w:lastRenderedPageBreak/>
        <w:t xml:space="preserve">Hospitalisations for publicly funded patients comprise those for whom the patient funding source was: </w:t>
      </w:r>
    </w:p>
    <w:p w14:paraId="5D33AF08" w14:textId="77777777" w:rsidR="004B1271" w:rsidRDefault="004B1271" w:rsidP="004B1271">
      <w:pPr>
        <w:pStyle w:val="ListParagraph"/>
        <w:numPr>
          <w:ilvl w:val="0"/>
          <w:numId w:val="12"/>
        </w:numPr>
      </w:pPr>
      <w:r>
        <w:t xml:space="preserve">Health service budget (not covered elsewhere) </w:t>
      </w:r>
    </w:p>
    <w:p w14:paraId="22CEBFBE" w14:textId="77777777" w:rsidR="004B1271" w:rsidRDefault="004B1271" w:rsidP="004B1271">
      <w:pPr>
        <w:pStyle w:val="ListParagraph"/>
        <w:numPr>
          <w:ilvl w:val="0"/>
          <w:numId w:val="12"/>
        </w:numPr>
      </w:pPr>
      <w:r>
        <w:t xml:space="preserve">Health service budget (due to eligibility under a Reciprocal Health Care Agreement) </w:t>
      </w:r>
    </w:p>
    <w:p w14:paraId="709E9CD5" w14:textId="77777777" w:rsidR="004B1271" w:rsidRDefault="004B1271" w:rsidP="004B1271">
      <w:pPr>
        <w:pStyle w:val="ListParagraph"/>
        <w:numPr>
          <w:ilvl w:val="0"/>
          <w:numId w:val="12"/>
        </w:numPr>
      </w:pPr>
      <w:r>
        <w:t xml:space="preserve">Health service budget (no charge raised as a result of a hospital decision) AND in a public hospital </w:t>
      </w:r>
    </w:p>
    <w:p w14:paraId="0FF39C28" w14:textId="77777777" w:rsidR="004B1271" w:rsidRDefault="004B1271" w:rsidP="004B1271">
      <w:pPr>
        <w:pStyle w:val="ListParagraph"/>
        <w:numPr>
          <w:ilvl w:val="0"/>
          <w:numId w:val="12"/>
        </w:numPr>
      </w:pPr>
      <w:r>
        <w:t>Other hospital or public authority (contracted care) AND a patient election status of ‘public’ (regardless of hospital sector).</w:t>
      </w:r>
    </w:p>
    <w:p w14:paraId="0FBA58EA" w14:textId="77777777" w:rsidR="004B1271" w:rsidRDefault="004B1271" w:rsidP="004B1271">
      <w:r>
        <w:t xml:space="preserve">Hospitalisations for privately funded patients comprise those for whom the patient funding source was: </w:t>
      </w:r>
    </w:p>
    <w:p w14:paraId="7AF1CD30" w14:textId="77777777" w:rsidR="004B1271" w:rsidRDefault="004B1271" w:rsidP="004B1271">
      <w:pPr>
        <w:pStyle w:val="ListParagraph"/>
        <w:numPr>
          <w:ilvl w:val="0"/>
          <w:numId w:val="13"/>
        </w:numPr>
      </w:pPr>
      <w:r>
        <w:t xml:space="preserve">Health service budget (no charge raised as a result of a hospital decision) AND in a private hospital </w:t>
      </w:r>
    </w:p>
    <w:p w14:paraId="2959B5E1" w14:textId="77777777" w:rsidR="004B1271" w:rsidRDefault="004B1271" w:rsidP="004B1271">
      <w:pPr>
        <w:pStyle w:val="ListParagraph"/>
        <w:numPr>
          <w:ilvl w:val="0"/>
          <w:numId w:val="13"/>
        </w:numPr>
      </w:pPr>
      <w:r>
        <w:t xml:space="preserve">Other hospital or public authority (contracted care) AND a patient election status of ‘private’ (or not reported) </w:t>
      </w:r>
    </w:p>
    <w:p w14:paraId="71A353EC" w14:textId="77777777" w:rsidR="004B1271" w:rsidRDefault="004B1271" w:rsidP="004B1271">
      <w:pPr>
        <w:pStyle w:val="ListParagraph"/>
        <w:numPr>
          <w:ilvl w:val="0"/>
          <w:numId w:val="13"/>
        </w:numPr>
      </w:pPr>
      <w:r>
        <w:t xml:space="preserve">Department of Veterans’ Affairs </w:t>
      </w:r>
    </w:p>
    <w:p w14:paraId="21D7871D" w14:textId="77777777" w:rsidR="004B1271" w:rsidRDefault="004B1271" w:rsidP="004B1271">
      <w:pPr>
        <w:pStyle w:val="ListParagraph"/>
        <w:numPr>
          <w:ilvl w:val="0"/>
          <w:numId w:val="13"/>
        </w:numPr>
      </w:pPr>
      <w:r>
        <w:t xml:space="preserve">Department of Defence </w:t>
      </w:r>
    </w:p>
    <w:p w14:paraId="6467191B" w14:textId="77777777" w:rsidR="004B1271" w:rsidRDefault="004B1271" w:rsidP="004B1271">
      <w:pPr>
        <w:pStyle w:val="ListParagraph"/>
        <w:numPr>
          <w:ilvl w:val="0"/>
          <w:numId w:val="13"/>
        </w:numPr>
      </w:pPr>
      <w:r>
        <w:t xml:space="preserve">Correctional facility </w:t>
      </w:r>
    </w:p>
    <w:p w14:paraId="623B1C24" w14:textId="77777777" w:rsidR="004B1271" w:rsidRDefault="004B1271" w:rsidP="004B1271">
      <w:pPr>
        <w:pStyle w:val="ListParagraph"/>
        <w:numPr>
          <w:ilvl w:val="0"/>
          <w:numId w:val="13"/>
        </w:numPr>
      </w:pPr>
      <w:r>
        <w:t xml:space="preserve">Private health insurance </w:t>
      </w:r>
    </w:p>
    <w:p w14:paraId="10B36A2C" w14:textId="77777777" w:rsidR="004B1271" w:rsidRDefault="004B1271" w:rsidP="004B1271">
      <w:pPr>
        <w:pStyle w:val="ListParagraph"/>
        <w:numPr>
          <w:ilvl w:val="0"/>
          <w:numId w:val="13"/>
        </w:numPr>
      </w:pPr>
      <w:r>
        <w:t xml:space="preserve">Workers compensation </w:t>
      </w:r>
    </w:p>
    <w:p w14:paraId="4DFCCC56" w14:textId="77777777" w:rsidR="004B1271" w:rsidRDefault="004B1271" w:rsidP="004B1271">
      <w:pPr>
        <w:pStyle w:val="ListParagraph"/>
        <w:numPr>
          <w:ilvl w:val="0"/>
          <w:numId w:val="13"/>
        </w:numPr>
      </w:pPr>
      <w:r>
        <w:t xml:space="preserve">Motor vehicle third-party personal claim </w:t>
      </w:r>
    </w:p>
    <w:p w14:paraId="7637DB7A" w14:textId="77777777" w:rsidR="004B1271" w:rsidRDefault="004B1271" w:rsidP="004B1271">
      <w:pPr>
        <w:pStyle w:val="ListParagraph"/>
        <w:numPr>
          <w:ilvl w:val="0"/>
          <w:numId w:val="13"/>
        </w:numPr>
      </w:pPr>
      <w:r>
        <w:t xml:space="preserve">Other compensation (for example, public liability, common law, medical negligence) </w:t>
      </w:r>
    </w:p>
    <w:p w14:paraId="57EBC829" w14:textId="77777777" w:rsidR="004B1271" w:rsidRDefault="004B1271" w:rsidP="004B1271">
      <w:pPr>
        <w:pStyle w:val="ListParagraph"/>
        <w:numPr>
          <w:ilvl w:val="0"/>
          <w:numId w:val="13"/>
        </w:numPr>
      </w:pPr>
      <w:r>
        <w:t xml:space="preserve">Self-funded </w:t>
      </w:r>
    </w:p>
    <w:p w14:paraId="0B6ABC04" w14:textId="77777777" w:rsidR="004B1271" w:rsidRDefault="004B1271" w:rsidP="004B1271">
      <w:pPr>
        <w:pStyle w:val="ListParagraph"/>
        <w:numPr>
          <w:ilvl w:val="0"/>
          <w:numId w:val="13"/>
        </w:numPr>
      </w:pPr>
      <w:r>
        <w:t xml:space="preserve">Other funding source </w:t>
      </w:r>
    </w:p>
    <w:p w14:paraId="18BBA73E" w14:textId="77777777" w:rsidR="004B1271" w:rsidRDefault="004B1271" w:rsidP="004B1271">
      <w:pPr>
        <w:pStyle w:val="ListParagraph"/>
        <w:numPr>
          <w:ilvl w:val="0"/>
          <w:numId w:val="13"/>
        </w:numPr>
      </w:pPr>
      <w:r>
        <w:t>Not known.</w:t>
      </w:r>
    </w:p>
    <w:p w14:paraId="720BBB6E" w14:textId="77777777" w:rsidR="004B1271" w:rsidRDefault="004B1271" w:rsidP="004B1271"/>
    <w:p w14:paraId="472256DC" w14:textId="77777777" w:rsidR="004B1271" w:rsidRDefault="004B1271" w:rsidP="004B1271">
      <w:pPr>
        <w:pStyle w:val="Heading2"/>
      </w:pPr>
      <w:r w:rsidRPr="0031526B">
        <w:t>Analysis methods</w:t>
      </w:r>
    </w:p>
    <w:p w14:paraId="0B6AFEFB" w14:textId="77777777" w:rsidR="004B1271" w:rsidRDefault="004B1271" w:rsidP="004B1271">
      <w:pPr>
        <w:pStyle w:val="Heading3"/>
      </w:pPr>
      <w:r>
        <w:t xml:space="preserve">Australian population </w:t>
      </w:r>
    </w:p>
    <w:p w14:paraId="22C49A7C" w14:textId="77777777" w:rsidR="004B1271" w:rsidRDefault="004B1271" w:rsidP="004B1271">
      <w:r>
        <w:t xml:space="preserve">All indicators used estimated resident population data from the Australian Bureau of Statistics (ABS) in the denominator. </w:t>
      </w:r>
    </w:p>
    <w:p w14:paraId="6B673C78" w14:textId="77777777" w:rsidR="004B1271" w:rsidRDefault="004B1271" w:rsidP="004B1271">
      <w:r>
        <w:t xml:space="preserve">Population estimates as at 30 June in the relevant year were used as the denominator for indicators based on NHMD data for 2013–14 to 2021–22. For example, population estimates as at 30 June 2017 were used for 2017–18. Where three years of data were combined, for example 2016–17, 2017–18 and 2018–19, the denominator was the sum of the population estimates as at 30 June 2016, 30 June 2017, and 30 June 2018. </w:t>
      </w:r>
      <w:r>
        <w:cr/>
      </w:r>
    </w:p>
    <w:p w14:paraId="7287B4FC" w14:textId="77777777" w:rsidR="004B1271" w:rsidRDefault="004B1271" w:rsidP="004B1271">
      <w:pPr>
        <w:pStyle w:val="Heading3"/>
      </w:pPr>
      <w:r w:rsidRPr="0031526B">
        <w:t xml:space="preserve">Indigenous status </w:t>
      </w:r>
    </w:p>
    <w:p w14:paraId="5B372F3E" w14:textId="77777777" w:rsidR="004B1271" w:rsidRDefault="004B1271" w:rsidP="004B1271">
      <w:r w:rsidRPr="0031526B">
        <w:t xml:space="preserve">The population estimates for First Nations people were based on the 2016 Census-based population estimates. For 2016 and earlier, population estimates (2016) and back cast estimates were used. For 2017 onwards, series B population projections were used. More information on series B is available at </w:t>
      </w:r>
      <w:hyperlink r:id="rId30" w:anchor="frequently-asked-questions" w:history="1">
        <w:r w:rsidRPr="00773138">
          <w:rPr>
            <w:rStyle w:val="Hyperlink"/>
          </w:rPr>
          <w:t>www.abs.gov.au/statistics/people/aboriginal-and-torres-strait-islander-peoples/estimates-and-projections-aboriginal-and-torres-strait-islander-australians/latest-release#frequently-asked-questions</w:t>
        </w:r>
      </w:hyperlink>
      <w:r>
        <w:t>.</w:t>
      </w:r>
      <w:r w:rsidRPr="0031526B">
        <w:t xml:space="preserve"> </w:t>
      </w:r>
    </w:p>
    <w:p w14:paraId="6F1C3590" w14:textId="77777777" w:rsidR="004B1271" w:rsidRDefault="004B1271" w:rsidP="004B1271">
      <w:r w:rsidRPr="0031526B">
        <w:t>The population estimates for other Australians was derived by subtracting the population estimates for First Nations people from the Australian population estimates.</w:t>
      </w:r>
    </w:p>
    <w:p w14:paraId="283FBF90" w14:textId="77777777" w:rsidR="004B1271" w:rsidRDefault="004B1271" w:rsidP="004B1271"/>
    <w:p w14:paraId="30A4C0AB" w14:textId="77777777" w:rsidR="004B1271" w:rsidRDefault="004B1271" w:rsidP="004B1271">
      <w:pPr>
        <w:pStyle w:val="Heading3"/>
      </w:pPr>
      <w:r>
        <w:lastRenderedPageBreak/>
        <w:t xml:space="preserve">Age standardisation </w:t>
      </w:r>
    </w:p>
    <w:p w14:paraId="3B80334B" w14:textId="77777777" w:rsidR="004B1271" w:rsidRDefault="004B1271" w:rsidP="004B1271">
      <w:r>
        <w:t xml:space="preserve">This report presents age-standardised rates. Age standardisation is a method to remove the influence of age when comparing populations with different age structures. For this report, the Australian estimated resident population as at 30 June 2001 for females was used as the standard population. Both indicators used specific age ranges. Therefore, only the relevant age groups were included in age-standardisation calculations. Standardised rates based on different age groups and/or standard populations are not directly comparable. </w:t>
      </w:r>
    </w:p>
    <w:p w14:paraId="403C8F8D" w14:textId="77777777" w:rsidR="004B1271" w:rsidRDefault="004B1271" w:rsidP="004B1271">
      <w:r>
        <w:t xml:space="preserve">Five-year age groups were used from 15 years to 85 and over years (except the age group of 65 years and over was the highest used in standardisation for Indigenous status analysis). </w:t>
      </w:r>
    </w:p>
    <w:p w14:paraId="6E5BDCC0" w14:textId="77777777" w:rsidR="004B1271" w:rsidRDefault="004B1271" w:rsidP="004B1271">
      <w:r>
        <w:t xml:space="preserve">The age standardisation method used was from the general age standardisation formula for populations available at </w:t>
      </w:r>
      <w:hyperlink r:id="rId31" w:history="1">
        <w:r w:rsidRPr="00773138">
          <w:rPr>
            <w:rStyle w:val="Hyperlink"/>
          </w:rPr>
          <w:t>https://meteor.aihw.gov.au/content/index.phtml/itemId/327276</w:t>
        </w:r>
      </w:hyperlink>
      <w:r>
        <w:t>.</w:t>
      </w:r>
    </w:p>
    <w:p w14:paraId="5530AB5C" w14:textId="77777777" w:rsidR="004B1271" w:rsidRDefault="004B1271" w:rsidP="004B1271"/>
    <w:p w14:paraId="472ABAC5" w14:textId="77777777" w:rsidR="004B1271" w:rsidRDefault="004B1271" w:rsidP="004B1271">
      <w:pPr>
        <w:pStyle w:val="Heading3"/>
      </w:pPr>
      <w:r>
        <w:t xml:space="preserve">Geography levels </w:t>
      </w:r>
    </w:p>
    <w:p w14:paraId="4D4BE2F2" w14:textId="77777777" w:rsidR="004B1271" w:rsidRDefault="004B1271" w:rsidP="004B1271">
      <w:r>
        <w:t>This report presents data based on the ABS Australian Statistical Geography Standard (ASGS) 2016 SA3 geography, which incorporates the Territory of Norfolk Island for the first time. There are 340 spatial SA3s covering Australia without gaps or overlaps. SA3s generally have a population of between 30,000 and 130,000 people and comprise clusters of whole SA2s (</w:t>
      </w:r>
      <w:hyperlink r:id="rId32" w:history="1">
        <w:r w:rsidRPr="00773138">
          <w:rPr>
            <w:rStyle w:val="Hyperlink"/>
          </w:rPr>
          <w:t>https://meteor.aihw.gov.au/content/index.phtml/itemId/659727</w:t>
        </w:r>
      </w:hyperlink>
      <w:r>
        <w:t xml:space="preserve">). These areas were grouped by PHN area, state or territory, remoteness and socioeconomic status to assist comparisons. For more information on ASGS 2016, see </w:t>
      </w:r>
      <w:hyperlink r:id="rId33" w:history="1">
        <w:r w:rsidRPr="00773138">
          <w:rPr>
            <w:rStyle w:val="Hyperlink"/>
          </w:rPr>
          <w:t>https://meteor.aihw.gov.au/content/index.phtml/itemId/659352</w:t>
        </w:r>
      </w:hyperlink>
      <w:r>
        <w:t xml:space="preserve">. </w:t>
      </w:r>
    </w:p>
    <w:p w14:paraId="734E2D69" w14:textId="77777777" w:rsidR="004B1271" w:rsidRDefault="004B1271" w:rsidP="004B1271">
      <w:r>
        <w:t xml:space="preserve">Allocation to an SA3 was based on the patient residence, not the place where they received the service. </w:t>
      </w:r>
      <w:r>
        <w:cr/>
      </w:r>
    </w:p>
    <w:p w14:paraId="19310AA3" w14:textId="77777777" w:rsidR="004B1271" w:rsidRDefault="004B1271" w:rsidP="004B1271">
      <w:pPr>
        <w:pStyle w:val="Heading3"/>
      </w:pPr>
      <w:r>
        <w:t xml:space="preserve">Application of geography levels to the NHMD </w:t>
      </w:r>
    </w:p>
    <w:p w14:paraId="0971BB80" w14:textId="77777777" w:rsidR="004B1271" w:rsidRDefault="004B1271" w:rsidP="004B1271">
      <w:r>
        <w:t>For 2013–14 to 2016–17, SA2s in the NHMD were collected using the ASGS 2011. For 2017–18, the ASGS 2016 was used. The accuracy of the information on geography (SA2 or other) could vary across and within states and territories, depending on the methods of allocation used by the hospital and the level of detail on the patient’s address captured at the service level.</w:t>
      </w:r>
    </w:p>
    <w:p w14:paraId="6B32DE63" w14:textId="77777777" w:rsidR="004B1271" w:rsidRDefault="004B1271" w:rsidP="004B1271">
      <w:r>
        <w:t xml:space="preserve">When Statistical Local Area (SLA) or postcode was used, ABS correspondences were used to identify the corresponding SA2 2011 (2013–14 to 2016–17) or SA2 2016 (2017–18). Where a geographic unit overlapped SA2 boundaries, records were randomly allocated to the SA2s, according to the proportion of the unit (postcode or SLA) population in the SA2s. This is standard practice for the NHMD. Because of the random allocation, individual records in SA2s might not be accurate or reliable; however, the overall distribution of records by SA2 is considered useful. </w:t>
      </w:r>
    </w:p>
    <w:p w14:paraId="198A6158" w14:textId="77777777" w:rsidR="004B1271" w:rsidRDefault="004B1271" w:rsidP="004B1271">
      <w:r>
        <w:t xml:space="preserve">For 2013–14 to 2016–17, the SA2 2011 was aggregated to SA3 2011. The number of hospitalisations at SA3 2011 was mapped to SA3 2016 using an ABS correspondence. Where an SA3 2011 overlapped SA3 2016 boundaries, the number of hospitalisations was apportioned across the SA3s 2016, according to the proportion of the population of SA3 2011 in the SA3s 2016. </w:t>
      </w:r>
    </w:p>
    <w:p w14:paraId="6CC53DAA" w14:textId="77777777" w:rsidR="004B1271" w:rsidRDefault="004B1271" w:rsidP="004B1271"/>
    <w:p w14:paraId="65DB94A6" w14:textId="77777777" w:rsidR="004B1271" w:rsidRPr="001312A0" w:rsidRDefault="004B1271" w:rsidP="004B1271">
      <w:pPr>
        <w:rPr>
          <w:i/>
          <w:iCs/>
        </w:rPr>
      </w:pPr>
      <w:r w:rsidRPr="001312A0">
        <w:rPr>
          <w:i/>
          <w:iCs/>
        </w:rPr>
        <w:t xml:space="preserve">Time series </w:t>
      </w:r>
    </w:p>
    <w:p w14:paraId="33E281BE" w14:textId="77777777" w:rsidR="004B1271" w:rsidRPr="00F81232" w:rsidRDefault="004B1271" w:rsidP="004B1271">
      <w:r>
        <w:t xml:space="preserve">Data were re-run for selected hospitalisation indicators presented in the first and second Atlases for the time series analyses in this report to allow robust comparison of rates over </w:t>
      </w:r>
      <w:r>
        <w:lastRenderedPageBreak/>
        <w:t xml:space="preserve">time. Since the first Atlas was published, in November 2015, there have been a number of minor changes to data specifications, updates to NHMD datasets, and changes to improve data analysis as listed in Table 1. The results reported in this time series report are those that should be used for monitoring change over time for 2 indicators from the second Atlas. </w:t>
      </w:r>
      <w:r>
        <w:cr/>
      </w:r>
    </w:p>
    <w:p w14:paraId="13981CE9" w14:textId="77777777" w:rsidR="004B1271" w:rsidRPr="002A521B" w:rsidRDefault="004B1271" w:rsidP="004B1271">
      <w:pPr>
        <w:pStyle w:val="TableCaption"/>
      </w:pPr>
      <w:r>
        <w:t xml:space="preserve">Changes in analysis methods for time series of hospitalisations indicators </w:t>
      </w:r>
    </w:p>
    <w:tbl>
      <w:tblPr>
        <w:tblStyle w:val="SQHTable"/>
        <w:tblW w:w="9570" w:type="dxa"/>
        <w:tblBorders>
          <w:top w:val="single" w:sz="2" w:space="0" w:color="421A75" w:themeColor="accent1"/>
          <w:left w:val="single" w:sz="2" w:space="0" w:color="421A75" w:themeColor="accent1"/>
          <w:bottom w:val="single" w:sz="2" w:space="0" w:color="421A75" w:themeColor="accent1"/>
          <w:right w:val="single" w:sz="2" w:space="0" w:color="421A75" w:themeColor="accent1"/>
          <w:insideH w:val="single" w:sz="2" w:space="0" w:color="421A75" w:themeColor="accent1"/>
          <w:insideV w:val="single" w:sz="2" w:space="0" w:color="421A75" w:themeColor="accent1"/>
        </w:tblBorders>
        <w:tblLayout w:type="fixed"/>
        <w:tblLook w:val="04A0" w:firstRow="1" w:lastRow="0" w:firstColumn="1" w:lastColumn="0" w:noHBand="0" w:noVBand="1"/>
        <w:tblDescription w:val="Table description goes here"/>
      </w:tblPr>
      <w:tblGrid>
        <w:gridCol w:w="1185"/>
        <w:gridCol w:w="1509"/>
        <w:gridCol w:w="1559"/>
        <w:gridCol w:w="1134"/>
        <w:gridCol w:w="992"/>
        <w:gridCol w:w="992"/>
        <w:gridCol w:w="851"/>
        <w:gridCol w:w="1348"/>
      </w:tblGrid>
      <w:tr w:rsidR="004B1271" w:rsidRPr="00A05877" w14:paraId="582B2782" w14:textId="77777777" w:rsidTr="000968D9">
        <w:trPr>
          <w:cnfStyle w:val="100000000000" w:firstRow="1" w:lastRow="0" w:firstColumn="0" w:lastColumn="0" w:oddVBand="0" w:evenVBand="0" w:oddHBand="0" w:evenHBand="0" w:firstRowFirstColumn="0" w:firstRowLastColumn="0" w:lastRowFirstColumn="0" w:lastRowLastColumn="0"/>
        </w:trPr>
        <w:tc>
          <w:tcPr>
            <w:tcW w:w="1185" w:type="dxa"/>
          </w:tcPr>
          <w:p w14:paraId="4D99C3AD" w14:textId="77777777" w:rsidR="004B1271" w:rsidRPr="00A738DB" w:rsidRDefault="004B1271" w:rsidP="000968D9">
            <w:r w:rsidRPr="7D67052A">
              <w:t>Report</w:t>
            </w:r>
          </w:p>
        </w:tc>
        <w:tc>
          <w:tcPr>
            <w:tcW w:w="1509" w:type="dxa"/>
          </w:tcPr>
          <w:p w14:paraId="1EF4A40F" w14:textId="77777777" w:rsidR="004B1271" w:rsidRDefault="004B1271" w:rsidP="000968D9">
            <w:r w:rsidRPr="7D67052A">
              <w:t xml:space="preserve">Age standardised </w:t>
            </w:r>
          </w:p>
        </w:tc>
        <w:tc>
          <w:tcPr>
            <w:tcW w:w="1559" w:type="dxa"/>
          </w:tcPr>
          <w:p w14:paraId="2A468F9E" w14:textId="77777777" w:rsidR="004B1271" w:rsidRDefault="004B1271" w:rsidP="000968D9">
            <w:r w:rsidRPr="7D67052A">
              <w:t xml:space="preserve">Age-sex standardised </w:t>
            </w:r>
          </w:p>
        </w:tc>
        <w:tc>
          <w:tcPr>
            <w:tcW w:w="1134" w:type="dxa"/>
          </w:tcPr>
          <w:p w14:paraId="700074C4" w14:textId="77777777" w:rsidR="004B1271" w:rsidRDefault="004B1271" w:rsidP="000968D9">
            <w:r w:rsidRPr="7D67052A">
              <w:t>Postcode to SA3</w:t>
            </w:r>
          </w:p>
        </w:tc>
        <w:tc>
          <w:tcPr>
            <w:tcW w:w="992" w:type="dxa"/>
          </w:tcPr>
          <w:p w14:paraId="5C8C7145" w14:textId="77777777" w:rsidR="004B1271" w:rsidRDefault="004B1271" w:rsidP="000968D9">
            <w:r w:rsidRPr="7D67052A">
              <w:t>SA2 to SA3</w:t>
            </w:r>
          </w:p>
        </w:tc>
        <w:tc>
          <w:tcPr>
            <w:tcW w:w="992" w:type="dxa"/>
          </w:tcPr>
          <w:p w14:paraId="12E25DD4" w14:textId="77777777" w:rsidR="004B1271" w:rsidRPr="00A738DB" w:rsidRDefault="004B1271" w:rsidP="000968D9">
            <w:r w:rsidRPr="7D67052A">
              <w:t>ASGC 2011</w:t>
            </w:r>
          </w:p>
        </w:tc>
        <w:tc>
          <w:tcPr>
            <w:tcW w:w="851" w:type="dxa"/>
          </w:tcPr>
          <w:p w14:paraId="113647DD" w14:textId="77777777" w:rsidR="004B1271" w:rsidRPr="00A738DB" w:rsidRDefault="004B1271" w:rsidP="000968D9">
            <w:r w:rsidRPr="7D67052A">
              <w:t>ASGS 2016</w:t>
            </w:r>
          </w:p>
        </w:tc>
        <w:tc>
          <w:tcPr>
            <w:tcW w:w="1348" w:type="dxa"/>
          </w:tcPr>
          <w:p w14:paraId="6A6FA573" w14:textId="77777777" w:rsidR="004B1271" w:rsidRDefault="004B1271" w:rsidP="000968D9">
            <w:r w:rsidRPr="7D67052A">
              <w:t>Population estimate</w:t>
            </w:r>
          </w:p>
        </w:tc>
      </w:tr>
      <w:tr w:rsidR="004B1271" w:rsidRPr="00A05877" w14:paraId="7AAA476F" w14:textId="77777777" w:rsidTr="000968D9">
        <w:tc>
          <w:tcPr>
            <w:tcW w:w="1185" w:type="dxa"/>
          </w:tcPr>
          <w:p w14:paraId="0A97944D" w14:textId="77777777" w:rsidR="004B1271" w:rsidRPr="00A05877" w:rsidRDefault="004B1271" w:rsidP="000968D9">
            <w:r>
              <w:t>First Atlas</w:t>
            </w:r>
          </w:p>
        </w:tc>
        <w:tc>
          <w:tcPr>
            <w:tcW w:w="1509" w:type="dxa"/>
          </w:tcPr>
          <w:p w14:paraId="7420FAED" w14:textId="77777777" w:rsidR="004B1271" w:rsidRPr="00A05877" w:rsidRDefault="004B1271" w:rsidP="000968D9">
            <w:pPr>
              <w:jc w:val="center"/>
            </w:pPr>
            <w:r w:rsidRPr="00402CDC">
              <w:rPr>
                <w:rFonts w:ascii="Wingdings" w:hAnsi="Wingdings"/>
                <w:b/>
                <w:bCs/>
                <w:sz w:val="16"/>
                <w:szCs w:val="16"/>
              </w:rPr>
              <w:t></w:t>
            </w:r>
          </w:p>
        </w:tc>
        <w:tc>
          <w:tcPr>
            <w:tcW w:w="1559" w:type="dxa"/>
          </w:tcPr>
          <w:p w14:paraId="304755B4" w14:textId="77777777" w:rsidR="004B1271" w:rsidRPr="00A05877" w:rsidRDefault="004B1271" w:rsidP="000968D9">
            <w:pPr>
              <w:jc w:val="center"/>
            </w:pPr>
          </w:p>
        </w:tc>
        <w:tc>
          <w:tcPr>
            <w:tcW w:w="1134" w:type="dxa"/>
          </w:tcPr>
          <w:p w14:paraId="3BAF9AC1" w14:textId="77777777" w:rsidR="004B1271" w:rsidRPr="00A05877" w:rsidRDefault="004B1271" w:rsidP="000968D9">
            <w:pPr>
              <w:jc w:val="center"/>
            </w:pPr>
            <w:r w:rsidRPr="00402CDC">
              <w:rPr>
                <w:rFonts w:ascii="Wingdings" w:hAnsi="Wingdings"/>
                <w:b/>
                <w:bCs/>
                <w:sz w:val="16"/>
                <w:szCs w:val="16"/>
              </w:rPr>
              <w:t></w:t>
            </w:r>
          </w:p>
        </w:tc>
        <w:tc>
          <w:tcPr>
            <w:tcW w:w="992" w:type="dxa"/>
          </w:tcPr>
          <w:p w14:paraId="5AD0B913" w14:textId="77777777" w:rsidR="004B1271" w:rsidRPr="00A05877" w:rsidRDefault="004B1271" w:rsidP="000968D9">
            <w:pPr>
              <w:jc w:val="center"/>
            </w:pPr>
          </w:p>
        </w:tc>
        <w:tc>
          <w:tcPr>
            <w:tcW w:w="992" w:type="dxa"/>
          </w:tcPr>
          <w:p w14:paraId="1458FB60" w14:textId="77777777" w:rsidR="004B1271" w:rsidRPr="00A05877" w:rsidRDefault="004B1271" w:rsidP="000968D9">
            <w:pPr>
              <w:jc w:val="center"/>
            </w:pPr>
            <w:r w:rsidRPr="00402CDC">
              <w:rPr>
                <w:rFonts w:ascii="Wingdings" w:hAnsi="Wingdings"/>
                <w:b/>
                <w:bCs/>
                <w:sz w:val="16"/>
                <w:szCs w:val="16"/>
              </w:rPr>
              <w:t></w:t>
            </w:r>
          </w:p>
        </w:tc>
        <w:tc>
          <w:tcPr>
            <w:tcW w:w="851" w:type="dxa"/>
          </w:tcPr>
          <w:p w14:paraId="34B053D0" w14:textId="77777777" w:rsidR="004B1271" w:rsidRPr="00A05877" w:rsidRDefault="004B1271" w:rsidP="000968D9">
            <w:pPr>
              <w:jc w:val="center"/>
            </w:pPr>
          </w:p>
        </w:tc>
        <w:tc>
          <w:tcPr>
            <w:tcW w:w="1348" w:type="dxa"/>
          </w:tcPr>
          <w:p w14:paraId="6B8C2668" w14:textId="77777777" w:rsidR="004B1271" w:rsidRPr="00A05877" w:rsidRDefault="004B1271" w:rsidP="000968D9">
            <w:r>
              <w:t>30 June</w:t>
            </w:r>
          </w:p>
        </w:tc>
      </w:tr>
      <w:tr w:rsidR="004B1271" w:rsidRPr="00A05877" w14:paraId="3C41AE44" w14:textId="77777777" w:rsidTr="000968D9">
        <w:trPr>
          <w:cnfStyle w:val="000000010000" w:firstRow="0" w:lastRow="0" w:firstColumn="0" w:lastColumn="0" w:oddVBand="0" w:evenVBand="0" w:oddHBand="0" w:evenHBand="1" w:firstRowFirstColumn="0" w:firstRowLastColumn="0" w:lastRowFirstColumn="0" w:lastRowLastColumn="0"/>
        </w:trPr>
        <w:tc>
          <w:tcPr>
            <w:tcW w:w="1185" w:type="dxa"/>
          </w:tcPr>
          <w:p w14:paraId="71835DA4" w14:textId="77777777" w:rsidR="004B1271" w:rsidRPr="003004FA" w:rsidRDefault="004B1271" w:rsidP="000968D9">
            <w:r>
              <w:t>Second Atlas</w:t>
            </w:r>
          </w:p>
        </w:tc>
        <w:tc>
          <w:tcPr>
            <w:tcW w:w="1509" w:type="dxa"/>
          </w:tcPr>
          <w:p w14:paraId="57AC4135" w14:textId="77777777" w:rsidR="004B1271" w:rsidRPr="00A05877" w:rsidRDefault="004B1271" w:rsidP="000968D9">
            <w:pPr>
              <w:jc w:val="center"/>
            </w:pPr>
          </w:p>
        </w:tc>
        <w:tc>
          <w:tcPr>
            <w:tcW w:w="1559" w:type="dxa"/>
          </w:tcPr>
          <w:p w14:paraId="064E6600" w14:textId="77777777" w:rsidR="004B1271" w:rsidRPr="00A05877" w:rsidRDefault="004B1271" w:rsidP="000968D9">
            <w:pPr>
              <w:jc w:val="center"/>
            </w:pPr>
            <w:r w:rsidRPr="00402CDC">
              <w:rPr>
                <w:rFonts w:ascii="Wingdings" w:hAnsi="Wingdings"/>
                <w:b/>
                <w:bCs/>
                <w:sz w:val="16"/>
                <w:szCs w:val="16"/>
              </w:rPr>
              <w:t></w:t>
            </w:r>
          </w:p>
        </w:tc>
        <w:tc>
          <w:tcPr>
            <w:tcW w:w="1134" w:type="dxa"/>
          </w:tcPr>
          <w:p w14:paraId="08ABB604" w14:textId="77777777" w:rsidR="004B1271" w:rsidRPr="00A05877" w:rsidRDefault="004B1271" w:rsidP="000968D9">
            <w:pPr>
              <w:jc w:val="center"/>
            </w:pPr>
          </w:p>
        </w:tc>
        <w:tc>
          <w:tcPr>
            <w:tcW w:w="992" w:type="dxa"/>
          </w:tcPr>
          <w:p w14:paraId="3E726AC8" w14:textId="77777777" w:rsidR="004B1271" w:rsidRPr="00A05877" w:rsidRDefault="004B1271" w:rsidP="000968D9">
            <w:pPr>
              <w:jc w:val="center"/>
            </w:pPr>
            <w:r w:rsidRPr="00402CDC">
              <w:rPr>
                <w:rFonts w:ascii="Wingdings" w:hAnsi="Wingdings"/>
                <w:b/>
                <w:bCs/>
                <w:sz w:val="16"/>
                <w:szCs w:val="16"/>
              </w:rPr>
              <w:t></w:t>
            </w:r>
          </w:p>
        </w:tc>
        <w:tc>
          <w:tcPr>
            <w:tcW w:w="992" w:type="dxa"/>
          </w:tcPr>
          <w:p w14:paraId="46773E64" w14:textId="77777777" w:rsidR="004B1271" w:rsidRPr="00A05877" w:rsidRDefault="004B1271" w:rsidP="000968D9">
            <w:pPr>
              <w:jc w:val="center"/>
            </w:pPr>
            <w:r w:rsidRPr="00402CDC">
              <w:rPr>
                <w:rFonts w:ascii="Wingdings" w:hAnsi="Wingdings"/>
                <w:b/>
                <w:bCs/>
                <w:sz w:val="16"/>
                <w:szCs w:val="16"/>
              </w:rPr>
              <w:t></w:t>
            </w:r>
          </w:p>
        </w:tc>
        <w:tc>
          <w:tcPr>
            <w:tcW w:w="851" w:type="dxa"/>
          </w:tcPr>
          <w:p w14:paraId="67A163F5" w14:textId="77777777" w:rsidR="004B1271" w:rsidRPr="00A05877" w:rsidRDefault="004B1271" w:rsidP="000968D9">
            <w:pPr>
              <w:jc w:val="center"/>
            </w:pPr>
          </w:p>
        </w:tc>
        <w:tc>
          <w:tcPr>
            <w:tcW w:w="1348" w:type="dxa"/>
          </w:tcPr>
          <w:p w14:paraId="3584A1D8" w14:textId="77777777" w:rsidR="004B1271" w:rsidRPr="00A05877" w:rsidRDefault="004B1271" w:rsidP="000968D9">
            <w:r>
              <w:t>30 June</w:t>
            </w:r>
          </w:p>
        </w:tc>
      </w:tr>
      <w:tr w:rsidR="004B1271" w:rsidRPr="00A05877" w14:paraId="6097355F" w14:textId="77777777" w:rsidTr="000968D9">
        <w:tc>
          <w:tcPr>
            <w:tcW w:w="1185" w:type="dxa"/>
          </w:tcPr>
          <w:p w14:paraId="3EC73587" w14:textId="77777777" w:rsidR="004B1271" w:rsidRPr="00A05877" w:rsidRDefault="004B1271" w:rsidP="000968D9">
            <w:r>
              <w:t>Third Atlas</w:t>
            </w:r>
          </w:p>
        </w:tc>
        <w:tc>
          <w:tcPr>
            <w:tcW w:w="1509" w:type="dxa"/>
          </w:tcPr>
          <w:p w14:paraId="7B5D592D" w14:textId="77777777" w:rsidR="004B1271" w:rsidRPr="00A05877" w:rsidRDefault="004B1271" w:rsidP="000968D9">
            <w:pPr>
              <w:jc w:val="center"/>
            </w:pPr>
          </w:p>
        </w:tc>
        <w:tc>
          <w:tcPr>
            <w:tcW w:w="1559" w:type="dxa"/>
          </w:tcPr>
          <w:p w14:paraId="47330B15" w14:textId="77777777" w:rsidR="004B1271" w:rsidRPr="00A05877" w:rsidRDefault="004B1271" w:rsidP="000968D9">
            <w:pPr>
              <w:jc w:val="center"/>
            </w:pPr>
            <w:r w:rsidRPr="00402CDC">
              <w:rPr>
                <w:rFonts w:ascii="Wingdings" w:hAnsi="Wingdings"/>
                <w:b/>
                <w:bCs/>
                <w:sz w:val="16"/>
                <w:szCs w:val="16"/>
              </w:rPr>
              <w:t></w:t>
            </w:r>
          </w:p>
        </w:tc>
        <w:tc>
          <w:tcPr>
            <w:tcW w:w="1134" w:type="dxa"/>
          </w:tcPr>
          <w:p w14:paraId="0C3D08A9" w14:textId="77777777" w:rsidR="004B1271" w:rsidRPr="00A05877" w:rsidRDefault="004B1271" w:rsidP="000968D9">
            <w:pPr>
              <w:jc w:val="center"/>
            </w:pPr>
          </w:p>
        </w:tc>
        <w:tc>
          <w:tcPr>
            <w:tcW w:w="992" w:type="dxa"/>
          </w:tcPr>
          <w:p w14:paraId="1C8201AE" w14:textId="77777777" w:rsidR="004B1271" w:rsidRPr="00A05877" w:rsidRDefault="004B1271" w:rsidP="000968D9">
            <w:pPr>
              <w:jc w:val="center"/>
            </w:pPr>
            <w:r w:rsidRPr="00402CDC">
              <w:rPr>
                <w:rFonts w:ascii="Wingdings" w:hAnsi="Wingdings"/>
                <w:b/>
                <w:bCs/>
                <w:sz w:val="16"/>
                <w:szCs w:val="16"/>
              </w:rPr>
              <w:t></w:t>
            </w:r>
          </w:p>
        </w:tc>
        <w:tc>
          <w:tcPr>
            <w:tcW w:w="992" w:type="dxa"/>
          </w:tcPr>
          <w:p w14:paraId="42873239" w14:textId="77777777" w:rsidR="004B1271" w:rsidRPr="00A05877" w:rsidRDefault="004B1271" w:rsidP="000968D9">
            <w:pPr>
              <w:jc w:val="center"/>
            </w:pPr>
          </w:p>
        </w:tc>
        <w:tc>
          <w:tcPr>
            <w:tcW w:w="851" w:type="dxa"/>
          </w:tcPr>
          <w:p w14:paraId="579E8F85" w14:textId="77777777" w:rsidR="004B1271" w:rsidRPr="00A05877" w:rsidRDefault="004B1271" w:rsidP="000968D9">
            <w:pPr>
              <w:jc w:val="center"/>
            </w:pPr>
            <w:r w:rsidRPr="00402CDC">
              <w:rPr>
                <w:rFonts w:ascii="Wingdings" w:hAnsi="Wingdings"/>
                <w:b/>
                <w:bCs/>
                <w:sz w:val="16"/>
                <w:szCs w:val="16"/>
              </w:rPr>
              <w:t></w:t>
            </w:r>
          </w:p>
        </w:tc>
        <w:tc>
          <w:tcPr>
            <w:tcW w:w="1348" w:type="dxa"/>
          </w:tcPr>
          <w:p w14:paraId="78F4C0D9" w14:textId="77777777" w:rsidR="004B1271" w:rsidRPr="00A05877" w:rsidRDefault="004B1271" w:rsidP="000968D9">
            <w:r>
              <w:t>30 June</w:t>
            </w:r>
          </w:p>
        </w:tc>
      </w:tr>
      <w:tr w:rsidR="004B1271" w:rsidRPr="00A05877" w14:paraId="4BDE24FE" w14:textId="77777777" w:rsidTr="000968D9">
        <w:trPr>
          <w:cnfStyle w:val="000000010000" w:firstRow="0" w:lastRow="0" w:firstColumn="0" w:lastColumn="0" w:oddVBand="0" w:evenVBand="0" w:oddHBand="0" w:evenHBand="1" w:firstRowFirstColumn="0" w:firstRowLastColumn="0" w:lastRowFirstColumn="0" w:lastRowLastColumn="0"/>
        </w:trPr>
        <w:tc>
          <w:tcPr>
            <w:tcW w:w="1185" w:type="dxa"/>
          </w:tcPr>
          <w:p w14:paraId="23E7771F" w14:textId="77777777" w:rsidR="004B1271" w:rsidRPr="00A05877" w:rsidRDefault="004B1271" w:rsidP="000968D9">
            <w:r>
              <w:t>Fourth Atlas</w:t>
            </w:r>
          </w:p>
        </w:tc>
        <w:tc>
          <w:tcPr>
            <w:tcW w:w="1509" w:type="dxa"/>
          </w:tcPr>
          <w:p w14:paraId="01D1B289" w14:textId="77777777" w:rsidR="004B1271" w:rsidRPr="00A05877" w:rsidRDefault="004B1271" w:rsidP="000968D9">
            <w:pPr>
              <w:jc w:val="center"/>
            </w:pPr>
          </w:p>
        </w:tc>
        <w:tc>
          <w:tcPr>
            <w:tcW w:w="1559" w:type="dxa"/>
          </w:tcPr>
          <w:p w14:paraId="64BAF62D" w14:textId="77777777" w:rsidR="004B1271" w:rsidRPr="00A05877" w:rsidRDefault="004B1271" w:rsidP="000968D9">
            <w:pPr>
              <w:jc w:val="center"/>
            </w:pPr>
            <w:r w:rsidRPr="00402CDC">
              <w:rPr>
                <w:rFonts w:ascii="Wingdings" w:hAnsi="Wingdings"/>
                <w:b/>
                <w:bCs/>
                <w:sz w:val="16"/>
                <w:szCs w:val="16"/>
              </w:rPr>
              <w:t></w:t>
            </w:r>
          </w:p>
        </w:tc>
        <w:tc>
          <w:tcPr>
            <w:tcW w:w="1134" w:type="dxa"/>
          </w:tcPr>
          <w:p w14:paraId="73831655" w14:textId="77777777" w:rsidR="004B1271" w:rsidRPr="00A05877" w:rsidRDefault="004B1271" w:rsidP="000968D9">
            <w:pPr>
              <w:jc w:val="center"/>
            </w:pPr>
          </w:p>
        </w:tc>
        <w:tc>
          <w:tcPr>
            <w:tcW w:w="992" w:type="dxa"/>
          </w:tcPr>
          <w:p w14:paraId="06FCA0A3" w14:textId="77777777" w:rsidR="004B1271" w:rsidRPr="00A05877" w:rsidRDefault="004B1271" w:rsidP="000968D9">
            <w:pPr>
              <w:jc w:val="center"/>
            </w:pPr>
            <w:r w:rsidRPr="00402CDC">
              <w:rPr>
                <w:rFonts w:ascii="Wingdings" w:hAnsi="Wingdings"/>
                <w:b/>
                <w:bCs/>
                <w:sz w:val="16"/>
                <w:szCs w:val="16"/>
              </w:rPr>
              <w:t></w:t>
            </w:r>
          </w:p>
        </w:tc>
        <w:tc>
          <w:tcPr>
            <w:tcW w:w="992" w:type="dxa"/>
          </w:tcPr>
          <w:p w14:paraId="24AB341B" w14:textId="77777777" w:rsidR="004B1271" w:rsidRPr="00A05877" w:rsidRDefault="004B1271" w:rsidP="000968D9">
            <w:pPr>
              <w:jc w:val="center"/>
            </w:pPr>
          </w:p>
        </w:tc>
        <w:tc>
          <w:tcPr>
            <w:tcW w:w="851" w:type="dxa"/>
          </w:tcPr>
          <w:p w14:paraId="56FAADB3" w14:textId="77777777" w:rsidR="004B1271" w:rsidRPr="00A05877" w:rsidRDefault="004B1271" w:rsidP="000968D9">
            <w:pPr>
              <w:jc w:val="center"/>
            </w:pPr>
            <w:r w:rsidRPr="00402CDC">
              <w:rPr>
                <w:rFonts w:ascii="Wingdings" w:hAnsi="Wingdings"/>
                <w:b/>
                <w:bCs/>
                <w:sz w:val="16"/>
                <w:szCs w:val="16"/>
              </w:rPr>
              <w:t></w:t>
            </w:r>
          </w:p>
        </w:tc>
        <w:tc>
          <w:tcPr>
            <w:tcW w:w="1348" w:type="dxa"/>
          </w:tcPr>
          <w:p w14:paraId="69E68736" w14:textId="77777777" w:rsidR="004B1271" w:rsidRPr="00A05877" w:rsidRDefault="004B1271" w:rsidP="000968D9">
            <w:r>
              <w:t>31 December*</w:t>
            </w:r>
          </w:p>
        </w:tc>
      </w:tr>
      <w:tr w:rsidR="004B1271" w:rsidRPr="00A05877" w14:paraId="435ADBCD" w14:textId="77777777" w:rsidTr="000968D9">
        <w:tc>
          <w:tcPr>
            <w:tcW w:w="1185" w:type="dxa"/>
          </w:tcPr>
          <w:p w14:paraId="243E0036" w14:textId="77777777" w:rsidR="004B1271" w:rsidRDefault="004B1271" w:rsidP="000968D9">
            <w:r>
              <w:t xml:space="preserve">Women’s Health time series </w:t>
            </w:r>
          </w:p>
        </w:tc>
        <w:tc>
          <w:tcPr>
            <w:tcW w:w="1509" w:type="dxa"/>
          </w:tcPr>
          <w:p w14:paraId="799AEC95" w14:textId="77777777" w:rsidR="004B1271" w:rsidRPr="00A05877" w:rsidRDefault="004B1271" w:rsidP="000968D9">
            <w:pPr>
              <w:jc w:val="center"/>
            </w:pPr>
            <w:r w:rsidRPr="00402CDC">
              <w:rPr>
                <w:rFonts w:ascii="Wingdings" w:hAnsi="Wingdings"/>
                <w:b/>
                <w:bCs/>
                <w:sz w:val="16"/>
                <w:szCs w:val="16"/>
              </w:rPr>
              <w:t></w:t>
            </w:r>
          </w:p>
        </w:tc>
        <w:tc>
          <w:tcPr>
            <w:tcW w:w="1559" w:type="dxa"/>
          </w:tcPr>
          <w:p w14:paraId="47730F95" w14:textId="77777777" w:rsidR="004B1271" w:rsidRPr="00A05877" w:rsidRDefault="004B1271" w:rsidP="000968D9">
            <w:pPr>
              <w:jc w:val="center"/>
            </w:pPr>
          </w:p>
        </w:tc>
        <w:tc>
          <w:tcPr>
            <w:tcW w:w="1134" w:type="dxa"/>
          </w:tcPr>
          <w:p w14:paraId="24299FEC" w14:textId="77777777" w:rsidR="004B1271" w:rsidRPr="00A05877" w:rsidRDefault="004B1271" w:rsidP="000968D9">
            <w:pPr>
              <w:jc w:val="center"/>
            </w:pPr>
          </w:p>
        </w:tc>
        <w:tc>
          <w:tcPr>
            <w:tcW w:w="992" w:type="dxa"/>
          </w:tcPr>
          <w:p w14:paraId="6BE8DD93" w14:textId="77777777" w:rsidR="004B1271" w:rsidRPr="00A05877" w:rsidRDefault="004B1271" w:rsidP="000968D9">
            <w:pPr>
              <w:jc w:val="center"/>
            </w:pPr>
            <w:r w:rsidRPr="00402CDC">
              <w:rPr>
                <w:rFonts w:ascii="Wingdings" w:hAnsi="Wingdings"/>
                <w:b/>
                <w:bCs/>
                <w:sz w:val="16"/>
                <w:szCs w:val="16"/>
              </w:rPr>
              <w:t></w:t>
            </w:r>
          </w:p>
        </w:tc>
        <w:tc>
          <w:tcPr>
            <w:tcW w:w="992" w:type="dxa"/>
          </w:tcPr>
          <w:p w14:paraId="5F893D1F" w14:textId="77777777" w:rsidR="004B1271" w:rsidRPr="00A05877" w:rsidRDefault="004B1271" w:rsidP="000968D9">
            <w:pPr>
              <w:jc w:val="center"/>
            </w:pPr>
          </w:p>
        </w:tc>
        <w:tc>
          <w:tcPr>
            <w:tcW w:w="851" w:type="dxa"/>
          </w:tcPr>
          <w:p w14:paraId="2EFABDAE" w14:textId="77777777" w:rsidR="004B1271" w:rsidRPr="00A05877" w:rsidRDefault="004B1271" w:rsidP="000968D9">
            <w:pPr>
              <w:jc w:val="center"/>
            </w:pPr>
            <w:r w:rsidRPr="00402CDC">
              <w:rPr>
                <w:rFonts w:ascii="Wingdings" w:hAnsi="Wingdings"/>
                <w:b/>
                <w:bCs/>
                <w:sz w:val="16"/>
                <w:szCs w:val="16"/>
              </w:rPr>
              <w:t></w:t>
            </w:r>
          </w:p>
        </w:tc>
        <w:tc>
          <w:tcPr>
            <w:tcW w:w="1348" w:type="dxa"/>
          </w:tcPr>
          <w:p w14:paraId="644B99DF" w14:textId="77777777" w:rsidR="004B1271" w:rsidRPr="00A05877" w:rsidRDefault="004B1271" w:rsidP="000968D9">
            <w:r>
              <w:t>30 June</w:t>
            </w:r>
          </w:p>
        </w:tc>
      </w:tr>
    </w:tbl>
    <w:p w14:paraId="0FAF0E82" w14:textId="77777777" w:rsidR="004B1271" w:rsidRDefault="004B1271" w:rsidP="004B1271">
      <w:pPr>
        <w:rPr>
          <w:sz w:val="16"/>
          <w:szCs w:val="16"/>
        </w:rPr>
      </w:pPr>
      <w:r w:rsidRPr="004A47A7">
        <w:rPr>
          <w:sz w:val="16"/>
          <w:szCs w:val="16"/>
        </w:rPr>
        <w:t>* Estimated from average of 30 June estimated residential populations from the relevant years.</w:t>
      </w:r>
    </w:p>
    <w:p w14:paraId="49CC4C32" w14:textId="77777777" w:rsidR="004B1271" w:rsidRDefault="004B1271" w:rsidP="004B1271">
      <w:pPr>
        <w:rPr>
          <w:sz w:val="16"/>
          <w:szCs w:val="16"/>
        </w:rPr>
      </w:pPr>
    </w:p>
    <w:p w14:paraId="3D93F221" w14:textId="77777777" w:rsidR="004B1271" w:rsidRDefault="004B1271" w:rsidP="004B1271">
      <w:pPr>
        <w:pStyle w:val="Heading3"/>
      </w:pPr>
      <w:r>
        <w:t xml:space="preserve">Primary Health Network areas </w:t>
      </w:r>
    </w:p>
    <w:p w14:paraId="6FBCBF44" w14:textId="77777777" w:rsidR="004B1271" w:rsidRDefault="004B1271" w:rsidP="004B1271">
      <w:r>
        <w:t xml:space="preserve">The Primary Health Networks (PHNs) are independent organisations that aim to connect health services across a specific geographic area so that patients, particularly those needing coordinated care, have access to a range of services, including primary health care services, secondary health care services and hospital services. There are 31 PHN areas that cover the whole of Australia. </w:t>
      </w:r>
    </w:p>
    <w:p w14:paraId="37028765" w14:textId="77777777" w:rsidR="004B1271" w:rsidRDefault="004B1271" w:rsidP="004B1271">
      <w:r>
        <w:t xml:space="preserve">The number of events at SA3 2016 was mapped to a PHN area (2017) using an ABS correspondence. The correspondence reflects the reconstructed PHN boundaries based on the ASGS 2016. Where an SA3 overlapped PHN boundaries, the number of events was apportioned across the PHN areas, according to the proportion of the SA3 population in the PHN areas. </w:t>
      </w:r>
    </w:p>
    <w:p w14:paraId="7710F28C" w14:textId="77777777" w:rsidR="004B1271" w:rsidRDefault="004B1271" w:rsidP="004B1271">
      <w:r>
        <w:t xml:space="preserve">Tasmania, the Australian Capital Territory and the Northern Territory have only one PHN area. PHN rates may differ from state or territory rates because: </w:t>
      </w:r>
    </w:p>
    <w:p w14:paraId="6035E24A" w14:textId="77777777" w:rsidR="004B1271" w:rsidRPr="001A2E45" w:rsidRDefault="004B1271" w:rsidP="004B1271">
      <w:pPr>
        <w:pStyle w:val="ListParagraph"/>
        <w:numPr>
          <w:ilvl w:val="0"/>
          <w:numId w:val="15"/>
        </w:numPr>
      </w:pPr>
      <w:r w:rsidRPr="001A2E45">
        <w:t xml:space="preserve">For the NHMD, populations and hospitalisations are sourced from different data. PHN hospitalisations are based on SA3 of patient residence. State or territory hospitalisations are based on state or territory of patient residence, including records where the SA3 may not be known. </w:t>
      </w:r>
    </w:p>
    <w:p w14:paraId="0E370D6C" w14:textId="77777777" w:rsidR="004B1271" w:rsidRPr="001A2E45" w:rsidRDefault="004B1271" w:rsidP="004B1271">
      <w:pPr>
        <w:pStyle w:val="ListParagraph"/>
        <w:numPr>
          <w:ilvl w:val="0"/>
          <w:numId w:val="15"/>
        </w:numPr>
      </w:pPr>
      <w:r w:rsidRPr="001A2E45">
        <w:t>For Indigenous status by PHN, populations were estimated using a fitted values based on Census counts, followed by Iterative Proportional Fitting of relevant ABS population estimates, together with ABS geographic correspondences.</w:t>
      </w:r>
    </w:p>
    <w:p w14:paraId="710AA838" w14:textId="77777777" w:rsidR="004B1271" w:rsidRDefault="004B1271" w:rsidP="004B1271"/>
    <w:p w14:paraId="40E47131" w14:textId="77777777" w:rsidR="004B1271" w:rsidRDefault="004B1271" w:rsidP="004B1271">
      <w:pPr>
        <w:pStyle w:val="Heading2"/>
      </w:pPr>
      <w:r>
        <w:lastRenderedPageBreak/>
        <w:t xml:space="preserve">Remoteness and socioeconomic analysis </w:t>
      </w:r>
    </w:p>
    <w:p w14:paraId="16D74097" w14:textId="77777777" w:rsidR="004B1271" w:rsidRDefault="004B1271" w:rsidP="004B1271">
      <w:r>
        <w:t xml:space="preserve">SA3s were grouped into remoteness categories and socioeconomic quintiles based on the ABS ASGS 2016 and the ABS Socio-Economic Indexes for Areas (SEIFA) 2016, respectively. Data by SA3 were assigned to remoteness and socioeconomic groups using this method of grouping. Owing to the method used, national data by remoteness and socioeconomic status in this report may differ slightly from equivalent data calculated using the geographic unit (postcode, SLA or SA2) recorded on the individual records. However, it is expected that the overall patterns would be similar. For more information on SEIFA 2016, see </w:t>
      </w:r>
      <w:hyperlink r:id="rId34" w:history="1">
        <w:r w:rsidRPr="00773138">
          <w:rPr>
            <w:rStyle w:val="Hyperlink"/>
          </w:rPr>
          <w:t>https://meteor.aihw.gov.au/content/index.phtml/itemId/695778</w:t>
        </w:r>
      </w:hyperlink>
      <w:r>
        <w:t>.</w:t>
      </w:r>
    </w:p>
    <w:p w14:paraId="5AD5A7E3" w14:textId="77777777" w:rsidR="004B1271" w:rsidRDefault="004B1271" w:rsidP="004B1271"/>
    <w:p w14:paraId="519690CC" w14:textId="77777777" w:rsidR="004B1271" w:rsidRDefault="004B1271" w:rsidP="004B1271">
      <w:pPr>
        <w:pStyle w:val="Heading3"/>
      </w:pPr>
      <w:r>
        <w:t xml:space="preserve">Derived remoteness categories </w:t>
      </w:r>
    </w:p>
    <w:p w14:paraId="183DBA14" w14:textId="77777777" w:rsidR="004B1271" w:rsidRDefault="004B1271" w:rsidP="004B1271">
      <w:r>
        <w:t xml:space="preserve">The ABS ASGS 2016 remoteness categories divide Australia into broad geographic regions that share common characteristics of remoteness for statistical purposes. These categories divide each state and territory into several regions based on their relative access to services. </w:t>
      </w:r>
    </w:p>
    <w:p w14:paraId="13184E2F" w14:textId="77777777" w:rsidR="004B1271" w:rsidRDefault="004B1271" w:rsidP="004B1271">
      <w:r>
        <w:t xml:space="preserve">The following remoteness categories are used: </w:t>
      </w:r>
    </w:p>
    <w:p w14:paraId="267C2E67" w14:textId="77777777" w:rsidR="004B1271" w:rsidRDefault="004B1271" w:rsidP="004B1271">
      <w:pPr>
        <w:pStyle w:val="ListParagraph"/>
        <w:numPr>
          <w:ilvl w:val="0"/>
          <w:numId w:val="14"/>
        </w:numPr>
      </w:pPr>
      <w:r>
        <w:t xml:space="preserve">Major cities </w:t>
      </w:r>
    </w:p>
    <w:p w14:paraId="050CEA48" w14:textId="77777777" w:rsidR="004B1271" w:rsidRDefault="004B1271" w:rsidP="004B1271">
      <w:pPr>
        <w:pStyle w:val="ListParagraph"/>
        <w:numPr>
          <w:ilvl w:val="0"/>
          <w:numId w:val="14"/>
        </w:numPr>
      </w:pPr>
      <w:r>
        <w:t xml:space="preserve">Inner regional </w:t>
      </w:r>
    </w:p>
    <w:p w14:paraId="5B847CDC" w14:textId="77777777" w:rsidR="004B1271" w:rsidRDefault="004B1271" w:rsidP="004B1271">
      <w:pPr>
        <w:pStyle w:val="ListParagraph"/>
        <w:numPr>
          <w:ilvl w:val="0"/>
          <w:numId w:val="14"/>
        </w:numPr>
      </w:pPr>
      <w:r>
        <w:t xml:space="preserve">Outer regional </w:t>
      </w:r>
    </w:p>
    <w:p w14:paraId="04B6E050" w14:textId="77777777" w:rsidR="004B1271" w:rsidRDefault="004B1271" w:rsidP="004B1271">
      <w:pPr>
        <w:pStyle w:val="ListParagraph"/>
        <w:numPr>
          <w:ilvl w:val="0"/>
          <w:numId w:val="14"/>
        </w:numPr>
      </w:pPr>
      <w:r>
        <w:t xml:space="preserve">Remote </w:t>
      </w:r>
    </w:p>
    <w:p w14:paraId="76C80F1D" w14:textId="77777777" w:rsidR="004B1271" w:rsidRDefault="004B1271" w:rsidP="004B1271">
      <w:pPr>
        <w:pStyle w:val="ListParagraph"/>
        <w:numPr>
          <w:ilvl w:val="0"/>
          <w:numId w:val="14"/>
        </w:numPr>
      </w:pPr>
      <w:r>
        <w:t xml:space="preserve">Very remote. </w:t>
      </w:r>
    </w:p>
    <w:p w14:paraId="73F8B242" w14:textId="77777777" w:rsidR="004B1271" w:rsidRDefault="004B1271" w:rsidP="004B1271">
      <w:r>
        <w:t xml:space="preserve">The ABS published a remoteness category for each SA1 available at </w:t>
      </w:r>
      <w:hyperlink r:id="rId35" w:history="1">
        <w:r w:rsidRPr="00773138">
          <w:rPr>
            <w:rStyle w:val="Hyperlink"/>
          </w:rPr>
          <w:t>www.abs.gov.au/AUSSTATS/abs@.nsf/DetailsPage/1270.0.55.005July%202016?OpenDocument</w:t>
        </w:r>
      </w:hyperlink>
      <w:r>
        <w:t>. SA1 population was allocated to a remoteness category using the correspondence SA1 to remoteness area, and remoteness category was allocated to an SA3 using the hierarchy of SA1 to SA3 (</w:t>
      </w:r>
      <w:hyperlink r:id="rId36" w:history="1">
        <w:r w:rsidRPr="00773138">
          <w:rPr>
            <w:rStyle w:val="Hyperlink"/>
          </w:rPr>
          <w:t>https://meteor.aihw.gov.au/content/index.phtml/itemId/659750</w:t>
        </w:r>
      </w:hyperlink>
      <w:r>
        <w:t>). Total population in each remoteness category was calculated for each SA3. The remoteness category with the largest population was selected for the SA3.</w:t>
      </w:r>
    </w:p>
    <w:p w14:paraId="26DB8F61" w14:textId="77777777" w:rsidR="004B1271" w:rsidRDefault="004B1271" w:rsidP="004B1271"/>
    <w:p w14:paraId="50184A63" w14:textId="77777777" w:rsidR="004B1271" w:rsidRDefault="004B1271" w:rsidP="004B1271">
      <w:pPr>
        <w:pStyle w:val="Heading3"/>
      </w:pPr>
      <w:r>
        <w:t xml:space="preserve">Derived socioeconomic quintiles </w:t>
      </w:r>
    </w:p>
    <w:p w14:paraId="4EEAA31D" w14:textId="77777777" w:rsidR="004B1271" w:rsidRDefault="004B1271" w:rsidP="004B1271">
      <w:r>
        <w:t>There are four indexes in SEIFA 2016 and Index of Relative Socio-Economic Disadvantage (IRSD) 2016 was used for socioeconomic analysis. IRSD 2016 ranks areas in Australia according to relative socioeconomic disadvantage. The index is based on information collected in the 2016 Census on different aspects of disadvantage, such as low income, low educational attainment, and high unemployment. A low score indicates a high proportion of relatively disadvantaged people in an area. For example, an area could have a high proportion of people without educational qualifications or working in low-skill occupations. In contrast, a high score indicates a low proportion of relatively disadvantaged people in an area. It is important to note that the index reflects the overall socioeconomic position of the population in an area, and that the socioeconomic position of individuals in that area may vary.</w:t>
      </w:r>
    </w:p>
    <w:p w14:paraId="1A805FA3" w14:textId="77777777" w:rsidR="004B1271" w:rsidRDefault="004B1271" w:rsidP="004B1271">
      <w:r>
        <w:t xml:space="preserve">The ABS published an index value for each SA1 available at </w:t>
      </w:r>
      <w:hyperlink r:id="rId37" w:history="1">
        <w:r w:rsidRPr="00773138">
          <w:rPr>
            <w:rStyle w:val="Hyperlink"/>
          </w:rPr>
          <w:t>www.abs.gov.au/AUSSTATS/abs@.nsf/DetailsPage/2033.0.55.0012016?OpenDocument</w:t>
        </w:r>
      </w:hyperlink>
      <w:r>
        <w:t>. SA1s are ranked according to their level of disadvantage (index value) and grouped into 10 equal categories (deciles), with the lowest category reflecting the lowest 10% of areas with the greatest overall level of disadvantage. For each SA3, the deciles were combined to form quintiles and the number of SA1s in each quintile was calculated. The quintile with the largest number of SA1s was selected as the quintile for the SA3.</w:t>
      </w:r>
    </w:p>
    <w:p w14:paraId="49E1AA5C" w14:textId="77777777" w:rsidR="004B1271" w:rsidRDefault="004B1271" w:rsidP="004B1271"/>
    <w:p w14:paraId="71516376" w14:textId="77777777" w:rsidR="004B1271" w:rsidRDefault="004B1271" w:rsidP="004B1271">
      <w:pPr>
        <w:pStyle w:val="Heading3"/>
      </w:pPr>
      <w:r>
        <w:t xml:space="preserve">Combining remoteness and socioeconomic quintiles </w:t>
      </w:r>
    </w:p>
    <w:p w14:paraId="5A61901D" w14:textId="77777777" w:rsidR="004B1271" w:rsidRDefault="004B1271" w:rsidP="004B1271">
      <w:r>
        <w:t xml:space="preserve">When remoteness categories and socioeconomic quintiles are combined, there are 25 combinations to which SA3s can be assigned. Some categories and quintiles were combined to ensure that each of the final 14 combinations contained at least six SA3s for comparison purposes (Table 2). </w:t>
      </w:r>
      <w:r>
        <w:cr/>
      </w:r>
    </w:p>
    <w:p w14:paraId="6BE29840" w14:textId="77777777" w:rsidR="004B1271" w:rsidRDefault="004B1271" w:rsidP="004B1271">
      <w:pPr>
        <w:pStyle w:val="TableCaption"/>
      </w:pPr>
      <w:r>
        <w:t>Number* of SA3s by combined remoteness categories and socioeconomic quintiles</w:t>
      </w:r>
    </w:p>
    <w:tbl>
      <w:tblPr>
        <w:tblStyle w:val="SQHTable"/>
        <w:tblW w:w="0" w:type="auto"/>
        <w:tblBorders>
          <w:top w:val="single" w:sz="12" w:space="0" w:color="421A75" w:themeColor="accent1"/>
          <w:left w:val="single" w:sz="12" w:space="0" w:color="421A75" w:themeColor="accent1"/>
          <w:bottom w:val="single" w:sz="12" w:space="0" w:color="421A75" w:themeColor="accent1"/>
          <w:right w:val="single" w:sz="12" w:space="0" w:color="421A75" w:themeColor="accent1"/>
          <w:insideH w:val="single" w:sz="12" w:space="0" w:color="421A75" w:themeColor="accent1"/>
          <w:insideV w:val="single" w:sz="12" w:space="0" w:color="421A75" w:themeColor="accent1"/>
        </w:tblBorders>
        <w:tblLook w:val="04A0" w:firstRow="1" w:lastRow="0" w:firstColumn="1" w:lastColumn="0" w:noHBand="0" w:noVBand="1"/>
      </w:tblPr>
      <w:tblGrid>
        <w:gridCol w:w="2451"/>
        <w:gridCol w:w="1227"/>
        <w:gridCol w:w="1227"/>
        <w:gridCol w:w="1228"/>
        <w:gridCol w:w="1227"/>
        <w:gridCol w:w="1228"/>
      </w:tblGrid>
      <w:tr w:rsidR="004B1271" w14:paraId="1FA60280" w14:textId="77777777" w:rsidTr="000968D9">
        <w:trPr>
          <w:cnfStyle w:val="100000000000" w:firstRow="1" w:lastRow="0" w:firstColumn="0" w:lastColumn="0" w:oddVBand="0" w:evenVBand="0" w:oddHBand="0" w:evenHBand="0" w:firstRowFirstColumn="0" w:firstRowLastColumn="0" w:lastRowFirstColumn="0" w:lastRowLastColumn="0"/>
          <w:trHeight w:val="240"/>
        </w:trPr>
        <w:tc>
          <w:tcPr>
            <w:tcW w:w="2451" w:type="dxa"/>
            <w:tcBorders>
              <w:top w:val="single" w:sz="2" w:space="0" w:color="421A75" w:themeColor="accent1"/>
              <w:left w:val="single" w:sz="2" w:space="0" w:color="421A75" w:themeColor="accent1"/>
              <w:bottom w:val="single" w:sz="2" w:space="0" w:color="421A75" w:themeColor="accent1"/>
              <w:right w:val="single" w:sz="2" w:space="0" w:color="421A75" w:themeColor="accent1"/>
            </w:tcBorders>
          </w:tcPr>
          <w:p w14:paraId="6EF7C8C8" w14:textId="77777777" w:rsidR="004B1271" w:rsidRPr="00E63F12" w:rsidRDefault="004B1271" w:rsidP="000968D9">
            <w:r>
              <w:t>Remoteness</w:t>
            </w:r>
          </w:p>
        </w:tc>
        <w:tc>
          <w:tcPr>
            <w:tcW w:w="6137" w:type="dxa"/>
            <w:gridSpan w:val="5"/>
            <w:tcBorders>
              <w:top w:val="single" w:sz="2" w:space="0" w:color="421A75" w:themeColor="accent1"/>
              <w:left w:val="single" w:sz="2" w:space="0" w:color="421A75" w:themeColor="accent1"/>
              <w:bottom w:val="single" w:sz="2" w:space="0" w:color="421A75" w:themeColor="accent1"/>
              <w:right w:val="single" w:sz="2" w:space="0" w:color="421A75" w:themeColor="accent1"/>
            </w:tcBorders>
            <w:vAlign w:val="center"/>
          </w:tcPr>
          <w:p w14:paraId="32DE9279" w14:textId="77777777" w:rsidR="004B1271" w:rsidRDefault="004B1271" w:rsidP="000968D9">
            <w:pPr>
              <w:jc w:val="center"/>
            </w:pPr>
            <w:r>
              <w:t>Socioeconomic quintiles</w:t>
            </w:r>
          </w:p>
        </w:tc>
      </w:tr>
      <w:tr w:rsidR="004B1271" w14:paraId="47ED4C6A" w14:textId="77777777" w:rsidTr="000968D9">
        <w:trPr>
          <w:trHeight w:val="240"/>
        </w:trPr>
        <w:tc>
          <w:tcPr>
            <w:tcW w:w="2451" w:type="dxa"/>
            <w:tcBorders>
              <w:top w:val="single" w:sz="2" w:space="0" w:color="421A75" w:themeColor="accent1"/>
              <w:left w:val="single" w:sz="2" w:space="0" w:color="421A75" w:themeColor="accent1"/>
              <w:bottom w:val="single" w:sz="2" w:space="0" w:color="421A75" w:themeColor="accent1"/>
              <w:right w:val="single" w:sz="2" w:space="0" w:color="421A75" w:themeColor="accent1"/>
            </w:tcBorders>
            <w:shd w:val="clear" w:color="auto" w:fill="421A75" w:themeFill="accent1"/>
          </w:tcPr>
          <w:p w14:paraId="3EBABA79" w14:textId="77777777" w:rsidR="004B1271" w:rsidRPr="00E63F12" w:rsidRDefault="004B1271" w:rsidP="000968D9"/>
        </w:tc>
        <w:tc>
          <w:tcPr>
            <w:tcW w:w="1227" w:type="dxa"/>
            <w:tcBorders>
              <w:top w:val="single" w:sz="2" w:space="0" w:color="421A75" w:themeColor="accent1"/>
              <w:left w:val="single" w:sz="2" w:space="0" w:color="421A75" w:themeColor="accent1"/>
              <w:bottom w:val="single" w:sz="2" w:space="0" w:color="421A75" w:themeColor="accent1"/>
              <w:right w:val="single" w:sz="2" w:space="0" w:color="421A75" w:themeColor="accent1"/>
            </w:tcBorders>
            <w:shd w:val="clear" w:color="auto" w:fill="421A75" w:themeFill="accent1"/>
            <w:vAlign w:val="center"/>
          </w:tcPr>
          <w:p w14:paraId="1C9082DC" w14:textId="77777777" w:rsidR="004B1271" w:rsidRPr="002736A6" w:rsidRDefault="004B1271" w:rsidP="000968D9">
            <w:pPr>
              <w:jc w:val="center"/>
              <w:rPr>
                <w:b/>
                <w:bCs/>
                <w:color w:val="FFFFFF" w:themeColor="background1"/>
              </w:rPr>
            </w:pPr>
            <w:r w:rsidRPr="002736A6">
              <w:rPr>
                <w:b/>
                <w:bCs/>
                <w:color w:val="FFFFFF" w:themeColor="background1"/>
              </w:rPr>
              <w:t>1 (Low)</w:t>
            </w:r>
          </w:p>
        </w:tc>
        <w:tc>
          <w:tcPr>
            <w:tcW w:w="1227" w:type="dxa"/>
            <w:tcBorders>
              <w:top w:val="single" w:sz="2" w:space="0" w:color="421A75" w:themeColor="accent1"/>
              <w:left w:val="single" w:sz="2" w:space="0" w:color="421A75" w:themeColor="accent1"/>
              <w:bottom w:val="single" w:sz="2" w:space="0" w:color="421A75" w:themeColor="accent1"/>
              <w:right w:val="single" w:sz="2" w:space="0" w:color="421A75" w:themeColor="accent1"/>
            </w:tcBorders>
            <w:shd w:val="clear" w:color="auto" w:fill="421A75" w:themeFill="accent1"/>
            <w:vAlign w:val="center"/>
          </w:tcPr>
          <w:p w14:paraId="6EF8EFA9" w14:textId="77777777" w:rsidR="004B1271" w:rsidRPr="002736A6" w:rsidRDefault="004B1271" w:rsidP="000968D9">
            <w:pPr>
              <w:jc w:val="center"/>
              <w:rPr>
                <w:b/>
                <w:bCs/>
                <w:color w:val="FFFFFF" w:themeColor="background1"/>
              </w:rPr>
            </w:pPr>
            <w:r w:rsidRPr="002736A6">
              <w:rPr>
                <w:b/>
                <w:bCs/>
                <w:color w:val="FFFFFF" w:themeColor="background1"/>
              </w:rPr>
              <w:t>2</w:t>
            </w:r>
          </w:p>
        </w:tc>
        <w:tc>
          <w:tcPr>
            <w:tcW w:w="1228" w:type="dxa"/>
            <w:tcBorders>
              <w:top w:val="single" w:sz="2" w:space="0" w:color="421A75" w:themeColor="accent1"/>
              <w:left w:val="single" w:sz="2" w:space="0" w:color="421A75" w:themeColor="accent1"/>
              <w:bottom w:val="single" w:sz="2" w:space="0" w:color="421A75" w:themeColor="accent1"/>
              <w:right w:val="single" w:sz="2" w:space="0" w:color="421A75" w:themeColor="accent1"/>
            </w:tcBorders>
            <w:shd w:val="clear" w:color="auto" w:fill="421A75" w:themeFill="accent1"/>
            <w:vAlign w:val="center"/>
          </w:tcPr>
          <w:p w14:paraId="5F0F1A02" w14:textId="77777777" w:rsidR="004B1271" w:rsidRPr="002736A6" w:rsidRDefault="004B1271" w:rsidP="000968D9">
            <w:pPr>
              <w:jc w:val="center"/>
              <w:rPr>
                <w:b/>
                <w:bCs/>
                <w:color w:val="FFFFFF" w:themeColor="background1"/>
              </w:rPr>
            </w:pPr>
            <w:r w:rsidRPr="002736A6">
              <w:rPr>
                <w:b/>
                <w:bCs/>
                <w:color w:val="FFFFFF" w:themeColor="background1"/>
              </w:rPr>
              <w:t>3</w:t>
            </w:r>
          </w:p>
        </w:tc>
        <w:tc>
          <w:tcPr>
            <w:tcW w:w="1227" w:type="dxa"/>
            <w:tcBorders>
              <w:top w:val="single" w:sz="2" w:space="0" w:color="421A75" w:themeColor="accent1"/>
              <w:left w:val="single" w:sz="2" w:space="0" w:color="421A75" w:themeColor="accent1"/>
              <w:bottom w:val="single" w:sz="2" w:space="0" w:color="421A75" w:themeColor="accent1"/>
              <w:right w:val="single" w:sz="2" w:space="0" w:color="421A75" w:themeColor="accent1"/>
            </w:tcBorders>
            <w:shd w:val="clear" w:color="auto" w:fill="421A75" w:themeFill="accent1"/>
            <w:vAlign w:val="center"/>
          </w:tcPr>
          <w:p w14:paraId="6165A30E" w14:textId="77777777" w:rsidR="004B1271" w:rsidRPr="002736A6" w:rsidRDefault="004B1271" w:rsidP="000968D9">
            <w:pPr>
              <w:jc w:val="center"/>
              <w:rPr>
                <w:b/>
                <w:bCs/>
                <w:color w:val="FFFFFF" w:themeColor="background1"/>
              </w:rPr>
            </w:pPr>
            <w:r w:rsidRPr="002736A6">
              <w:rPr>
                <w:b/>
                <w:bCs/>
                <w:color w:val="FFFFFF" w:themeColor="background1"/>
              </w:rPr>
              <w:t>4</w:t>
            </w:r>
          </w:p>
        </w:tc>
        <w:tc>
          <w:tcPr>
            <w:tcW w:w="1228" w:type="dxa"/>
            <w:tcBorders>
              <w:top w:val="single" w:sz="2" w:space="0" w:color="421A75" w:themeColor="accent1"/>
              <w:left w:val="single" w:sz="2" w:space="0" w:color="421A75" w:themeColor="accent1"/>
              <w:bottom w:val="single" w:sz="2" w:space="0" w:color="421A75" w:themeColor="accent1"/>
              <w:right w:val="single" w:sz="2" w:space="0" w:color="421A75" w:themeColor="accent1"/>
            </w:tcBorders>
            <w:shd w:val="clear" w:color="auto" w:fill="421A75" w:themeFill="accent1"/>
            <w:vAlign w:val="center"/>
          </w:tcPr>
          <w:p w14:paraId="132D323F" w14:textId="77777777" w:rsidR="004B1271" w:rsidRPr="002736A6" w:rsidRDefault="004B1271" w:rsidP="000968D9">
            <w:pPr>
              <w:jc w:val="center"/>
              <w:rPr>
                <w:b/>
                <w:bCs/>
                <w:color w:val="FFFFFF" w:themeColor="background1"/>
              </w:rPr>
            </w:pPr>
            <w:r w:rsidRPr="002736A6">
              <w:rPr>
                <w:b/>
                <w:bCs/>
                <w:color w:val="FFFFFF" w:themeColor="background1"/>
              </w:rPr>
              <w:t>5 (High)</w:t>
            </w:r>
          </w:p>
        </w:tc>
      </w:tr>
      <w:tr w:rsidR="004B1271" w14:paraId="761F9566" w14:textId="77777777" w:rsidTr="000968D9">
        <w:trPr>
          <w:cnfStyle w:val="000000010000" w:firstRow="0" w:lastRow="0" w:firstColumn="0" w:lastColumn="0" w:oddVBand="0" w:evenVBand="0" w:oddHBand="0" w:evenHBand="1" w:firstRowFirstColumn="0" w:firstRowLastColumn="0" w:lastRowFirstColumn="0" w:lastRowLastColumn="0"/>
          <w:trHeight w:val="240"/>
        </w:trPr>
        <w:tc>
          <w:tcPr>
            <w:tcW w:w="2451" w:type="dxa"/>
            <w:tcBorders>
              <w:top w:val="single" w:sz="2" w:space="0" w:color="421A75" w:themeColor="accent1"/>
              <w:left w:val="single" w:sz="2" w:space="0" w:color="421A75" w:themeColor="accent1"/>
              <w:bottom w:val="single" w:sz="2" w:space="0" w:color="421A75" w:themeColor="accent1"/>
              <w:right w:val="single" w:sz="2" w:space="0" w:color="421A75" w:themeColor="accent1"/>
            </w:tcBorders>
          </w:tcPr>
          <w:p w14:paraId="75995AD1" w14:textId="77777777" w:rsidR="004B1271" w:rsidRPr="00E63F12" w:rsidRDefault="004B1271" w:rsidP="000968D9">
            <w:pPr>
              <w:spacing w:line="260" w:lineRule="atLeast"/>
            </w:pPr>
            <w:r w:rsidRPr="00E63F12">
              <w:t>Major cities</w:t>
            </w:r>
          </w:p>
        </w:tc>
        <w:tc>
          <w:tcPr>
            <w:tcW w:w="1227" w:type="dxa"/>
            <w:tcBorders>
              <w:top w:val="single" w:sz="2" w:space="0" w:color="421A75" w:themeColor="accent1"/>
              <w:left w:val="single" w:sz="2" w:space="0" w:color="421A75" w:themeColor="accent1"/>
              <w:bottom w:val="single" w:sz="2" w:space="0" w:color="421A75" w:themeColor="accent1"/>
              <w:right w:val="single" w:sz="2" w:space="0" w:color="421A75" w:themeColor="accent1"/>
            </w:tcBorders>
            <w:vAlign w:val="center"/>
          </w:tcPr>
          <w:p w14:paraId="173DFBBD" w14:textId="77777777" w:rsidR="004B1271" w:rsidRPr="00AC0D8A" w:rsidRDefault="004B1271" w:rsidP="000968D9">
            <w:pPr>
              <w:jc w:val="center"/>
            </w:pPr>
            <w:r>
              <w:t>29</w:t>
            </w:r>
          </w:p>
        </w:tc>
        <w:tc>
          <w:tcPr>
            <w:tcW w:w="1227" w:type="dxa"/>
            <w:tcBorders>
              <w:top w:val="single" w:sz="2" w:space="0" w:color="421A75" w:themeColor="accent1"/>
              <w:left w:val="single" w:sz="2" w:space="0" w:color="421A75" w:themeColor="accent1"/>
              <w:bottom w:val="single" w:sz="2" w:space="0" w:color="421A75" w:themeColor="accent1"/>
              <w:right w:val="single" w:sz="2" w:space="0" w:color="421A75" w:themeColor="accent1"/>
            </w:tcBorders>
            <w:vAlign w:val="center"/>
          </w:tcPr>
          <w:p w14:paraId="3FEF4638" w14:textId="77777777" w:rsidR="004B1271" w:rsidRPr="00AC0D8A" w:rsidRDefault="004B1271" w:rsidP="000968D9">
            <w:pPr>
              <w:jc w:val="center"/>
            </w:pPr>
            <w:r>
              <w:t>22</w:t>
            </w:r>
          </w:p>
        </w:tc>
        <w:tc>
          <w:tcPr>
            <w:tcW w:w="1228" w:type="dxa"/>
            <w:tcBorders>
              <w:top w:val="single" w:sz="2" w:space="0" w:color="421A75" w:themeColor="accent1"/>
              <w:left w:val="single" w:sz="2" w:space="0" w:color="421A75" w:themeColor="accent1"/>
              <w:bottom w:val="single" w:sz="2" w:space="0" w:color="421A75" w:themeColor="accent1"/>
              <w:right w:val="single" w:sz="2" w:space="0" w:color="421A75" w:themeColor="accent1"/>
            </w:tcBorders>
            <w:vAlign w:val="center"/>
          </w:tcPr>
          <w:p w14:paraId="5965B3E6" w14:textId="77777777" w:rsidR="004B1271" w:rsidRPr="00AC0D8A" w:rsidRDefault="004B1271" w:rsidP="000968D9">
            <w:pPr>
              <w:jc w:val="center"/>
            </w:pPr>
            <w:r>
              <w:t>35</w:t>
            </w:r>
          </w:p>
        </w:tc>
        <w:tc>
          <w:tcPr>
            <w:tcW w:w="1227" w:type="dxa"/>
            <w:tcBorders>
              <w:top w:val="single" w:sz="2" w:space="0" w:color="421A75" w:themeColor="accent1"/>
              <w:left w:val="single" w:sz="2" w:space="0" w:color="421A75" w:themeColor="accent1"/>
              <w:bottom w:val="single" w:sz="2" w:space="0" w:color="421A75" w:themeColor="accent1"/>
              <w:right w:val="single" w:sz="2" w:space="0" w:color="421A75" w:themeColor="accent1"/>
            </w:tcBorders>
            <w:vAlign w:val="center"/>
          </w:tcPr>
          <w:p w14:paraId="2DB36B6D" w14:textId="77777777" w:rsidR="004B1271" w:rsidRPr="00AC0D8A" w:rsidRDefault="004B1271" w:rsidP="000968D9">
            <w:pPr>
              <w:jc w:val="center"/>
            </w:pPr>
            <w:r>
              <w:t>41</w:t>
            </w:r>
          </w:p>
        </w:tc>
        <w:tc>
          <w:tcPr>
            <w:tcW w:w="1228" w:type="dxa"/>
            <w:tcBorders>
              <w:top w:val="single" w:sz="2" w:space="0" w:color="421A75" w:themeColor="accent1"/>
              <w:left w:val="single" w:sz="2" w:space="0" w:color="421A75" w:themeColor="accent1"/>
              <w:bottom w:val="single" w:sz="2" w:space="0" w:color="421A75" w:themeColor="accent1"/>
              <w:right w:val="single" w:sz="2" w:space="0" w:color="421A75" w:themeColor="accent1"/>
            </w:tcBorders>
            <w:vAlign w:val="center"/>
          </w:tcPr>
          <w:p w14:paraId="572D0B83" w14:textId="77777777" w:rsidR="004B1271" w:rsidRPr="00AC0D8A" w:rsidRDefault="004B1271" w:rsidP="000968D9">
            <w:pPr>
              <w:jc w:val="center"/>
            </w:pPr>
            <w:r>
              <w:t>63</w:t>
            </w:r>
          </w:p>
        </w:tc>
      </w:tr>
      <w:tr w:rsidR="004B1271" w14:paraId="2DF82334" w14:textId="77777777" w:rsidTr="000968D9">
        <w:trPr>
          <w:trHeight w:val="240"/>
        </w:trPr>
        <w:tc>
          <w:tcPr>
            <w:tcW w:w="2451" w:type="dxa"/>
            <w:tcBorders>
              <w:top w:val="single" w:sz="2" w:space="0" w:color="421A75" w:themeColor="accent1"/>
              <w:left w:val="single" w:sz="2" w:space="0" w:color="421A75" w:themeColor="accent1"/>
              <w:bottom w:val="single" w:sz="2" w:space="0" w:color="421A75" w:themeColor="accent1"/>
              <w:right w:val="single" w:sz="2" w:space="0" w:color="421A75" w:themeColor="accent1"/>
            </w:tcBorders>
          </w:tcPr>
          <w:p w14:paraId="34B37114" w14:textId="77777777" w:rsidR="004B1271" w:rsidRPr="00E63F12" w:rsidRDefault="004B1271" w:rsidP="000968D9">
            <w:pPr>
              <w:spacing w:line="260" w:lineRule="atLeast"/>
            </w:pPr>
            <w:r w:rsidRPr="00E63F12">
              <w:t>Inner regional</w:t>
            </w:r>
          </w:p>
        </w:tc>
        <w:tc>
          <w:tcPr>
            <w:tcW w:w="1227" w:type="dxa"/>
            <w:tcBorders>
              <w:top w:val="single" w:sz="2" w:space="0" w:color="421A75" w:themeColor="accent1"/>
              <w:left w:val="single" w:sz="2" w:space="0" w:color="421A75" w:themeColor="accent1"/>
              <w:bottom w:val="single" w:sz="2" w:space="0" w:color="421A75" w:themeColor="accent1"/>
              <w:right w:val="single" w:sz="2" w:space="0" w:color="421A75" w:themeColor="accent1"/>
            </w:tcBorders>
            <w:vAlign w:val="center"/>
          </w:tcPr>
          <w:p w14:paraId="6305CC07" w14:textId="77777777" w:rsidR="004B1271" w:rsidRPr="00AC0D8A" w:rsidRDefault="004B1271" w:rsidP="000968D9">
            <w:pPr>
              <w:jc w:val="center"/>
            </w:pPr>
            <w:r>
              <w:t>37</w:t>
            </w:r>
          </w:p>
        </w:tc>
        <w:tc>
          <w:tcPr>
            <w:tcW w:w="1227" w:type="dxa"/>
            <w:tcBorders>
              <w:top w:val="single" w:sz="2" w:space="0" w:color="421A75" w:themeColor="accent1"/>
              <w:left w:val="single" w:sz="2" w:space="0" w:color="421A75" w:themeColor="accent1"/>
              <w:bottom w:val="single" w:sz="2" w:space="0" w:color="421A75" w:themeColor="accent1"/>
              <w:right w:val="single" w:sz="2" w:space="0" w:color="421A75" w:themeColor="accent1"/>
            </w:tcBorders>
            <w:vAlign w:val="center"/>
          </w:tcPr>
          <w:p w14:paraId="7071187C" w14:textId="77777777" w:rsidR="004B1271" w:rsidRPr="00AC0D8A" w:rsidRDefault="004B1271" w:rsidP="000968D9">
            <w:pPr>
              <w:jc w:val="center"/>
            </w:pPr>
            <w:r>
              <w:t>23</w:t>
            </w:r>
          </w:p>
        </w:tc>
        <w:tc>
          <w:tcPr>
            <w:tcW w:w="1228" w:type="dxa"/>
            <w:tcBorders>
              <w:top w:val="single" w:sz="2" w:space="0" w:color="421A75" w:themeColor="accent1"/>
              <w:left w:val="single" w:sz="2" w:space="0" w:color="421A75" w:themeColor="accent1"/>
              <w:bottom w:val="single" w:sz="2" w:space="0" w:color="421A75" w:themeColor="accent1"/>
              <w:right w:val="single" w:sz="2" w:space="0" w:color="421A75" w:themeColor="accent1"/>
            </w:tcBorders>
            <w:vAlign w:val="center"/>
          </w:tcPr>
          <w:p w14:paraId="3DC5351F" w14:textId="77777777" w:rsidR="004B1271" w:rsidRPr="00AC0D8A" w:rsidRDefault="004B1271" w:rsidP="000968D9">
            <w:pPr>
              <w:jc w:val="center"/>
            </w:pPr>
            <w:r>
              <w:t>11</w:t>
            </w:r>
          </w:p>
        </w:tc>
        <w:tc>
          <w:tcPr>
            <w:tcW w:w="2455" w:type="dxa"/>
            <w:gridSpan w:val="2"/>
            <w:tcBorders>
              <w:top w:val="single" w:sz="2" w:space="0" w:color="421A75" w:themeColor="accent1"/>
              <w:left w:val="single" w:sz="2" w:space="0" w:color="421A75" w:themeColor="accent1"/>
              <w:bottom w:val="single" w:sz="2" w:space="0" w:color="421A75" w:themeColor="accent1"/>
              <w:right w:val="single" w:sz="2" w:space="0" w:color="421A75" w:themeColor="accent1"/>
            </w:tcBorders>
            <w:vAlign w:val="center"/>
          </w:tcPr>
          <w:p w14:paraId="5193CBA4" w14:textId="77777777" w:rsidR="004B1271" w:rsidRPr="00AC0D8A" w:rsidRDefault="004B1271" w:rsidP="000968D9">
            <w:pPr>
              <w:jc w:val="center"/>
            </w:pPr>
            <w:r>
              <w:t>11</w:t>
            </w:r>
            <w:r w:rsidRPr="00060280">
              <w:rPr>
                <w:rFonts w:cs="Arial"/>
                <w:vertAlign w:val="superscript"/>
              </w:rPr>
              <w:t>†</w:t>
            </w:r>
          </w:p>
        </w:tc>
      </w:tr>
      <w:tr w:rsidR="004B1271" w14:paraId="3F538292" w14:textId="77777777" w:rsidTr="000968D9">
        <w:trPr>
          <w:cnfStyle w:val="000000010000" w:firstRow="0" w:lastRow="0" w:firstColumn="0" w:lastColumn="0" w:oddVBand="0" w:evenVBand="0" w:oddHBand="0" w:evenHBand="1" w:firstRowFirstColumn="0" w:firstRowLastColumn="0" w:lastRowFirstColumn="0" w:lastRowLastColumn="0"/>
          <w:trHeight w:val="240"/>
        </w:trPr>
        <w:tc>
          <w:tcPr>
            <w:tcW w:w="2451" w:type="dxa"/>
            <w:tcBorders>
              <w:top w:val="single" w:sz="2" w:space="0" w:color="421A75" w:themeColor="accent1"/>
              <w:left w:val="single" w:sz="2" w:space="0" w:color="421A75" w:themeColor="accent1"/>
              <w:bottom w:val="single" w:sz="2" w:space="0" w:color="421A75" w:themeColor="accent1"/>
              <w:right w:val="single" w:sz="2" w:space="0" w:color="421A75" w:themeColor="accent1"/>
            </w:tcBorders>
          </w:tcPr>
          <w:p w14:paraId="236B4674" w14:textId="77777777" w:rsidR="004B1271" w:rsidRPr="00E63F12" w:rsidRDefault="004B1271" w:rsidP="000968D9">
            <w:pPr>
              <w:spacing w:line="260" w:lineRule="atLeast"/>
            </w:pPr>
            <w:r w:rsidRPr="00E63F12">
              <w:t>Outer regional</w:t>
            </w:r>
          </w:p>
        </w:tc>
        <w:tc>
          <w:tcPr>
            <w:tcW w:w="1227" w:type="dxa"/>
            <w:tcBorders>
              <w:top w:val="single" w:sz="2" w:space="0" w:color="421A75" w:themeColor="accent1"/>
              <w:left w:val="single" w:sz="2" w:space="0" w:color="421A75" w:themeColor="accent1"/>
              <w:bottom w:val="single" w:sz="2" w:space="0" w:color="421A75" w:themeColor="accent1"/>
              <w:right w:val="single" w:sz="2" w:space="0" w:color="421A75" w:themeColor="accent1"/>
            </w:tcBorders>
            <w:vAlign w:val="center"/>
          </w:tcPr>
          <w:p w14:paraId="657A8B55" w14:textId="77777777" w:rsidR="004B1271" w:rsidRPr="00AC0D8A" w:rsidRDefault="004B1271" w:rsidP="000968D9">
            <w:pPr>
              <w:jc w:val="center"/>
            </w:pPr>
            <w:r>
              <w:t>27</w:t>
            </w:r>
          </w:p>
        </w:tc>
        <w:tc>
          <w:tcPr>
            <w:tcW w:w="1227" w:type="dxa"/>
            <w:tcBorders>
              <w:top w:val="single" w:sz="2" w:space="0" w:color="421A75" w:themeColor="accent1"/>
              <w:left w:val="single" w:sz="2" w:space="0" w:color="421A75" w:themeColor="accent1"/>
              <w:bottom w:val="single" w:sz="2" w:space="0" w:color="421A75" w:themeColor="accent1"/>
              <w:right w:val="single" w:sz="2" w:space="0" w:color="421A75" w:themeColor="accent1"/>
            </w:tcBorders>
            <w:vAlign w:val="center"/>
          </w:tcPr>
          <w:p w14:paraId="294028C0" w14:textId="77777777" w:rsidR="004B1271" w:rsidRPr="00AC0D8A" w:rsidRDefault="004B1271" w:rsidP="000968D9">
            <w:pPr>
              <w:jc w:val="center"/>
            </w:pPr>
            <w:r>
              <w:t>10</w:t>
            </w:r>
          </w:p>
        </w:tc>
        <w:tc>
          <w:tcPr>
            <w:tcW w:w="3683" w:type="dxa"/>
            <w:gridSpan w:val="3"/>
            <w:tcBorders>
              <w:top w:val="single" w:sz="2" w:space="0" w:color="421A75" w:themeColor="accent1"/>
              <w:left w:val="single" w:sz="2" w:space="0" w:color="421A75" w:themeColor="accent1"/>
              <w:bottom w:val="single" w:sz="2" w:space="0" w:color="421A75" w:themeColor="accent1"/>
              <w:right w:val="single" w:sz="2" w:space="0" w:color="421A75" w:themeColor="accent1"/>
            </w:tcBorders>
            <w:vAlign w:val="center"/>
          </w:tcPr>
          <w:p w14:paraId="1D6824AB" w14:textId="77777777" w:rsidR="004B1271" w:rsidRPr="00AC0D8A" w:rsidRDefault="004B1271" w:rsidP="000968D9">
            <w:pPr>
              <w:jc w:val="center"/>
            </w:pPr>
            <w:r>
              <w:t>10</w:t>
            </w:r>
            <w:r w:rsidRPr="00267948">
              <w:rPr>
                <w:rFonts w:cs="Arial"/>
                <w:vertAlign w:val="superscript"/>
              </w:rPr>
              <w:t>†</w:t>
            </w:r>
          </w:p>
        </w:tc>
      </w:tr>
      <w:tr w:rsidR="004B1271" w14:paraId="4BE96586" w14:textId="77777777" w:rsidTr="000968D9">
        <w:trPr>
          <w:trHeight w:val="240"/>
        </w:trPr>
        <w:tc>
          <w:tcPr>
            <w:tcW w:w="2451" w:type="dxa"/>
            <w:tcBorders>
              <w:top w:val="single" w:sz="2" w:space="0" w:color="421A75" w:themeColor="accent1"/>
              <w:left w:val="single" w:sz="2" w:space="0" w:color="421A75" w:themeColor="accent1"/>
              <w:bottom w:val="single" w:sz="2" w:space="0" w:color="421A75" w:themeColor="accent1"/>
              <w:right w:val="single" w:sz="2" w:space="0" w:color="421A75" w:themeColor="accent1"/>
            </w:tcBorders>
          </w:tcPr>
          <w:p w14:paraId="01C4FBB3" w14:textId="77777777" w:rsidR="004B1271" w:rsidRPr="00E63F12" w:rsidRDefault="004B1271" w:rsidP="000968D9">
            <w:pPr>
              <w:spacing w:line="260" w:lineRule="atLeast"/>
            </w:pPr>
            <w:r w:rsidRPr="00E63F12">
              <w:t xml:space="preserve">Remote </w:t>
            </w:r>
            <w:r>
              <w:t>and</w:t>
            </w:r>
            <w:r w:rsidRPr="00E63F12">
              <w:t xml:space="preserve"> Very remote</w:t>
            </w:r>
          </w:p>
        </w:tc>
        <w:tc>
          <w:tcPr>
            <w:tcW w:w="1227" w:type="dxa"/>
            <w:tcBorders>
              <w:top w:val="single" w:sz="2" w:space="0" w:color="421A75" w:themeColor="accent1"/>
              <w:left w:val="single" w:sz="2" w:space="0" w:color="421A75" w:themeColor="accent1"/>
              <w:bottom w:val="single" w:sz="2" w:space="0" w:color="421A75" w:themeColor="accent1"/>
              <w:right w:val="single" w:sz="2" w:space="0" w:color="421A75" w:themeColor="accent1"/>
            </w:tcBorders>
            <w:vAlign w:val="center"/>
          </w:tcPr>
          <w:p w14:paraId="7CF8C1A3" w14:textId="77777777" w:rsidR="004B1271" w:rsidRPr="00AC0D8A" w:rsidRDefault="004B1271" w:rsidP="000968D9">
            <w:pPr>
              <w:jc w:val="center"/>
            </w:pPr>
            <w:r w:rsidRPr="00AC0D8A">
              <w:t>10</w:t>
            </w:r>
          </w:p>
        </w:tc>
        <w:tc>
          <w:tcPr>
            <w:tcW w:w="4910" w:type="dxa"/>
            <w:gridSpan w:val="4"/>
            <w:tcBorders>
              <w:top w:val="single" w:sz="2" w:space="0" w:color="421A75" w:themeColor="accent1"/>
              <w:left w:val="single" w:sz="2" w:space="0" w:color="421A75" w:themeColor="accent1"/>
              <w:bottom w:val="single" w:sz="2" w:space="0" w:color="421A75" w:themeColor="accent1"/>
              <w:right w:val="single" w:sz="2" w:space="0" w:color="421A75" w:themeColor="accent1"/>
            </w:tcBorders>
            <w:vAlign w:val="center"/>
          </w:tcPr>
          <w:p w14:paraId="6E299296" w14:textId="77777777" w:rsidR="004B1271" w:rsidRPr="00AC0D8A" w:rsidRDefault="004B1271" w:rsidP="000968D9">
            <w:pPr>
              <w:jc w:val="center"/>
            </w:pPr>
            <w:r>
              <w:t>9</w:t>
            </w:r>
            <w:r w:rsidRPr="00267948">
              <w:rPr>
                <w:rFonts w:cs="Arial"/>
                <w:vertAlign w:val="superscript"/>
              </w:rPr>
              <w:t>†</w:t>
            </w:r>
          </w:p>
        </w:tc>
      </w:tr>
    </w:tbl>
    <w:p w14:paraId="53E8A836" w14:textId="77777777" w:rsidR="004B1271" w:rsidRPr="006475E4" w:rsidRDefault="004B1271" w:rsidP="004B1271">
      <w:pPr>
        <w:pStyle w:val="TableCaption"/>
        <w:numPr>
          <w:ilvl w:val="0"/>
          <w:numId w:val="0"/>
        </w:numPr>
        <w:spacing w:before="0"/>
        <w:rPr>
          <w:sz w:val="16"/>
          <w:szCs w:val="18"/>
        </w:rPr>
      </w:pPr>
      <w:r>
        <w:rPr>
          <w:sz w:val="16"/>
          <w:szCs w:val="18"/>
        </w:rPr>
        <w:br/>
      </w:r>
      <w:r w:rsidRPr="006475E4">
        <w:rPr>
          <w:sz w:val="16"/>
          <w:szCs w:val="18"/>
        </w:rPr>
        <w:t>* Two SA3s (Blue Mountains – South and Illawarra Catchment Reserve) were not included because the population in these areas was too small for them to be assigned a socioeconomic quintile.</w:t>
      </w:r>
    </w:p>
    <w:p w14:paraId="1F89F3FD" w14:textId="77777777" w:rsidR="004B1271" w:rsidRPr="006475E4" w:rsidRDefault="004B1271" w:rsidP="004B1271">
      <w:pPr>
        <w:pStyle w:val="TableCaption"/>
        <w:numPr>
          <w:ilvl w:val="0"/>
          <w:numId w:val="0"/>
        </w:numPr>
        <w:spacing w:before="0"/>
        <w:rPr>
          <w:sz w:val="16"/>
          <w:szCs w:val="18"/>
        </w:rPr>
      </w:pPr>
      <w:r w:rsidRPr="006475E4">
        <w:rPr>
          <w:sz w:val="16"/>
          <w:szCs w:val="18"/>
        </w:rPr>
        <w:t>† Numbers are not in proper columns where socioeconomic quintiles were combined.</w:t>
      </w:r>
    </w:p>
    <w:p w14:paraId="0A61F89F" w14:textId="77777777" w:rsidR="004B1271" w:rsidRDefault="004B1271" w:rsidP="004B1271">
      <w:r>
        <w:t>In this report, the SA3s in the combined ‘Remote’ and ‘Very remote’ areas are labelled ‘remote’. The SA3s with the most overall disadvantage are labelled ‘low SES (1)’, and the SA3s with the least overall disadvantage are labelled ‘high SES (5)’. Where socioeconomic quintiles are combined (for example, quintiles 4 and 5), the SA3s with the least overall disadvantage are labelled ‘higher SES’ (for example, 4+).</w:t>
      </w:r>
    </w:p>
    <w:p w14:paraId="6B8B98B7" w14:textId="77777777" w:rsidR="004B1271" w:rsidRDefault="004B1271" w:rsidP="004B1271"/>
    <w:p w14:paraId="656EA415" w14:textId="77777777" w:rsidR="004B1271" w:rsidRDefault="004B1271" w:rsidP="004B1271">
      <w:pPr>
        <w:pStyle w:val="Heading2"/>
      </w:pPr>
      <w:r>
        <w:t xml:space="preserve">Suppression protocol </w:t>
      </w:r>
    </w:p>
    <w:p w14:paraId="6099A05B" w14:textId="77777777" w:rsidR="004B1271" w:rsidRDefault="004B1271" w:rsidP="004B1271">
      <w:r>
        <w:t xml:space="preserve">Rates based on small numbers of events and/or very small populations are more susceptible to random fluctuations and may not provide a reliable representation of activity in that area. For reliability reasons, areas with volatile rates were suppressed (Table 3). </w:t>
      </w:r>
    </w:p>
    <w:p w14:paraId="00A99E07" w14:textId="77777777" w:rsidR="004B1271" w:rsidRDefault="004B1271" w:rsidP="004B1271">
      <w:r>
        <w:t xml:space="preserve">Consequential data suppressions were not applied where the suppressions were done for reliability reasons but applied only to manage confidentiality. </w:t>
      </w:r>
    </w:p>
    <w:p w14:paraId="0620134A" w14:textId="77777777" w:rsidR="004B1271" w:rsidRDefault="004B1271" w:rsidP="004B1271">
      <w:r>
        <w:t>Care should be taken on interpretation of trends from 2019-20 to 2021-22 due to the impact of variable restrictions on the provision of surgery in jurisdictions during COVID periods.</w:t>
      </w:r>
    </w:p>
    <w:p w14:paraId="1790BFD3" w14:textId="77777777" w:rsidR="004B1271" w:rsidRDefault="004B1271" w:rsidP="004B1271">
      <w:pPr>
        <w:spacing w:after="0"/>
      </w:pPr>
    </w:p>
    <w:p w14:paraId="7F2E39AA" w14:textId="77777777" w:rsidR="000B7E63" w:rsidRDefault="000B7E63" w:rsidP="004B1271">
      <w:pPr>
        <w:spacing w:after="0"/>
      </w:pPr>
    </w:p>
    <w:p w14:paraId="7C80F8A8" w14:textId="77777777" w:rsidR="000B7E63" w:rsidRDefault="000B7E63" w:rsidP="004B1271">
      <w:pPr>
        <w:spacing w:after="0"/>
      </w:pPr>
    </w:p>
    <w:p w14:paraId="202B60EF" w14:textId="77777777" w:rsidR="000B7E63" w:rsidRDefault="000B7E63" w:rsidP="004B1271">
      <w:pPr>
        <w:spacing w:after="0"/>
      </w:pPr>
    </w:p>
    <w:p w14:paraId="16F9B2C0" w14:textId="77777777" w:rsidR="000B7E63" w:rsidRDefault="000B7E63" w:rsidP="004B1271">
      <w:pPr>
        <w:spacing w:after="0"/>
      </w:pPr>
    </w:p>
    <w:p w14:paraId="60B15109" w14:textId="398BABDC" w:rsidR="00526281" w:rsidRDefault="004B1271" w:rsidP="00526281">
      <w:pPr>
        <w:pStyle w:val="TableCaption"/>
      </w:pPr>
      <w:r w:rsidRPr="00DE5F01">
        <w:lastRenderedPageBreak/>
        <w:t>Rules for suppression of an area of patient residence</w:t>
      </w:r>
    </w:p>
    <w:tbl>
      <w:tblPr>
        <w:tblStyle w:val="SQHTable"/>
        <w:tblpPr w:leftFromText="180" w:rightFromText="180" w:vertAnchor="text" w:horzAnchor="margin" w:tblpY="313"/>
        <w:tblW w:w="0" w:type="auto"/>
        <w:tblBorders>
          <w:top w:val="single" w:sz="2" w:space="0" w:color="421A75" w:themeColor="accent1"/>
          <w:left w:val="single" w:sz="2" w:space="0" w:color="421A75" w:themeColor="accent1"/>
          <w:bottom w:val="single" w:sz="2" w:space="0" w:color="421A75" w:themeColor="accent1"/>
          <w:right w:val="single" w:sz="2" w:space="0" w:color="421A75" w:themeColor="accent1"/>
          <w:insideH w:val="single" w:sz="2" w:space="0" w:color="421A75" w:themeColor="accent1"/>
          <w:insideV w:val="single" w:sz="2" w:space="0" w:color="421A75" w:themeColor="accent1"/>
        </w:tblBorders>
        <w:tblLook w:val="04A0" w:firstRow="1" w:lastRow="0" w:firstColumn="1" w:lastColumn="0" w:noHBand="0" w:noVBand="1"/>
      </w:tblPr>
      <w:tblGrid>
        <w:gridCol w:w="1220"/>
        <w:gridCol w:w="3166"/>
        <w:gridCol w:w="2232"/>
        <w:gridCol w:w="2452"/>
      </w:tblGrid>
      <w:tr w:rsidR="004B1271" w:rsidRPr="001E075E" w14:paraId="2E87D383" w14:textId="77777777" w:rsidTr="000968D9">
        <w:trPr>
          <w:cnfStyle w:val="100000000000" w:firstRow="1" w:lastRow="0" w:firstColumn="0" w:lastColumn="0" w:oddVBand="0" w:evenVBand="0" w:oddHBand="0" w:evenHBand="0" w:firstRowFirstColumn="0" w:firstRowLastColumn="0" w:lastRowFirstColumn="0" w:lastRowLastColumn="0"/>
        </w:trPr>
        <w:tc>
          <w:tcPr>
            <w:tcW w:w="1220" w:type="dxa"/>
          </w:tcPr>
          <w:p w14:paraId="6DD39D2A" w14:textId="77777777" w:rsidR="004B1271" w:rsidRPr="001E075E" w:rsidRDefault="004B1271" w:rsidP="000968D9">
            <w:pPr>
              <w:spacing w:after="0"/>
            </w:pPr>
            <w:bookmarkStart w:id="1" w:name="_Hlk213335174"/>
            <w:r w:rsidRPr="7D67052A">
              <w:t>Data source</w:t>
            </w:r>
          </w:p>
        </w:tc>
        <w:tc>
          <w:tcPr>
            <w:tcW w:w="3166" w:type="dxa"/>
          </w:tcPr>
          <w:p w14:paraId="6A414F23" w14:textId="77777777" w:rsidR="004B1271" w:rsidRPr="001E075E" w:rsidRDefault="004B1271" w:rsidP="000968D9">
            <w:pPr>
              <w:spacing w:after="0"/>
            </w:pPr>
            <w:r w:rsidRPr="7D67052A">
              <w:t xml:space="preserve">Numerator </w:t>
            </w:r>
          </w:p>
        </w:tc>
        <w:tc>
          <w:tcPr>
            <w:tcW w:w="2232" w:type="dxa"/>
          </w:tcPr>
          <w:p w14:paraId="6685EDB8" w14:textId="77777777" w:rsidR="004B1271" w:rsidRPr="001E075E" w:rsidRDefault="004B1271" w:rsidP="000968D9">
            <w:pPr>
              <w:spacing w:after="0"/>
            </w:pPr>
            <w:r w:rsidRPr="7D67052A">
              <w:t>Denominator</w:t>
            </w:r>
          </w:p>
        </w:tc>
        <w:tc>
          <w:tcPr>
            <w:tcW w:w="2452" w:type="dxa"/>
          </w:tcPr>
          <w:p w14:paraId="3AFD9D49" w14:textId="77777777" w:rsidR="004B1271" w:rsidRPr="001E075E" w:rsidRDefault="004B1271" w:rsidP="000968D9">
            <w:pPr>
              <w:spacing w:after="0"/>
            </w:pPr>
            <w:r w:rsidRPr="7D67052A">
              <w:t>Denominator for age groups</w:t>
            </w:r>
          </w:p>
        </w:tc>
      </w:tr>
      <w:tr w:rsidR="004B1271" w:rsidRPr="001E075E" w14:paraId="0453C053" w14:textId="77777777" w:rsidTr="000968D9">
        <w:tc>
          <w:tcPr>
            <w:tcW w:w="1220" w:type="dxa"/>
          </w:tcPr>
          <w:p w14:paraId="2BCA01D6" w14:textId="77777777" w:rsidR="004B1271" w:rsidRPr="001E075E" w:rsidRDefault="004B1271" w:rsidP="000968D9">
            <w:pPr>
              <w:spacing w:after="0"/>
            </w:pPr>
            <w:r w:rsidRPr="001E075E">
              <w:t>NHMD</w:t>
            </w:r>
            <w:r w:rsidRPr="001E075E">
              <w:rPr>
                <w:rFonts w:cs="Arial"/>
                <w:vertAlign w:val="superscript"/>
              </w:rPr>
              <w:t>†</w:t>
            </w:r>
          </w:p>
        </w:tc>
        <w:tc>
          <w:tcPr>
            <w:tcW w:w="3166" w:type="dxa"/>
          </w:tcPr>
          <w:p w14:paraId="7FB53FE3" w14:textId="75DA6275" w:rsidR="004B1271" w:rsidRPr="001E075E" w:rsidRDefault="004B1271" w:rsidP="000968D9">
            <w:pPr>
              <w:spacing w:after="0"/>
              <w:rPr>
                <w:lang w:eastAsia="en-AU"/>
              </w:rPr>
            </w:pPr>
            <w:r w:rsidRPr="001E075E">
              <w:rPr>
                <w:lang w:eastAsia="en-AU"/>
              </w:rPr>
              <w:t xml:space="preserve">Fewer than 10 (single year and three years of data) </w:t>
            </w:r>
          </w:p>
        </w:tc>
        <w:tc>
          <w:tcPr>
            <w:tcW w:w="2232" w:type="dxa"/>
          </w:tcPr>
          <w:p w14:paraId="6760DCCD" w14:textId="77777777" w:rsidR="004B1271" w:rsidRPr="001E075E" w:rsidRDefault="004B1271" w:rsidP="000968D9">
            <w:pPr>
              <w:spacing w:after="0"/>
              <w:rPr>
                <w:lang w:eastAsia="en-AU"/>
              </w:rPr>
            </w:pPr>
            <w:r w:rsidRPr="001E075E">
              <w:rPr>
                <w:lang w:eastAsia="en-AU"/>
              </w:rPr>
              <w:t>Fewer than 1,000</w:t>
            </w:r>
          </w:p>
        </w:tc>
        <w:tc>
          <w:tcPr>
            <w:tcW w:w="2452" w:type="dxa"/>
          </w:tcPr>
          <w:p w14:paraId="0A038FB3" w14:textId="77777777" w:rsidR="004B1271" w:rsidRDefault="004B1271" w:rsidP="000968D9">
            <w:pPr>
              <w:spacing w:after="0"/>
              <w:rPr>
                <w:lang w:eastAsia="en-AU"/>
              </w:rPr>
            </w:pPr>
            <w:r w:rsidRPr="001E075E">
              <w:rPr>
                <w:lang w:eastAsia="en-AU"/>
              </w:rPr>
              <w:t>Fewer than 30</w:t>
            </w:r>
          </w:p>
          <w:p w14:paraId="45AC76BB" w14:textId="77777777" w:rsidR="004B1271" w:rsidRPr="001E075E" w:rsidRDefault="004B1271" w:rsidP="000968D9">
            <w:pPr>
              <w:spacing w:after="0"/>
              <w:rPr>
                <w:lang w:eastAsia="en-AU"/>
              </w:rPr>
            </w:pPr>
          </w:p>
        </w:tc>
      </w:tr>
      <w:bookmarkEnd w:id="1"/>
    </w:tbl>
    <w:p w14:paraId="3E9BC22D" w14:textId="77777777" w:rsidR="000B7E63" w:rsidRDefault="000B7E63" w:rsidP="000B7E63">
      <w:pPr>
        <w:pStyle w:val="TableCaption"/>
        <w:numPr>
          <w:ilvl w:val="0"/>
          <w:numId w:val="0"/>
        </w:numPr>
        <w:spacing w:before="0"/>
      </w:pPr>
    </w:p>
    <w:p w14:paraId="3F3EC1FD" w14:textId="77777777" w:rsidR="000B7E63" w:rsidRDefault="000B7E63" w:rsidP="000B7E63">
      <w:pPr>
        <w:pStyle w:val="TableCaption"/>
        <w:numPr>
          <w:ilvl w:val="0"/>
          <w:numId w:val="0"/>
        </w:numPr>
        <w:spacing w:before="0"/>
      </w:pPr>
    </w:p>
    <w:p w14:paraId="07BC8209" w14:textId="787518A1" w:rsidR="000B7E63" w:rsidRDefault="000B7E63" w:rsidP="000B7E63">
      <w:pPr>
        <w:pStyle w:val="TableCaption"/>
        <w:numPr>
          <w:ilvl w:val="0"/>
          <w:numId w:val="0"/>
        </w:numPr>
        <w:spacing w:before="0"/>
      </w:pPr>
      <w:r w:rsidRPr="0015387A">
        <w:t>† Additional suppression rules may apply if required by state or territory data custodians.</w:t>
      </w:r>
    </w:p>
    <w:p w14:paraId="70D15B35" w14:textId="77777777" w:rsidR="00E650A5" w:rsidRDefault="00E650A5" w:rsidP="00E650A5">
      <w:pPr>
        <w:pStyle w:val="Heading2"/>
      </w:pPr>
      <w:r>
        <w:t>Sensitivity analysis</w:t>
      </w:r>
    </w:p>
    <w:p w14:paraId="2AA4E27D" w14:textId="77777777" w:rsidR="00E650A5" w:rsidRPr="00DE5F01" w:rsidRDefault="00E650A5" w:rsidP="00E650A5">
      <w:pPr>
        <w:pStyle w:val="TableCaption"/>
        <w:numPr>
          <w:ilvl w:val="0"/>
          <w:numId w:val="0"/>
        </w:numPr>
        <w:rPr>
          <w:sz w:val="22"/>
          <w:szCs w:val="24"/>
        </w:rPr>
      </w:pPr>
      <w:r w:rsidRPr="00DE5F01">
        <w:rPr>
          <w:sz w:val="22"/>
          <w:szCs w:val="24"/>
        </w:rPr>
        <w:t xml:space="preserve">Most data were age standardised. Several SA3s were consistently suppressed because the </w:t>
      </w:r>
    </w:p>
    <w:p w14:paraId="12918DFC" w14:textId="77777777" w:rsidR="00E650A5" w:rsidRPr="00DE5F01" w:rsidRDefault="00E650A5" w:rsidP="00E650A5">
      <w:pPr>
        <w:pStyle w:val="TableCaption"/>
        <w:numPr>
          <w:ilvl w:val="0"/>
          <w:numId w:val="0"/>
        </w:numPr>
        <w:rPr>
          <w:sz w:val="22"/>
          <w:szCs w:val="24"/>
        </w:rPr>
      </w:pPr>
      <w:r w:rsidRPr="00DE5F01">
        <w:rPr>
          <w:sz w:val="22"/>
          <w:szCs w:val="24"/>
        </w:rPr>
        <w:t xml:space="preserve">population in one or more age groups for standardisation was fewer than 30. The AIHW </w:t>
      </w:r>
    </w:p>
    <w:p w14:paraId="28C3CB9E" w14:textId="0ADA5960" w:rsidR="004B1271" w:rsidRDefault="00E650A5" w:rsidP="00E650A5">
      <w:pPr>
        <w:rPr>
          <w:szCs w:val="24"/>
        </w:rPr>
      </w:pPr>
      <w:r w:rsidRPr="00DE5F01">
        <w:rPr>
          <w:szCs w:val="24"/>
        </w:rPr>
        <w:t>developed a sensitivity analysis to investigate the volatility of the rates for the affected SA3s. The procedure to conduct the sensitivity analysis is summarised in Box 1.</w:t>
      </w:r>
    </w:p>
    <w:p w14:paraId="56484014" w14:textId="75A37C48" w:rsidR="000B0A89" w:rsidRDefault="000B0A89" w:rsidP="00E650A5">
      <w:pPr>
        <w:rPr>
          <w:szCs w:val="24"/>
        </w:rPr>
      </w:pPr>
      <w:r>
        <w:rPr>
          <w:b/>
          <w:bCs/>
          <w:noProof/>
          <w:szCs w:val="24"/>
        </w:rPr>
        <mc:AlternateContent>
          <mc:Choice Requires="wps">
            <w:drawing>
              <wp:anchor distT="0" distB="0" distL="114300" distR="114300" simplePos="0" relativeHeight="251659264" behindDoc="0" locked="0" layoutInCell="1" allowOverlap="1" wp14:anchorId="3739BEAC" wp14:editId="51EEBE26">
                <wp:simplePos x="0" y="0"/>
                <wp:positionH relativeFrom="margin">
                  <wp:align>right</wp:align>
                </wp:positionH>
                <wp:positionV relativeFrom="paragraph">
                  <wp:posOffset>67974</wp:posOffset>
                </wp:positionV>
                <wp:extent cx="5794553" cy="6262480"/>
                <wp:effectExtent l="19050" t="19050" r="15875" b="24130"/>
                <wp:wrapNone/>
                <wp:docPr id="666669461" name="Rectangle 8"/>
                <wp:cNvGraphicFramePr/>
                <a:graphic xmlns:a="http://schemas.openxmlformats.org/drawingml/2006/main">
                  <a:graphicData uri="http://schemas.microsoft.com/office/word/2010/wordprocessingShape">
                    <wps:wsp>
                      <wps:cNvSpPr/>
                      <wps:spPr>
                        <a:xfrm>
                          <a:off x="0" y="0"/>
                          <a:ext cx="5794553" cy="6262480"/>
                        </a:xfrm>
                        <a:prstGeom prst="rect">
                          <a:avLst/>
                        </a:prstGeom>
                        <a:noFill/>
                        <a:ln w="28575">
                          <a:solidFill>
                            <a:schemeClr val="accent4">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20B9181" w14:textId="77777777" w:rsidR="00E650A5" w:rsidRPr="00517134" w:rsidRDefault="00E650A5" w:rsidP="00E650A5">
                            <w:pPr>
                              <w:pStyle w:val="TableCaption"/>
                              <w:numPr>
                                <w:ilvl w:val="0"/>
                                <w:numId w:val="0"/>
                              </w:numPr>
                              <w:spacing w:before="0"/>
                              <w:rPr>
                                <w:b/>
                                <w:bCs/>
                                <w:sz w:val="22"/>
                                <w:szCs w:val="24"/>
                              </w:rPr>
                            </w:pPr>
                            <w:r w:rsidRPr="00517134">
                              <w:rPr>
                                <w:b/>
                                <w:bCs/>
                                <w:sz w:val="22"/>
                                <w:szCs w:val="24"/>
                              </w:rPr>
                              <w:t xml:space="preserve">Box 1: Summary of sensitivity analysis </w:t>
                            </w:r>
                          </w:p>
                          <w:p w14:paraId="30D9CD18" w14:textId="77777777" w:rsidR="00E650A5" w:rsidRPr="00517134" w:rsidRDefault="00E650A5" w:rsidP="00E650A5">
                            <w:pPr>
                              <w:pStyle w:val="TableCaption"/>
                              <w:numPr>
                                <w:ilvl w:val="0"/>
                                <w:numId w:val="0"/>
                              </w:numPr>
                              <w:rPr>
                                <w:sz w:val="22"/>
                                <w:szCs w:val="24"/>
                              </w:rPr>
                            </w:pPr>
                            <w:r w:rsidRPr="00517134">
                              <w:rPr>
                                <w:sz w:val="22"/>
                                <w:szCs w:val="24"/>
                              </w:rPr>
                              <w:t xml:space="preserve">For each SA3 that was suppressed due to a small (below-threshold) denominator for one or </w:t>
                            </w:r>
                          </w:p>
                          <w:p w14:paraId="2E9DD348" w14:textId="77777777" w:rsidR="00E650A5" w:rsidRDefault="00E650A5" w:rsidP="00E650A5">
                            <w:pPr>
                              <w:pStyle w:val="TableCaption"/>
                              <w:numPr>
                                <w:ilvl w:val="0"/>
                                <w:numId w:val="0"/>
                              </w:numPr>
                              <w:rPr>
                                <w:sz w:val="22"/>
                                <w:szCs w:val="24"/>
                              </w:rPr>
                            </w:pPr>
                            <w:r w:rsidRPr="00517134">
                              <w:rPr>
                                <w:sz w:val="22"/>
                                <w:szCs w:val="24"/>
                              </w:rPr>
                              <w:t xml:space="preserve">more age groups (affected SA3), the following analysis was undertaken: </w:t>
                            </w:r>
                          </w:p>
                          <w:p w14:paraId="77BF4885" w14:textId="77777777" w:rsidR="00E650A5" w:rsidRPr="00517134" w:rsidRDefault="00E650A5" w:rsidP="00E650A5">
                            <w:pPr>
                              <w:pStyle w:val="TableCaption"/>
                              <w:numPr>
                                <w:ilvl w:val="0"/>
                                <w:numId w:val="0"/>
                              </w:numPr>
                              <w:rPr>
                                <w:sz w:val="22"/>
                                <w:szCs w:val="24"/>
                              </w:rPr>
                            </w:pPr>
                          </w:p>
                          <w:p w14:paraId="004E0E95" w14:textId="77777777" w:rsidR="00E650A5" w:rsidRDefault="00E650A5" w:rsidP="00E650A5">
                            <w:pPr>
                              <w:pStyle w:val="TableCaption"/>
                              <w:numPr>
                                <w:ilvl w:val="0"/>
                                <w:numId w:val="16"/>
                              </w:numPr>
                              <w:rPr>
                                <w:sz w:val="22"/>
                                <w:szCs w:val="24"/>
                              </w:rPr>
                            </w:pPr>
                            <w:r w:rsidRPr="00517134">
                              <w:rPr>
                                <w:sz w:val="22"/>
                                <w:szCs w:val="24"/>
                              </w:rPr>
                              <w:t xml:space="preserve">The numerator was increased by 1 in each group with a small denominator, to generate a simulated rate. </w:t>
                            </w:r>
                          </w:p>
                          <w:p w14:paraId="4D920BC5" w14:textId="77777777" w:rsidR="00E650A5" w:rsidRDefault="00E650A5" w:rsidP="00E650A5">
                            <w:pPr>
                              <w:pStyle w:val="TableCaption"/>
                              <w:numPr>
                                <w:ilvl w:val="0"/>
                                <w:numId w:val="16"/>
                              </w:numPr>
                              <w:rPr>
                                <w:sz w:val="22"/>
                                <w:szCs w:val="24"/>
                              </w:rPr>
                            </w:pPr>
                            <w:r w:rsidRPr="00517134">
                              <w:rPr>
                                <w:sz w:val="22"/>
                                <w:szCs w:val="24"/>
                              </w:rPr>
                              <w:t xml:space="preserve">All rates, including the simulated rates, were rounded to whole numbers. </w:t>
                            </w:r>
                          </w:p>
                          <w:p w14:paraId="76DA73C2" w14:textId="77777777" w:rsidR="00E650A5" w:rsidRDefault="00E650A5" w:rsidP="00E650A5">
                            <w:pPr>
                              <w:pStyle w:val="TableCaption"/>
                              <w:numPr>
                                <w:ilvl w:val="0"/>
                                <w:numId w:val="16"/>
                              </w:numPr>
                              <w:rPr>
                                <w:sz w:val="22"/>
                                <w:szCs w:val="24"/>
                              </w:rPr>
                            </w:pPr>
                            <w:r w:rsidRPr="00517134">
                              <w:rPr>
                                <w:sz w:val="22"/>
                                <w:szCs w:val="24"/>
                              </w:rPr>
                              <w:t xml:space="preserve">All publishable rates for non-affected SA3s and the simulated rates for affected SA3s were ranked from lowest to highest and split into 10 categories (deciles). </w:t>
                            </w:r>
                          </w:p>
                          <w:p w14:paraId="3597D6FB" w14:textId="77777777" w:rsidR="00E650A5" w:rsidRDefault="00E650A5" w:rsidP="00E650A5">
                            <w:pPr>
                              <w:pStyle w:val="TableCaption"/>
                              <w:numPr>
                                <w:ilvl w:val="0"/>
                                <w:numId w:val="16"/>
                              </w:numPr>
                              <w:rPr>
                                <w:sz w:val="22"/>
                                <w:szCs w:val="24"/>
                              </w:rPr>
                            </w:pPr>
                            <w:r w:rsidRPr="00517134">
                              <w:rPr>
                                <w:sz w:val="22"/>
                                <w:szCs w:val="24"/>
                              </w:rPr>
                              <w:t xml:space="preserve">All publishable rates for non-affected SA3s and the actual rates for affected SA3s were ranked from lowest to highest and split into deciles. </w:t>
                            </w:r>
                          </w:p>
                          <w:p w14:paraId="1D1F3E9E" w14:textId="77777777" w:rsidR="00E650A5" w:rsidRDefault="00E650A5" w:rsidP="00E650A5">
                            <w:pPr>
                              <w:pStyle w:val="TableCaption"/>
                              <w:numPr>
                                <w:ilvl w:val="0"/>
                                <w:numId w:val="16"/>
                              </w:numPr>
                              <w:rPr>
                                <w:sz w:val="22"/>
                                <w:szCs w:val="24"/>
                              </w:rPr>
                            </w:pPr>
                            <w:r w:rsidRPr="00C074A5">
                              <w:rPr>
                                <w:sz w:val="22"/>
                                <w:szCs w:val="24"/>
                              </w:rPr>
                              <w:t xml:space="preserve">The decile of the simulated rate (step 3) was compared with the decile of the actual rate (step 4). </w:t>
                            </w:r>
                          </w:p>
                          <w:p w14:paraId="52B1E84C" w14:textId="77777777" w:rsidR="00E650A5" w:rsidRPr="00D779FE" w:rsidRDefault="00E650A5" w:rsidP="00E650A5">
                            <w:pPr>
                              <w:pStyle w:val="TableCaption"/>
                              <w:numPr>
                                <w:ilvl w:val="0"/>
                                <w:numId w:val="16"/>
                              </w:numPr>
                              <w:rPr>
                                <w:sz w:val="22"/>
                                <w:szCs w:val="24"/>
                              </w:rPr>
                            </w:pPr>
                            <w:r w:rsidRPr="00C074A5">
                              <w:rPr>
                                <w:sz w:val="22"/>
                                <w:szCs w:val="24"/>
                              </w:rPr>
                              <w:t xml:space="preserve">Steps 1 to 5 were repeated with a decrease in the relevant numerators by 1. Negative </w:t>
                            </w:r>
                            <w:r w:rsidRPr="00D779FE">
                              <w:rPr>
                                <w:sz w:val="22"/>
                                <w:szCs w:val="24"/>
                              </w:rPr>
                              <w:t xml:space="preserve">numerators were reset to zero before generating a simulated rate. </w:t>
                            </w:r>
                          </w:p>
                          <w:p w14:paraId="0E298E98" w14:textId="77777777" w:rsidR="00E650A5" w:rsidRPr="00517134" w:rsidRDefault="00E650A5" w:rsidP="00E650A5">
                            <w:pPr>
                              <w:pStyle w:val="TableCaption"/>
                              <w:numPr>
                                <w:ilvl w:val="0"/>
                                <w:numId w:val="0"/>
                              </w:numPr>
                              <w:rPr>
                                <w:sz w:val="22"/>
                                <w:szCs w:val="24"/>
                              </w:rPr>
                            </w:pPr>
                          </w:p>
                          <w:p w14:paraId="6B500EAB" w14:textId="77777777" w:rsidR="00E650A5" w:rsidRPr="00517134" w:rsidRDefault="00E650A5" w:rsidP="00E650A5">
                            <w:pPr>
                              <w:pStyle w:val="TableCaption"/>
                              <w:numPr>
                                <w:ilvl w:val="0"/>
                                <w:numId w:val="0"/>
                              </w:numPr>
                              <w:rPr>
                                <w:sz w:val="22"/>
                                <w:szCs w:val="24"/>
                              </w:rPr>
                            </w:pPr>
                            <w:r w:rsidRPr="00517134">
                              <w:rPr>
                                <w:sz w:val="22"/>
                                <w:szCs w:val="24"/>
                              </w:rPr>
                              <w:t xml:space="preserve">All affected SA3s were included in the simulation simultaneously, to generate maximum </w:t>
                            </w:r>
                          </w:p>
                          <w:p w14:paraId="794FB1D3" w14:textId="77777777" w:rsidR="00E650A5" w:rsidRPr="00517134" w:rsidRDefault="00E650A5" w:rsidP="00E650A5">
                            <w:pPr>
                              <w:pStyle w:val="TableCaption"/>
                              <w:numPr>
                                <w:ilvl w:val="0"/>
                                <w:numId w:val="0"/>
                              </w:numPr>
                              <w:rPr>
                                <w:sz w:val="22"/>
                                <w:szCs w:val="24"/>
                              </w:rPr>
                            </w:pPr>
                            <w:r w:rsidRPr="00517134">
                              <w:rPr>
                                <w:sz w:val="22"/>
                                <w:szCs w:val="24"/>
                              </w:rPr>
                              <w:t xml:space="preserve">differences between the deciles calculated using the simulated rates and the deciles </w:t>
                            </w:r>
                          </w:p>
                          <w:p w14:paraId="0165E7AA" w14:textId="77777777" w:rsidR="00E650A5" w:rsidRPr="00517134" w:rsidRDefault="00E650A5" w:rsidP="00E650A5">
                            <w:pPr>
                              <w:pStyle w:val="TableCaption"/>
                              <w:numPr>
                                <w:ilvl w:val="0"/>
                                <w:numId w:val="0"/>
                              </w:numPr>
                              <w:rPr>
                                <w:sz w:val="22"/>
                                <w:szCs w:val="24"/>
                              </w:rPr>
                            </w:pPr>
                            <w:r w:rsidRPr="00517134">
                              <w:rPr>
                                <w:sz w:val="22"/>
                                <w:szCs w:val="24"/>
                              </w:rPr>
                              <w:t xml:space="preserve">calculated using the actual rates (the most extreme scenario). This was a conservative </w:t>
                            </w:r>
                          </w:p>
                          <w:p w14:paraId="3D75098C" w14:textId="77777777" w:rsidR="00E650A5" w:rsidRDefault="00E650A5" w:rsidP="00E650A5">
                            <w:pPr>
                              <w:pStyle w:val="TableCaption"/>
                              <w:numPr>
                                <w:ilvl w:val="0"/>
                                <w:numId w:val="0"/>
                              </w:numPr>
                              <w:rPr>
                                <w:sz w:val="22"/>
                                <w:szCs w:val="24"/>
                              </w:rPr>
                            </w:pPr>
                            <w:r w:rsidRPr="00517134">
                              <w:rPr>
                                <w:sz w:val="22"/>
                                <w:szCs w:val="24"/>
                              </w:rPr>
                              <w:t xml:space="preserve">method compared with simulation conducted for one affected SA3 at a time. </w:t>
                            </w:r>
                          </w:p>
                          <w:p w14:paraId="4DFC20D1" w14:textId="77777777" w:rsidR="00E650A5" w:rsidRPr="00517134" w:rsidRDefault="00E650A5" w:rsidP="00E650A5">
                            <w:pPr>
                              <w:pStyle w:val="TableCaption"/>
                              <w:numPr>
                                <w:ilvl w:val="0"/>
                                <w:numId w:val="0"/>
                              </w:numPr>
                              <w:rPr>
                                <w:sz w:val="22"/>
                                <w:szCs w:val="24"/>
                              </w:rPr>
                            </w:pPr>
                          </w:p>
                          <w:p w14:paraId="5C83D8E0" w14:textId="77777777" w:rsidR="00E650A5" w:rsidRPr="00517134" w:rsidRDefault="00E650A5" w:rsidP="00E650A5">
                            <w:pPr>
                              <w:pStyle w:val="TableCaption"/>
                              <w:numPr>
                                <w:ilvl w:val="0"/>
                                <w:numId w:val="0"/>
                              </w:numPr>
                              <w:rPr>
                                <w:sz w:val="22"/>
                                <w:szCs w:val="24"/>
                              </w:rPr>
                            </w:pPr>
                            <w:r w:rsidRPr="00517134">
                              <w:rPr>
                                <w:sz w:val="22"/>
                                <w:szCs w:val="24"/>
                              </w:rPr>
                              <w:t xml:space="preserve">The volatility of the actual rate for an affected SA3 was not considered to have a material </w:t>
                            </w:r>
                          </w:p>
                          <w:p w14:paraId="4923F93E" w14:textId="77777777" w:rsidR="00E650A5" w:rsidRPr="00517134" w:rsidRDefault="00E650A5" w:rsidP="00E650A5">
                            <w:pPr>
                              <w:pStyle w:val="TableCaption"/>
                              <w:numPr>
                                <w:ilvl w:val="0"/>
                                <w:numId w:val="0"/>
                              </w:numPr>
                              <w:rPr>
                                <w:sz w:val="22"/>
                                <w:szCs w:val="24"/>
                              </w:rPr>
                            </w:pPr>
                            <w:r w:rsidRPr="00517134">
                              <w:rPr>
                                <w:sz w:val="22"/>
                                <w:szCs w:val="24"/>
                              </w:rPr>
                              <w:t xml:space="preserve">impact on its decile if either of the following conditions was met in each simulation </w:t>
                            </w:r>
                          </w:p>
                          <w:p w14:paraId="041DA0A2" w14:textId="77777777" w:rsidR="00E650A5" w:rsidRDefault="00E650A5" w:rsidP="00E650A5">
                            <w:pPr>
                              <w:pStyle w:val="TableCaption"/>
                              <w:numPr>
                                <w:ilvl w:val="0"/>
                                <w:numId w:val="0"/>
                              </w:numPr>
                              <w:rPr>
                                <w:sz w:val="22"/>
                                <w:szCs w:val="24"/>
                              </w:rPr>
                            </w:pPr>
                            <w:r w:rsidRPr="00517134">
                              <w:rPr>
                                <w:sz w:val="22"/>
                                <w:szCs w:val="24"/>
                              </w:rPr>
                              <w:t xml:space="preserve">(increasing or decreasing the relevant numerators by 1): </w:t>
                            </w:r>
                          </w:p>
                          <w:p w14:paraId="7FA829E9" w14:textId="77777777" w:rsidR="00E650A5" w:rsidRPr="00517134" w:rsidRDefault="00E650A5" w:rsidP="00E650A5">
                            <w:pPr>
                              <w:pStyle w:val="TableCaption"/>
                              <w:numPr>
                                <w:ilvl w:val="0"/>
                                <w:numId w:val="0"/>
                              </w:numPr>
                              <w:rPr>
                                <w:sz w:val="22"/>
                                <w:szCs w:val="24"/>
                              </w:rPr>
                            </w:pPr>
                          </w:p>
                          <w:p w14:paraId="715CBF49" w14:textId="77777777" w:rsidR="00E650A5" w:rsidRPr="00C074A5" w:rsidRDefault="00E650A5" w:rsidP="00E650A5">
                            <w:pPr>
                              <w:pStyle w:val="TableCaption"/>
                              <w:numPr>
                                <w:ilvl w:val="0"/>
                                <w:numId w:val="17"/>
                              </w:numPr>
                              <w:rPr>
                                <w:sz w:val="22"/>
                                <w:szCs w:val="24"/>
                              </w:rPr>
                            </w:pPr>
                            <w:r w:rsidRPr="00517134">
                              <w:rPr>
                                <w:sz w:val="22"/>
                                <w:szCs w:val="24"/>
                              </w:rPr>
                              <w:t xml:space="preserve">There was no difference in the decile for the simulated and actual rates; for example, both </w:t>
                            </w:r>
                            <w:r w:rsidRPr="00C074A5">
                              <w:rPr>
                                <w:sz w:val="22"/>
                                <w:szCs w:val="24"/>
                              </w:rPr>
                              <w:t xml:space="preserve">simulated and actual rates were in the lowest decile. </w:t>
                            </w:r>
                          </w:p>
                          <w:p w14:paraId="0E23463D" w14:textId="77777777" w:rsidR="00E650A5" w:rsidRDefault="00E650A5" w:rsidP="00E650A5">
                            <w:pPr>
                              <w:pStyle w:val="TableCaption"/>
                              <w:numPr>
                                <w:ilvl w:val="0"/>
                                <w:numId w:val="17"/>
                              </w:numPr>
                              <w:rPr>
                                <w:sz w:val="22"/>
                                <w:szCs w:val="24"/>
                              </w:rPr>
                            </w:pPr>
                            <w:r w:rsidRPr="00517134">
                              <w:rPr>
                                <w:sz w:val="22"/>
                                <w:szCs w:val="24"/>
                              </w:rPr>
                              <w:t xml:space="preserve">There was a difference of one decile, and the simulated rate was not on the cusp of the </w:t>
                            </w:r>
                            <w:r w:rsidRPr="00C074A5">
                              <w:rPr>
                                <w:sz w:val="22"/>
                                <w:szCs w:val="24"/>
                              </w:rPr>
                              <w:t xml:space="preserve">next decile (the decile that would make the difference become two); for example, the actual rate was in the lowest decile and the simulated rate was in the second decile, and not on the cusp of the third decile. </w:t>
                            </w:r>
                          </w:p>
                          <w:p w14:paraId="7A4A493B" w14:textId="77777777" w:rsidR="00E650A5" w:rsidRPr="00C074A5" w:rsidRDefault="00E650A5" w:rsidP="00E650A5">
                            <w:pPr>
                              <w:pStyle w:val="TableCaption"/>
                              <w:numPr>
                                <w:ilvl w:val="0"/>
                                <w:numId w:val="0"/>
                              </w:numPr>
                              <w:ind w:left="720"/>
                              <w:rPr>
                                <w:sz w:val="22"/>
                                <w:szCs w:val="24"/>
                              </w:rPr>
                            </w:pPr>
                          </w:p>
                          <w:p w14:paraId="0EE849AF" w14:textId="77777777" w:rsidR="00E650A5" w:rsidRPr="00517134" w:rsidRDefault="00E650A5" w:rsidP="00E650A5">
                            <w:pPr>
                              <w:pStyle w:val="TableCaption"/>
                              <w:numPr>
                                <w:ilvl w:val="0"/>
                                <w:numId w:val="0"/>
                              </w:numPr>
                              <w:rPr>
                                <w:sz w:val="22"/>
                                <w:szCs w:val="24"/>
                              </w:rPr>
                            </w:pPr>
                            <w:r w:rsidRPr="00517134">
                              <w:rPr>
                                <w:sz w:val="22"/>
                                <w:szCs w:val="24"/>
                              </w:rPr>
                              <w:t xml:space="preserve">Where the decile for an affected SA3 was considered to be robust against the volatility of </w:t>
                            </w:r>
                          </w:p>
                          <w:p w14:paraId="005F6BC3" w14:textId="77777777" w:rsidR="00E650A5" w:rsidRPr="00517134" w:rsidRDefault="00E650A5" w:rsidP="00E650A5">
                            <w:pPr>
                              <w:pStyle w:val="TableCaption"/>
                              <w:numPr>
                                <w:ilvl w:val="0"/>
                                <w:numId w:val="0"/>
                              </w:numPr>
                              <w:rPr>
                                <w:sz w:val="22"/>
                                <w:szCs w:val="24"/>
                              </w:rPr>
                            </w:pPr>
                            <w:r w:rsidRPr="00517134">
                              <w:rPr>
                                <w:sz w:val="22"/>
                                <w:szCs w:val="24"/>
                              </w:rPr>
                              <w:t xml:space="preserve">the rate, the rate was published with caution, although the rate was considered potentially </w:t>
                            </w:r>
                          </w:p>
                          <w:p w14:paraId="67B5B941" w14:textId="77777777" w:rsidR="00E650A5" w:rsidRPr="00517134" w:rsidRDefault="00E650A5" w:rsidP="00E650A5">
                            <w:pPr>
                              <w:pStyle w:val="TableCaption"/>
                              <w:numPr>
                                <w:ilvl w:val="0"/>
                                <w:numId w:val="0"/>
                              </w:numPr>
                              <w:rPr>
                                <w:sz w:val="22"/>
                                <w:szCs w:val="24"/>
                              </w:rPr>
                            </w:pPr>
                            <w:r w:rsidRPr="00517134">
                              <w:rPr>
                                <w:sz w:val="22"/>
                                <w:szCs w:val="24"/>
                              </w:rPr>
                              <w:t xml:space="preserve">more volatile than other published rates. The rates with caution were not included in the </w:t>
                            </w:r>
                          </w:p>
                          <w:p w14:paraId="28B18312" w14:textId="77777777" w:rsidR="000B0A89" w:rsidRDefault="00E650A5" w:rsidP="00E650A5">
                            <w:pPr>
                              <w:pStyle w:val="TableCaption"/>
                              <w:numPr>
                                <w:ilvl w:val="0"/>
                                <w:numId w:val="0"/>
                              </w:numPr>
                              <w:rPr>
                                <w:sz w:val="22"/>
                                <w:szCs w:val="24"/>
                              </w:rPr>
                            </w:pPr>
                            <w:r w:rsidRPr="00517134">
                              <w:rPr>
                                <w:sz w:val="22"/>
                                <w:szCs w:val="24"/>
                              </w:rPr>
                              <w:t xml:space="preserve">calculation of the national magnitude of variation, and were presented with an asterisk </w:t>
                            </w:r>
                          </w:p>
                          <w:p w14:paraId="2803570C" w14:textId="02E09C2F" w:rsidR="000B0A89" w:rsidRDefault="00E650A5" w:rsidP="00E650A5">
                            <w:pPr>
                              <w:pStyle w:val="TableCaption"/>
                              <w:numPr>
                                <w:ilvl w:val="0"/>
                                <w:numId w:val="0"/>
                              </w:numPr>
                              <w:rPr>
                                <w:sz w:val="22"/>
                                <w:szCs w:val="24"/>
                              </w:rPr>
                            </w:pPr>
                            <w:r w:rsidRPr="00517134">
                              <w:rPr>
                                <w:sz w:val="22"/>
                                <w:szCs w:val="24"/>
                              </w:rPr>
                              <w:t>(tables), as squares or red rectangles (graphs) and dotted areas (maps).</w:t>
                            </w:r>
                          </w:p>
                          <w:p w14:paraId="6216CA8D" w14:textId="77777777" w:rsidR="000B0A89" w:rsidRDefault="000B0A89" w:rsidP="00E650A5">
                            <w:pPr>
                              <w:pStyle w:val="TableCaption"/>
                              <w:numPr>
                                <w:ilvl w:val="0"/>
                                <w:numId w:val="0"/>
                              </w:numPr>
                              <w:rPr>
                                <w:sz w:val="22"/>
                                <w:szCs w:val="24"/>
                              </w:rPr>
                            </w:pPr>
                          </w:p>
                          <w:p w14:paraId="0E7C42D1" w14:textId="77777777" w:rsidR="000B0A89" w:rsidRDefault="000B0A89" w:rsidP="00E650A5">
                            <w:pPr>
                              <w:pStyle w:val="TableCaption"/>
                              <w:numPr>
                                <w:ilvl w:val="0"/>
                                <w:numId w:val="0"/>
                              </w:numPr>
                              <w:rPr>
                                <w:sz w:val="22"/>
                                <w:szCs w:val="24"/>
                              </w:rPr>
                            </w:pPr>
                          </w:p>
                          <w:p w14:paraId="5CAEE943" w14:textId="77777777" w:rsidR="000B0A89" w:rsidRDefault="000B0A89" w:rsidP="00E650A5">
                            <w:pPr>
                              <w:pStyle w:val="TableCaption"/>
                              <w:numPr>
                                <w:ilvl w:val="0"/>
                                <w:numId w:val="0"/>
                              </w:numPr>
                              <w:rPr>
                                <w:sz w:val="22"/>
                                <w:szCs w:val="24"/>
                              </w:rPr>
                            </w:pPr>
                          </w:p>
                          <w:p w14:paraId="183A2881" w14:textId="77777777" w:rsidR="000B0A89" w:rsidRDefault="000B0A89" w:rsidP="00E650A5">
                            <w:pPr>
                              <w:pStyle w:val="TableCaption"/>
                              <w:numPr>
                                <w:ilvl w:val="0"/>
                                <w:numId w:val="0"/>
                              </w:numPr>
                              <w:rPr>
                                <w:sz w:val="22"/>
                                <w:szCs w:val="24"/>
                              </w:rPr>
                            </w:pPr>
                          </w:p>
                          <w:p w14:paraId="05DE971B" w14:textId="77777777" w:rsidR="000B0A89" w:rsidRDefault="000B0A89" w:rsidP="00E650A5">
                            <w:pPr>
                              <w:pStyle w:val="TableCaption"/>
                              <w:numPr>
                                <w:ilvl w:val="0"/>
                                <w:numId w:val="0"/>
                              </w:numPr>
                              <w:rPr>
                                <w:sz w:val="22"/>
                                <w:szCs w:val="24"/>
                              </w:rPr>
                            </w:pPr>
                          </w:p>
                          <w:p w14:paraId="0819E4EF" w14:textId="77777777" w:rsidR="000B0A89" w:rsidRDefault="000B0A89" w:rsidP="00E650A5">
                            <w:pPr>
                              <w:pStyle w:val="TableCaption"/>
                              <w:numPr>
                                <w:ilvl w:val="0"/>
                                <w:numId w:val="0"/>
                              </w:numPr>
                              <w:rPr>
                                <w:sz w:val="22"/>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39BEAC" id="Rectangle 8" o:spid="_x0000_s1026" style="position:absolute;margin-left:405.05pt;margin-top:5.35pt;width:456.25pt;height:493.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" filled="f" strokecolor="#e1d1fd [1303]" strokeweight="2.25pt">
                <v:textbox>
                  <w:txbxContent>
                    <w:p w14:paraId="220B9181" w14:textId="77777777" w:rsidR="00E650A5" w:rsidRPr="00517134" w:rsidRDefault="00E650A5" w:rsidP="00E650A5">
                      <w:pPr>
                        <w:pStyle w:val="TableCaption"/>
                        <w:numPr>
                          <w:ilvl w:val="0"/>
                          <w:numId w:val="0"/>
                        </w:numPr>
                        <w:spacing w:before="0"/>
                        <w:rPr>
                          <w:b/>
                          <w:bCs/>
                          <w:sz w:val="22"/>
                          <w:szCs w:val="24"/>
                        </w:rPr>
                      </w:pPr>
                      <w:r w:rsidRPr="00517134">
                        <w:rPr>
                          <w:b/>
                          <w:bCs/>
                          <w:sz w:val="22"/>
                          <w:szCs w:val="24"/>
                        </w:rPr>
                        <w:t xml:space="preserve">Box 1: Summary of sensitivity analysis </w:t>
                      </w:r>
                    </w:p>
                    <w:p w14:paraId="30D9CD18" w14:textId="77777777" w:rsidR="00E650A5" w:rsidRPr="00517134" w:rsidRDefault="00E650A5" w:rsidP="00E650A5">
                      <w:pPr>
                        <w:pStyle w:val="TableCaption"/>
                        <w:numPr>
                          <w:ilvl w:val="0"/>
                          <w:numId w:val="0"/>
                        </w:numPr>
                        <w:rPr>
                          <w:sz w:val="22"/>
                          <w:szCs w:val="24"/>
                        </w:rPr>
                      </w:pPr>
                      <w:r w:rsidRPr="00517134">
                        <w:rPr>
                          <w:sz w:val="22"/>
                          <w:szCs w:val="24"/>
                        </w:rPr>
                        <w:t xml:space="preserve">For each SA3 that was suppressed due to a small (below-threshold) denominator for one or </w:t>
                      </w:r>
                    </w:p>
                    <w:p w14:paraId="2E9DD348" w14:textId="77777777" w:rsidR="00E650A5" w:rsidRDefault="00E650A5" w:rsidP="00E650A5">
                      <w:pPr>
                        <w:pStyle w:val="TableCaption"/>
                        <w:numPr>
                          <w:ilvl w:val="0"/>
                          <w:numId w:val="0"/>
                        </w:numPr>
                        <w:rPr>
                          <w:sz w:val="22"/>
                          <w:szCs w:val="24"/>
                        </w:rPr>
                      </w:pPr>
                      <w:r w:rsidRPr="00517134">
                        <w:rPr>
                          <w:sz w:val="22"/>
                          <w:szCs w:val="24"/>
                        </w:rPr>
                        <w:t xml:space="preserve">more age groups (affected SA3), the following analysis was undertaken: </w:t>
                      </w:r>
                    </w:p>
                    <w:p w14:paraId="77BF4885" w14:textId="77777777" w:rsidR="00E650A5" w:rsidRPr="00517134" w:rsidRDefault="00E650A5" w:rsidP="00E650A5">
                      <w:pPr>
                        <w:pStyle w:val="TableCaption"/>
                        <w:numPr>
                          <w:ilvl w:val="0"/>
                          <w:numId w:val="0"/>
                        </w:numPr>
                        <w:rPr>
                          <w:sz w:val="22"/>
                          <w:szCs w:val="24"/>
                        </w:rPr>
                      </w:pPr>
                    </w:p>
                    <w:p w14:paraId="004E0E95" w14:textId="77777777" w:rsidR="00E650A5" w:rsidRDefault="00E650A5" w:rsidP="00E650A5">
                      <w:pPr>
                        <w:pStyle w:val="TableCaption"/>
                        <w:numPr>
                          <w:ilvl w:val="0"/>
                          <w:numId w:val="16"/>
                        </w:numPr>
                        <w:rPr>
                          <w:sz w:val="22"/>
                          <w:szCs w:val="24"/>
                        </w:rPr>
                      </w:pPr>
                      <w:r w:rsidRPr="00517134">
                        <w:rPr>
                          <w:sz w:val="22"/>
                          <w:szCs w:val="24"/>
                        </w:rPr>
                        <w:t xml:space="preserve">The numerator was increased by 1 in each group with a small denominator, to generate a simulated rate. </w:t>
                      </w:r>
                    </w:p>
                    <w:p w14:paraId="4D920BC5" w14:textId="77777777" w:rsidR="00E650A5" w:rsidRDefault="00E650A5" w:rsidP="00E650A5">
                      <w:pPr>
                        <w:pStyle w:val="TableCaption"/>
                        <w:numPr>
                          <w:ilvl w:val="0"/>
                          <w:numId w:val="16"/>
                        </w:numPr>
                        <w:rPr>
                          <w:sz w:val="22"/>
                          <w:szCs w:val="24"/>
                        </w:rPr>
                      </w:pPr>
                      <w:r w:rsidRPr="00517134">
                        <w:rPr>
                          <w:sz w:val="22"/>
                          <w:szCs w:val="24"/>
                        </w:rPr>
                        <w:t xml:space="preserve">All rates, including the simulated rates, were rounded to whole numbers. </w:t>
                      </w:r>
                    </w:p>
                    <w:p w14:paraId="76DA73C2" w14:textId="77777777" w:rsidR="00E650A5" w:rsidRDefault="00E650A5" w:rsidP="00E650A5">
                      <w:pPr>
                        <w:pStyle w:val="TableCaption"/>
                        <w:numPr>
                          <w:ilvl w:val="0"/>
                          <w:numId w:val="16"/>
                        </w:numPr>
                        <w:rPr>
                          <w:sz w:val="22"/>
                          <w:szCs w:val="24"/>
                        </w:rPr>
                      </w:pPr>
                      <w:r w:rsidRPr="00517134">
                        <w:rPr>
                          <w:sz w:val="22"/>
                          <w:szCs w:val="24"/>
                        </w:rPr>
                        <w:t xml:space="preserve">All publishable rates for non-affected SA3s and the simulated rates for affected SA3s were ranked from lowest to highest and split into 10 categories (deciles). </w:t>
                      </w:r>
                    </w:p>
                    <w:p w14:paraId="3597D6FB" w14:textId="77777777" w:rsidR="00E650A5" w:rsidRDefault="00E650A5" w:rsidP="00E650A5">
                      <w:pPr>
                        <w:pStyle w:val="TableCaption"/>
                        <w:numPr>
                          <w:ilvl w:val="0"/>
                          <w:numId w:val="16"/>
                        </w:numPr>
                        <w:rPr>
                          <w:sz w:val="22"/>
                          <w:szCs w:val="24"/>
                        </w:rPr>
                      </w:pPr>
                      <w:r w:rsidRPr="00517134">
                        <w:rPr>
                          <w:sz w:val="22"/>
                          <w:szCs w:val="24"/>
                        </w:rPr>
                        <w:t xml:space="preserve">All publishable rates for non-affected SA3s and the actual rates for affected SA3s were ranked from lowest to highest and split into deciles. </w:t>
                      </w:r>
                    </w:p>
                    <w:p w14:paraId="1D1F3E9E" w14:textId="77777777" w:rsidR="00E650A5" w:rsidRDefault="00E650A5" w:rsidP="00E650A5">
                      <w:pPr>
                        <w:pStyle w:val="TableCaption"/>
                        <w:numPr>
                          <w:ilvl w:val="0"/>
                          <w:numId w:val="16"/>
                        </w:numPr>
                        <w:rPr>
                          <w:sz w:val="22"/>
                          <w:szCs w:val="24"/>
                        </w:rPr>
                      </w:pPr>
                      <w:r w:rsidRPr="00C074A5">
                        <w:rPr>
                          <w:sz w:val="22"/>
                          <w:szCs w:val="24"/>
                        </w:rPr>
                        <w:t xml:space="preserve">The decile of the simulated rate (step 3) was compared with the decile of the actual rate (step 4). </w:t>
                      </w:r>
                    </w:p>
                    <w:p w14:paraId="52B1E84C" w14:textId="77777777" w:rsidR="00E650A5" w:rsidRPr="00D779FE" w:rsidRDefault="00E650A5" w:rsidP="00E650A5">
                      <w:pPr>
                        <w:pStyle w:val="TableCaption"/>
                        <w:numPr>
                          <w:ilvl w:val="0"/>
                          <w:numId w:val="16"/>
                        </w:numPr>
                        <w:rPr>
                          <w:sz w:val="22"/>
                          <w:szCs w:val="24"/>
                        </w:rPr>
                      </w:pPr>
                      <w:r w:rsidRPr="00C074A5">
                        <w:rPr>
                          <w:sz w:val="22"/>
                          <w:szCs w:val="24"/>
                        </w:rPr>
                        <w:t xml:space="preserve">Steps 1 to 5 were repeated with a decrease in the relevant numerators by 1. Negative </w:t>
                      </w:r>
                      <w:r w:rsidRPr="00D779FE">
                        <w:rPr>
                          <w:sz w:val="22"/>
                          <w:szCs w:val="24"/>
                        </w:rPr>
                        <w:t xml:space="preserve">numerators were reset to zero before generating a simulated rate. </w:t>
                      </w:r>
                    </w:p>
                    <w:p w14:paraId="0E298E98" w14:textId="77777777" w:rsidR="00E650A5" w:rsidRPr="00517134" w:rsidRDefault="00E650A5" w:rsidP="00E650A5">
                      <w:pPr>
                        <w:pStyle w:val="TableCaption"/>
                        <w:numPr>
                          <w:ilvl w:val="0"/>
                          <w:numId w:val="0"/>
                        </w:numPr>
                        <w:rPr>
                          <w:sz w:val="22"/>
                          <w:szCs w:val="24"/>
                        </w:rPr>
                      </w:pPr>
                    </w:p>
                    <w:p w14:paraId="6B500EAB" w14:textId="77777777" w:rsidR="00E650A5" w:rsidRPr="00517134" w:rsidRDefault="00E650A5" w:rsidP="00E650A5">
                      <w:pPr>
                        <w:pStyle w:val="TableCaption"/>
                        <w:numPr>
                          <w:ilvl w:val="0"/>
                          <w:numId w:val="0"/>
                        </w:numPr>
                        <w:rPr>
                          <w:sz w:val="22"/>
                          <w:szCs w:val="24"/>
                        </w:rPr>
                      </w:pPr>
                      <w:r w:rsidRPr="00517134">
                        <w:rPr>
                          <w:sz w:val="22"/>
                          <w:szCs w:val="24"/>
                        </w:rPr>
                        <w:t xml:space="preserve">All affected SA3s were included in the simulation simultaneously, to generate maximum </w:t>
                      </w:r>
                    </w:p>
                    <w:p w14:paraId="794FB1D3" w14:textId="77777777" w:rsidR="00E650A5" w:rsidRPr="00517134" w:rsidRDefault="00E650A5" w:rsidP="00E650A5">
                      <w:pPr>
                        <w:pStyle w:val="TableCaption"/>
                        <w:numPr>
                          <w:ilvl w:val="0"/>
                          <w:numId w:val="0"/>
                        </w:numPr>
                        <w:rPr>
                          <w:sz w:val="22"/>
                          <w:szCs w:val="24"/>
                        </w:rPr>
                      </w:pPr>
                      <w:r w:rsidRPr="00517134">
                        <w:rPr>
                          <w:sz w:val="22"/>
                          <w:szCs w:val="24"/>
                        </w:rPr>
                        <w:t xml:space="preserve">differences between the deciles calculated using the simulated rates and the deciles </w:t>
                      </w:r>
                    </w:p>
                    <w:p w14:paraId="0165E7AA" w14:textId="77777777" w:rsidR="00E650A5" w:rsidRPr="00517134" w:rsidRDefault="00E650A5" w:rsidP="00E650A5">
                      <w:pPr>
                        <w:pStyle w:val="TableCaption"/>
                        <w:numPr>
                          <w:ilvl w:val="0"/>
                          <w:numId w:val="0"/>
                        </w:numPr>
                        <w:rPr>
                          <w:sz w:val="22"/>
                          <w:szCs w:val="24"/>
                        </w:rPr>
                      </w:pPr>
                      <w:r w:rsidRPr="00517134">
                        <w:rPr>
                          <w:sz w:val="22"/>
                          <w:szCs w:val="24"/>
                        </w:rPr>
                        <w:t xml:space="preserve">calculated using the actual rates (the most extreme scenario). This was a conservative </w:t>
                      </w:r>
                    </w:p>
                    <w:p w14:paraId="3D75098C" w14:textId="77777777" w:rsidR="00E650A5" w:rsidRDefault="00E650A5" w:rsidP="00E650A5">
                      <w:pPr>
                        <w:pStyle w:val="TableCaption"/>
                        <w:numPr>
                          <w:ilvl w:val="0"/>
                          <w:numId w:val="0"/>
                        </w:numPr>
                        <w:rPr>
                          <w:sz w:val="22"/>
                          <w:szCs w:val="24"/>
                        </w:rPr>
                      </w:pPr>
                      <w:r w:rsidRPr="00517134">
                        <w:rPr>
                          <w:sz w:val="22"/>
                          <w:szCs w:val="24"/>
                        </w:rPr>
                        <w:t xml:space="preserve">method compared with simulation conducted for one affected SA3 at a time. </w:t>
                      </w:r>
                    </w:p>
                    <w:p w14:paraId="4DFC20D1" w14:textId="77777777" w:rsidR="00E650A5" w:rsidRPr="00517134" w:rsidRDefault="00E650A5" w:rsidP="00E650A5">
                      <w:pPr>
                        <w:pStyle w:val="TableCaption"/>
                        <w:numPr>
                          <w:ilvl w:val="0"/>
                          <w:numId w:val="0"/>
                        </w:numPr>
                        <w:rPr>
                          <w:sz w:val="22"/>
                          <w:szCs w:val="24"/>
                        </w:rPr>
                      </w:pPr>
                    </w:p>
                    <w:p w14:paraId="5C83D8E0" w14:textId="77777777" w:rsidR="00E650A5" w:rsidRPr="00517134" w:rsidRDefault="00E650A5" w:rsidP="00E650A5">
                      <w:pPr>
                        <w:pStyle w:val="TableCaption"/>
                        <w:numPr>
                          <w:ilvl w:val="0"/>
                          <w:numId w:val="0"/>
                        </w:numPr>
                        <w:rPr>
                          <w:sz w:val="22"/>
                          <w:szCs w:val="24"/>
                        </w:rPr>
                      </w:pPr>
                      <w:r w:rsidRPr="00517134">
                        <w:rPr>
                          <w:sz w:val="22"/>
                          <w:szCs w:val="24"/>
                        </w:rPr>
                        <w:t xml:space="preserve">The volatility of the actual rate for an affected SA3 was not considered to have a material </w:t>
                      </w:r>
                    </w:p>
                    <w:p w14:paraId="4923F93E" w14:textId="77777777" w:rsidR="00E650A5" w:rsidRPr="00517134" w:rsidRDefault="00E650A5" w:rsidP="00E650A5">
                      <w:pPr>
                        <w:pStyle w:val="TableCaption"/>
                        <w:numPr>
                          <w:ilvl w:val="0"/>
                          <w:numId w:val="0"/>
                        </w:numPr>
                        <w:rPr>
                          <w:sz w:val="22"/>
                          <w:szCs w:val="24"/>
                        </w:rPr>
                      </w:pPr>
                      <w:r w:rsidRPr="00517134">
                        <w:rPr>
                          <w:sz w:val="22"/>
                          <w:szCs w:val="24"/>
                        </w:rPr>
                        <w:t xml:space="preserve">impact on its decile if either of the following conditions was met in each simulation </w:t>
                      </w:r>
                    </w:p>
                    <w:p w14:paraId="041DA0A2" w14:textId="77777777" w:rsidR="00E650A5" w:rsidRDefault="00E650A5" w:rsidP="00E650A5">
                      <w:pPr>
                        <w:pStyle w:val="TableCaption"/>
                        <w:numPr>
                          <w:ilvl w:val="0"/>
                          <w:numId w:val="0"/>
                        </w:numPr>
                        <w:rPr>
                          <w:sz w:val="22"/>
                          <w:szCs w:val="24"/>
                        </w:rPr>
                      </w:pPr>
                      <w:r w:rsidRPr="00517134">
                        <w:rPr>
                          <w:sz w:val="22"/>
                          <w:szCs w:val="24"/>
                        </w:rPr>
                        <w:t xml:space="preserve">(increasing or decreasing the relevant numerators by 1): </w:t>
                      </w:r>
                    </w:p>
                    <w:p w14:paraId="7FA829E9" w14:textId="77777777" w:rsidR="00E650A5" w:rsidRPr="00517134" w:rsidRDefault="00E650A5" w:rsidP="00E650A5">
                      <w:pPr>
                        <w:pStyle w:val="TableCaption"/>
                        <w:numPr>
                          <w:ilvl w:val="0"/>
                          <w:numId w:val="0"/>
                        </w:numPr>
                        <w:rPr>
                          <w:sz w:val="22"/>
                          <w:szCs w:val="24"/>
                        </w:rPr>
                      </w:pPr>
                    </w:p>
                    <w:p w14:paraId="715CBF49" w14:textId="77777777" w:rsidR="00E650A5" w:rsidRPr="00C074A5" w:rsidRDefault="00E650A5" w:rsidP="00E650A5">
                      <w:pPr>
                        <w:pStyle w:val="TableCaption"/>
                        <w:numPr>
                          <w:ilvl w:val="0"/>
                          <w:numId w:val="17"/>
                        </w:numPr>
                        <w:rPr>
                          <w:sz w:val="22"/>
                          <w:szCs w:val="24"/>
                        </w:rPr>
                      </w:pPr>
                      <w:r w:rsidRPr="00517134">
                        <w:rPr>
                          <w:sz w:val="22"/>
                          <w:szCs w:val="24"/>
                        </w:rPr>
                        <w:t xml:space="preserve">There was no difference in the decile for the simulated and actual rates; for example, both </w:t>
                      </w:r>
                      <w:r w:rsidRPr="00C074A5">
                        <w:rPr>
                          <w:sz w:val="22"/>
                          <w:szCs w:val="24"/>
                        </w:rPr>
                        <w:t xml:space="preserve">simulated and actual rates were in the lowest decile. </w:t>
                      </w:r>
                    </w:p>
                    <w:p w14:paraId="0E23463D" w14:textId="77777777" w:rsidR="00E650A5" w:rsidRDefault="00E650A5" w:rsidP="00E650A5">
                      <w:pPr>
                        <w:pStyle w:val="TableCaption"/>
                        <w:numPr>
                          <w:ilvl w:val="0"/>
                          <w:numId w:val="17"/>
                        </w:numPr>
                        <w:rPr>
                          <w:sz w:val="22"/>
                          <w:szCs w:val="24"/>
                        </w:rPr>
                      </w:pPr>
                      <w:r w:rsidRPr="00517134">
                        <w:rPr>
                          <w:sz w:val="22"/>
                          <w:szCs w:val="24"/>
                        </w:rPr>
                        <w:t xml:space="preserve">There was a difference of one decile, and the simulated rate was not on the cusp of the </w:t>
                      </w:r>
                      <w:r w:rsidRPr="00C074A5">
                        <w:rPr>
                          <w:sz w:val="22"/>
                          <w:szCs w:val="24"/>
                        </w:rPr>
                        <w:t xml:space="preserve">next decile (the decile that would make the difference become two); for example, the actual rate was in the lowest </w:t>
                      </w:r>
                      <w:proofErr w:type="gramStart"/>
                      <w:r w:rsidRPr="00C074A5">
                        <w:rPr>
                          <w:sz w:val="22"/>
                          <w:szCs w:val="24"/>
                        </w:rPr>
                        <w:t>decile</w:t>
                      </w:r>
                      <w:proofErr w:type="gramEnd"/>
                      <w:r w:rsidRPr="00C074A5">
                        <w:rPr>
                          <w:sz w:val="22"/>
                          <w:szCs w:val="24"/>
                        </w:rPr>
                        <w:t xml:space="preserve"> and the simulated rate was in the second decile, and not on the cusp of the third decile. </w:t>
                      </w:r>
                    </w:p>
                    <w:p w14:paraId="7A4A493B" w14:textId="77777777" w:rsidR="00E650A5" w:rsidRPr="00C074A5" w:rsidRDefault="00E650A5" w:rsidP="00E650A5">
                      <w:pPr>
                        <w:pStyle w:val="TableCaption"/>
                        <w:numPr>
                          <w:ilvl w:val="0"/>
                          <w:numId w:val="0"/>
                        </w:numPr>
                        <w:ind w:left="720"/>
                        <w:rPr>
                          <w:sz w:val="22"/>
                          <w:szCs w:val="24"/>
                        </w:rPr>
                      </w:pPr>
                    </w:p>
                    <w:p w14:paraId="0EE849AF" w14:textId="77777777" w:rsidR="00E650A5" w:rsidRPr="00517134" w:rsidRDefault="00E650A5" w:rsidP="00E650A5">
                      <w:pPr>
                        <w:pStyle w:val="TableCaption"/>
                        <w:numPr>
                          <w:ilvl w:val="0"/>
                          <w:numId w:val="0"/>
                        </w:numPr>
                        <w:rPr>
                          <w:sz w:val="22"/>
                          <w:szCs w:val="24"/>
                        </w:rPr>
                      </w:pPr>
                      <w:r w:rsidRPr="00517134">
                        <w:rPr>
                          <w:sz w:val="22"/>
                          <w:szCs w:val="24"/>
                        </w:rPr>
                        <w:t xml:space="preserve">Where the decile for an affected SA3 </w:t>
                      </w:r>
                      <w:proofErr w:type="gramStart"/>
                      <w:r w:rsidRPr="00517134">
                        <w:rPr>
                          <w:sz w:val="22"/>
                          <w:szCs w:val="24"/>
                        </w:rPr>
                        <w:t>was considered to be</w:t>
                      </w:r>
                      <w:proofErr w:type="gramEnd"/>
                      <w:r w:rsidRPr="00517134">
                        <w:rPr>
                          <w:sz w:val="22"/>
                          <w:szCs w:val="24"/>
                        </w:rPr>
                        <w:t xml:space="preserve"> robust against the volatility of </w:t>
                      </w:r>
                    </w:p>
                    <w:p w14:paraId="005F6BC3" w14:textId="77777777" w:rsidR="00E650A5" w:rsidRPr="00517134" w:rsidRDefault="00E650A5" w:rsidP="00E650A5">
                      <w:pPr>
                        <w:pStyle w:val="TableCaption"/>
                        <w:numPr>
                          <w:ilvl w:val="0"/>
                          <w:numId w:val="0"/>
                        </w:numPr>
                        <w:rPr>
                          <w:sz w:val="22"/>
                          <w:szCs w:val="24"/>
                        </w:rPr>
                      </w:pPr>
                      <w:r w:rsidRPr="00517134">
                        <w:rPr>
                          <w:sz w:val="22"/>
                          <w:szCs w:val="24"/>
                        </w:rPr>
                        <w:t xml:space="preserve">the rate, the rate was published with caution, although the rate was considered potentially </w:t>
                      </w:r>
                    </w:p>
                    <w:p w14:paraId="67B5B941" w14:textId="77777777" w:rsidR="00E650A5" w:rsidRPr="00517134" w:rsidRDefault="00E650A5" w:rsidP="00E650A5">
                      <w:pPr>
                        <w:pStyle w:val="TableCaption"/>
                        <w:numPr>
                          <w:ilvl w:val="0"/>
                          <w:numId w:val="0"/>
                        </w:numPr>
                        <w:rPr>
                          <w:sz w:val="22"/>
                          <w:szCs w:val="24"/>
                        </w:rPr>
                      </w:pPr>
                      <w:r w:rsidRPr="00517134">
                        <w:rPr>
                          <w:sz w:val="22"/>
                          <w:szCs w:val="24"/>
                        </w:rPr>
                        <w:t xml:space="preserve">more volatile than other published rates. The rates with caution were not included in the </w:t>
                      </w:r>
                    </w:p>
                    <w:p w14:paraId="28B18312" w14:textId="77777777" w:rsidR="000B0A89" w:rsidRDefault="00E650A5" w:rsidP="00E650A5">
                      <w:pPr>
                        <w:pStyle w:val="TableCaption"/>
                        <w:numPr>
                          <w:ilvl w:val="0"/>
                          <w:numId w:val="0"/>
                        </w:numPr>
                        <w:rPr>
                          <w:sz w:val="22"/>
                          <w:szCs w:val="24"/>
                        </w:rPr>
                      </w:pPr>
                      <w:r w:rsidRPr="00517134">
                        <w:rPr>
                          <w:sz w:val="22"/>
                          <w:szCs w:val="24"/>
                        </w:rPr>
                        <w:t xml:space="preserve">calculation of the national magnitude of variation, and were presented with an asterisk </w:t>
                      </w:r>
                    </w:p>
                    <w:p w14:paraId="2803570C" w14:textId="02E09C2F" w:rsidR="000B0A89" w:rsidRDefault="00E650A5" w:rsidP="00E650A5">
                      <w:pPr>
                        <w:pStyle w:val="TableCaption"/>
                        <w:numPr>
                          <w:ilvl w:val="0"/>
                          <w:numId w:val="0"/>
                        </w:numPr>
                        <w:rPr>
                          <w:sz w:val="22"/>
                          <w:szCs w:val="24"/>
                        </w:rPr>
                      </w:pPr>
                      <w:r w:rsidRPr="00517134">
                        <w:rPr>
                          <w:sz w:val="22"/>
                          <w:szCs w:val="24"/>
                        </w:rPr>
                        <w:t>(tables), as squares or red rectangles (graphs) and dotted areas (maps).</w:t>
                      </w:r>
                    </w:p>
                    <w:p w14:paraId="6216CA8D" w14:textId="77777777" w:rsidR="000B0A89" w:rsidRDefault="000B0A89" w:rsidP="00E650A5">
                      <w:pPr>
                        <w:pStyle w:val="TableCaption"/>
                        <w:numPr>
                          <w:ilvl w:val="0"/>
                          <w:numId w:val="0"/>
                        </w:numPr>
                        <w:rPr>
                          <w:sz w:val="22"/>
                          <w:szCs w:val="24"/>
                        </w:rPr>
                      </w:pPr>
                    </w:p>
                    <w:p w14:paraId="0E7C42D1" w14:textId="77777777" w:rsidR="000B0A89" w:rsidRDefault="000B0A89" w:rsidP="00E650A5">
                      <w:pPr>
                        <w:pStyle w:val="TableCaption"/>
                        <w:numPr>
                          <w:ilvl w:val="0"/>
                          <w:numId w:val="0"/>
                        </w:numPr>
                        <w:rPr>
                          <w:sz w:val="22"/>
                          <w:szCs w:val="24"/>
                        </w:rPr>
                      </w:pPr>
                    </w:p>
                    <w:p w14:paraId="5CAEE943" w14:textId="77777777" w:rsidR="000B0A89" w:rsidRDefault="000B0A89" w:rsidP="00E650A5">
                      <w:pPr>
                        <w:pStyle w:val="TableCaption"/>
                        <w:numPr>
                          <w:ilvl w:val="0"/>
                          <w:numId w:val="0"/>
                        </w:numPr>
                        <w:rPr>
                          <w:sz w:val="22"/>
                          <w:szCs w:val="24"/>
                        </w:rPr>
                      </w:pPr>
                    </w:p>
                    <w:p w14:paraId="183A2881" w14:textId="77777777" w:rsidR="000B0A89" w:rsidRDefault="000B0A89" w:rsidP="00E650A5">
                      <w:pPr>
                        <w:pStyle w:val="TableCaption"/>
                        <w:numPr>
                          <w:ilvl w:val="0"/>
                          <w:numId w:val="0"/>
                        </w:numPr>
                        <w:rPr>
                          <w:sz w:val="22"/>
                          <w:szCs w:val="24"/>
                        </w:rPr>
                      </w:pPr>
                    </w:p>
                    <w:p w14:paraId="05DE971B" w14:textId="77777777" w:rsidR="000B0A89" w:rsidRDefault="000B0A89" w:rsidP="00E650A5">
                      <w:pPr>
                        <w:pStyle w:val="TableCaption"/>
                        <w:numPr>
                          <w:ilvl w:val="0"/>
                          <w:numId w:val="0"/>
                        </w:numPr>
                        <w:rPr>
                          <w:sz w:val="22"/>
                          <w:szCs w:val="24"/>
                        </w:rPr>
                      </w:pPr>
                    </w:p>
                    <w:p w14:paraId="0819E4EF" w14:textId="77777777" w:rsidR="000B0A89" w:rsidRDefault="000B0A89" w:rsidP="00E650A5">
                      <w:pPr>
                        <w:pStyle w:val="TableCaption"/>
                        <w:numPr>
                          <w:ilvl w:val="0"/>
                          <w:numId w:val="0"/>
                        </w:numPr>
                        <w:rPr>
                          <w:sz w:val="22"/>
                          <w:szCs w:val="24"/>
                        </w:rPr>
                      </w:pPr>
                    </w:p>
                  </w:txbxContent>
                </v:textbox>
                <w10:wrap anchorx="margin"/>
              </v:rect>
            </w:pict>
          </mc:Fallback>
        </mc:AlternateContent>
      </w:r>
    </w:p>
    <w:p w14:paraId="20872C89" w14:textId="77777777" w:rsidR="000B0A89" w:rsidRDefault="000B0A89" w:rsidP="00E650A5">
      <w:pPr>
        <w:rPr>
          <w:szCs w:val="24"/>
        </w:rPr>
      </w:pPr>
    </w:p>
    <w:p w14:paraId="0ECD3A75" w14:textId="77777777" w:rsidR="000B0A89" w:rsidRDefault="000B0A89" w:rsidP="00E650A5">
      <w:pPr>
        <w:rPr>
          <w:szCs w:val="24"/>
        </w:rPr>
      </w:pPr>
    </w:p>
    <w:p w14:paraId="5D45CC70" w14:textId="77777777" w:rsidR="000B0A89" w:rsidRDefault="000B0A89" w:rsidP="00E650A5">
      <w:pPr>
        <w:rPr>
          <w:szCs w:val="24"/>
        </w:rPr>
      </w:pPr>
    </w:p>
    <w:p w14:paraId="539C043B" w14:textId="77777777" w:rsidR="000B0A89" w:rsidRDefault="000B0A89" w:rsidP="00E650A5">
      <w:pPr>
        <w:rPr>
          <w:szCs w:val="24"/>
        </w:rPr>
      </w:pPr>
    </w:p>
    <w:p w14:paraId="7A7282F2" w14:textId="77777777" w:rsidR="000B0A89" w:rsidRDefault="000B0A89" w:rsidP="00E650A5">
      <w:pPr>
        <w:rPr>
          <w:szCs w:val="24"/>
        </w:rPr>
      </w:pPr>
    </w:p>
    <w:p w14:paraId="7436C194" w14:textId="77777777" w:rsidR="000B0A89" w:rsidRDefault="000B0A89" w:rsidP="00E650A5">
      <w:pPr>
        <w:rPr>
          <w:szCs w:val="24"/>
        </w:rPr>
      </w:pPr>
    </w:p>
    <w:p w14:paraId="592D88E8" w14:textId="77777777" w:rsidR="000B0A89" w:rsidRDefault="000B0A89" w:rsidP="00E650A5">
      <w:pPr>
        <w:rPr>
          <w:szCs w:val="24"/>
        </w:rPr>
      </w:pPr>
    </w:p>
    <w:p w14:paraId="29C284DD" w14:textId="77777777" w:rsidR="000B0A89" w:rsidRDefault="000B0A89" w:rsidP="00E650A5">
      <w:pPr>
        <w:rPr>
          <w:szCs w:val="24"/>
        </w:rPr>
      </w:pPr>
    </w:p>
    <w:p w14:paraId="2B02447E" w14:textId="77777777" w:rsidR="000B0A89" w:rsidRDefault="000B0A89" w:rsidP="00E650A5">
      <w:pPr>
        <w:rPr>
          <w:szCs w:val="24"/>
        </w:rPr>
      </w:pPr>
    </w:p>
    <w:p w14:paraId="57A53480" w14:textId="77777777" w:rsidR="000B0A89" w:rsidRDefault="000B0A89" w:rsidP="00E650A5">
      <w:pPr>
        <w:rPr>
          <w:szCs w:val="24"/>
        </w:rPr>
      </w:pPr>
    </w:p>
    <w:p w14:paraId="4CB5C3E1" w14:textId="77777777" w:rsidR="000B0A89" w:rsidRDefault="000B0A89" w:rsidP="00E650A5">
      <w:pPr>
        <w:rPr>
          <w:szCs w:val="24"/>
        </w:rPr>
      </w:pPr>
    </w:p>
    <w:p w14:paraId="4C88CFB7" w14:textId="77777777" w:rsidR="000B0A89" w:rsidRDefault="000B0A89" w:rsidP="00E650A5">
      <w:pPr>
        <w:rPr>
          <w:szCs w:val="24"/>
        </w:rPr>
      </w:pPr>
    </w:p>
    <w:p w14:paraId="7B989940" w14:textId="77777777" w:rsidR="000B0A89" w:rsidRDefault="000B0A89" w:rsidP="00E650A5">
      <w:pPr>
        <w:rPr>
          <w:szCs w:val="24"/>
        </w:rPr>
      </w:pPr>
    </w:p>
    <w:p w14:paraId="29315C7D" w14:textId="77777777" w:rsidR="000B0A89" w:rsidRDefault="000B0A89" w:rsidP="00E650A5">
      <w:pPr>
        <w:rPr>
          <w:szCs w:val="24"/>
        </w:rPr>
      </w:pPr>
    </w:p>
    <w:p w14:paraId="12AE222D" w14:textId="77777777" w:rsidR="000B0A89" w:rsidRDefault="000B0A89" w:rsidP="00E650A5">
      <w:pPr>
        <w:rPr>
          <w:szCs w:val="24"/>
        </w:rPr>
      </w:pPr>
    </w:p>
    <w:p w14:paraId="6B1A57BA" w14:textId="77777777" w:rsidR="000B0A89" w:rsidRDefault="000B0A89" w:rsidP="00E650A5">
      <w:pPr>
        <w:rPr>
          <w:szCs w:val="24"/>
        </w:rPr>
      </w:pPr>
    </w:p>
    <w:p w14:paraId="7CDBB18A" w14:textId="77777777" w:rsidR="000B0A89" w:rsidRDefault="000B0A89" w:rsidP="00E650A5">
      <w:pPr>
        <w:rPr>
          <w:szCs w:val="24"/>
        </w:rPr>
      </w:pPr>
    </w:p>
    <w:p w14:paraId="3D0A7E5F" w14:textId="77777777" w:rsidR="000B0A89" w:rsidRDefault="000B0A89" w:rsidP="00E650A5">
      <w:pPr>
        <w:rPr>
          <w:szCs w:val="24"/>
        </w:rPr>
      </w:pPr>
    </w:p>
    <w:p w14:paraId="27F3D4CF" w14:textId="77777777" w:rsidR="000B0A89" w:rsidRDefault="000B0A89" w:rsidP="00E650A5">
      <w:pPr>
        <w:rPr>
          <w:szCs w:val="24"/>
        </w:rPr>
      </w:pPr>
    </w:p>
    <w:p w14:paraId="076D5215" w14:textId="77777777" w:rsidR="000B0A89" w:rsidRDefault="000B0A89" w:rsidP="00E650A5">
      <w:pPr>
        <w:rPr>
          <w:szCs w:val="24"/>
        </w:rPr>
      </w:pPr>
    </w:p>
    <w:p w14:paraId="0099494E" w14:textId="77777777" w:rsidR="000B0A89" w:rsidRDefault="000B0A89" w:rsidP="00E650A5">
      <w:pPr>
        <w:rPr>
          <w:szCs w:val="24"/>
        </w:rPr>
      </w:pPr>
    </w:p>
    <w:p w14:paraId="2D9A127C" w14:textId="77777777" w:rsidR="000B0A89" w:rsidRDefault="000B0A89" w:rsidP="00E650A5">
      <w:pPr>
        <w:rPr>
          <w:szCs w:val="24"/>
        </w:rPr>
      </w:pPr>
    </w:p>
    <w:p w14:paraId="1987F137" w14:textId="77777777" w:rsidR="000B0A89" w:rsidRDefault="000B0A89" w:rsidP="00E650A5">
      <w:pPr>
        <w:rPr>
          <w:szCs w:val="24"/>
        </w:rPr>
      </w:pPr>
    </w:p>
    <w:p w14:paraId="04964EF6" w14:textId="77777777" w:rsidR="000B0A89" w:rsidRDefault="000B0A89" w:rsidP="00E650A5">
      <w:pPr>
        <w:rPr>
          <w:szCs w:val="24"/>
        </w:rPr>
      </w:pPr>
    </w:p>
    <w:p w14:paraId="2F35A635" w14:textId="77777777" w:rsidR="000B0A89" w:rsidRPr="00BB4602" w:rsidRDefault="000B0A89" w:rsidP="000B0A89">
      <w:pPr>
        <w:pStyle w:val="Heading2"/>
      </w:pPr>
      <w:r w:rsidRPr="00BB4602">
        <w:lastRenderedPageBreak/>
        <w:t xml:space="preserve">Identification of consistently high and low rate areas </w:t>
      </w:r>
    </w:p>
    <w:p w14:paraId="38361439" w14:textId="77777777" w:rsidR="000B0A89" w:rsidRPr="00BB4602" w:rsidRDefault="000B0A89" w:rsidP="000B0A89">
      <w:pPr>
        <w:pStyle w:val="TableCaption"/>
        <w:numPr>
          <w:ilvl w:val="0"/>
          <w:numId w:val="0"/>
        </w:numPr>
        <w:rPr>
          <w:sz w:val="22"/>
          <w:szCs w:val="24"/>
        </w:rPr>
      </w:pPr>
      <w:r w:rsidRPr="2CC98410">
        <w:rPr>
          <w:sz w:val="22"/>
        </w:rPr>
        <w:t xml:space="preserve">SA3s with consistently high or consistently low rates have been identified. Consistently high or consistently low is defined as those SA3s which fall in the top 10% or bottom 10% of all </w:t>
      </w:r>
      <w:r w:rsidRPr="00BB4602">
        <w:rPr>
          <w:sz w:val="22"/>
          <w:szCs w:val="24"/>
        </w:rPr>
        <w:t xml:space="preserve">SA3s for: </w:t>
      </w:r>
    </w:p>
    <w:p w14:paraId="0DB2A7CD" w14:textId="77777777" w:rsidR="000B0A89" w:rsidRPr="00BB4602" w:rsidRDefault="000B0A89" w:rsidP="000B0A89">
      <w:pPr>
        <w:pStyle w:val="TableCaption"/>
        <w:numPr>
          <w:ilvl w:val="0"/>
          <w:numId w:val="0"/>
        </w:numPr>
        <w:ind w:left="454"/>
        <w:rPr>
          <w:sz w:val="22"/>
          <w:szCs w:val="24"/>
        </w:rPr>
      </w:pPr>
      <w:r w:rsidRPr="00BB4602">
        <w:rPr>
          <w:sz w:val="22"/>
          <w:szCs w:val="24"/>
        </w:rPr>
        <w:t xml:space="preserve">- the 5 most recent reporting years for hysterectomy. </w:t>
      </w:r>
    </w:p>
    <w:p w14:paraId="19DC15D4" w14:textId="77777777" w:rsidR="000B0A89" w:rsidRDefault="000B0A89" w:rsidP="000B0A89">
      <w:pPr>
        <w:pStyle w:val="TableCaption"/>
        <w:numPr>
          <w:ilvl w:val="0"/>
          <w:numId w:val="0"/>
        </w:numPr>
        <w:ind w:left="454"/>
        <w:rPr>
          <w:sz w:val="22"/>
          <w:szCs w:val="24"/>
        </w:rPr>
      </w:pPr>
      <w:r w:rsidRPr="00BB4602">
        <w:rPr>
          <w:sz w:val="22"/>
          <w:szCs w:val="24"/>
        </w:rPr>
        <w:t>- all reporting years for endometrial ablation.</w:t>
      </w:r>
    </w:p>
    <w:p w14:paraId="2B3E1BE4" w14:textId="77777777" w:rsidR="000B0A89" w:rsidRDefault="000B0A89" w:rsidP="000B0A89">
      <w:pPr>
        <w:pStyle w:val="TableCaption"/>
        <w:numPr>
          <w:ilvl w:val="0"/>
          <w:numId w:val="0"/>
        </w:numPr>
        <w:ind w:left="454"/>
        <w:rPr>
          <w:sz w:val="22"/>
          <w:szCs w:val="24"/>
        </w:rPr>
      </w:pPr>
    </w:p>
    <w:p w14:paraId="08C0C44F" w14:textId="77777777" w:rsidR="000B0A89" w:rsidRPr="00BB4602" w:rsidRDefault="000B0A89" w:rsidP="000B0A89">
      <w:pPr>
        <w:pStyle w:val="TableCaption"/>
        <w:numPr>
          <w:ilvl w:val="0"/>
          <w:numId w:val="0"/>
        </w:numPr>
        <w:rPr>
          <w:sz w:val="22"/>
          <w:szCs w:val="24"/>
        </w:rPr>
      </w:pPr>
    </w:p>
    <w:p w14:paraId="6637D34D" w14:textId="77777777" w:rsidR="000B0A89" w:rsidRPr="005209B1" w:rsidRDefault="000B0A89" w:rsidP="000B0A89">
      <w:pPr>
        <w:pStyle w:val="Heading2"/>
      </w:pPr>
      <w:r w:rsidRPr="005209B1">
        <w:t>For more information</w:t>
      </w:r>
    </w:p>
    <w:p w14:paraId="06B2318E" w14:textId="77777777" w:rsidR="000B0A89" w:rsidRPr="00F54926" w:rsidRDefault="000B0A89" w:rsidP="000B0A89">
      <w:pPr>
        <w:spacing w:after="480"/>
        <w:rPr>
          <w:color w:val="FF0000"/>
        </w:rPr>
      </w:pPr>
      <w:r>
        <w:t xml:space="preserve">Please visit: </w:t>
      </w:r>
      <w:r w:rsidRPr="00F81232">
        <w:t>https://www.safetyandquality.gov.au/our-work/healthcare-variation/womens-health-focus-report</w:t>
      </w:r>
    </w:p>
    <w:p w14:paraId="7D23BC5F" w14:textId="77777777" w:rsidR="000B0A89" w:rsidRDefault="000B0A89" w:rsidP="000B0A89">
      <w:r>
        <w:rPr>
          <w:noProof/>
          <w:lang w:val="en-GB"/>
        </w:rPr>
        <w:drawing>
          <wp:inline distT="0" distB="0" distL="0" distR="0" wp14:anchorId="62A7EAA4" wp14:editId="125B73DA">
            <wp:extent cx="576073" cy="201168"/>
            <wp:effectExtent l="0" t="0" r="0" b="8890"/>
            <wp:docPr id="1636521559"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035908" name="Picture 8">
                      <a:extLst>
                        <a:ext uri="{C183D7F6-B498-43B3-948B-1728B52AA6E4}">
                          <adec:decorative xmlns:adec="http://schemas.microsoft.com/office/drawing/2017/decorative" val="1"/>
                        </a:ext>
                      </a:extLst>
                    </pic:cNvPr>
                    <pic:cNvPicPr/>
                  </pic:nvPicPr>
                  <pic:blipFill>
                    <a:blip r:embed="rId38" cstate="print">
                      <a:extLst>
                        <a:ext uri="{28A0092B-C50C-407E-A947-70E740481C1C}">
                          <a14:useLocalDpi xmlns:a14="http://schemas.microsoft.com/office/drawing/2010/main" val="0"/>
                        </a:ext>
                      </a:extLst>
                    </a:blip>
                    <a:stretch>
                      <a:fillRect/>
                    </a:stretch>
                  </pic:blipFill>
                  <pic:spPr>
                    <a:xfrm>
                      <a:off x="0" y="0"/>
                      <a:ext cx="576073" cy="201168"/>
                    </a:xfrm>
                    <a:prstGeom prst="rect">
                      <a:avLst/>
                    </a:prstGeom>
                  </pic:spPr>
                </pic:pic>
              </a:graphicData>
            </a:graphic>
          </wp:inline>
        </w:drawing>
      </w:r>
    </w:p>
    <w:p w14:paraId="5EFE73A8" w14:textId="77777777" w:rsidR="000B0A89" w:rsidRDefault="000B0A89" w:rsidP="000B0A89">
      <w:pPr>
        <w:rPr>
          <w:color w:val="EE0000"/>
        </w:rPr>
      </w:pPr>
      <w:r>
        <w:t xml:space="preserve">© Australian Commission on Safety </w:t>
      </w:r>
      <w:r w:rsidRPr="00F81232">
        <w:rPr>
          <w:color w:val="auto"/>
        </w:rPr>
        <w:t>and Quality in Health Care 2025</w:t>
      </w:r>
    </w:p>
    <w:p w14:paraId="274C250A" w14:textId="77777777" w:rsidR="000B0A89" w:rsidRDefault="000B0A89" w:rsidP="00E650A5"/>
    <w:sectPr w:rsidR="000B0A89" w:rsidSect="00B967A4">
      <w:headerReference w:type="even" r:id="rId39"/>
      <w:headerReference w:type="default" r:id="rId40"/>
      <w:footerReference w:type="even" r:id="rId41"/>
      <w:footerReference w:type="default" r:id="rId42"/>
      <w:headerReference w:type="first" r:id="rId43"/>
      <w:footerReference w:type="first" r:id="rId44"/>
      <w:pgSz w:w="11906" w:h="16838" w:code="9"/>
      <w:pgMar w:top="1418" w:right="1361" w:bottom="1361" w:left="1361" w:header="624" w:footer="6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BB561" w14:textId="77777777" w:rsidR="001B7807" w:rsidRDefault="001B7807" w:rsidP="001D0AFC">
      <w:r>
        <w:separator/>
      </w:r>
    </w:p>
    <w:p w14:paraId="675A1D55" w14:textId="77777777" w:rsidR="001B7807" w:rsidRDefault="001B7807"/>
    <w:p w14:paraId="07243095" w14:textId="77777777" w:rsidR="001B7807" w:rsidRDefault="001B7807"/>
    <w:p w14:paraId="12686A6C" w14:textId="77777777" w:rsidR="001B7807" w:rsidRDefault="001B7807"/>
  </w:endnote>
  <w:endnote w:type="continuationSeparator" w:id="0">
    <w:p w14:paraId="5D6417D1" w14:textId="77777777" w:rsidR="001B7807" w:rsidRDefault="001B7807" w:rsidP="001D0AFC">
      <w:r>
        <w:continuationSeparator/>
      </w:r>
    </w:p>
    <w:p w14:paraId="63F285F0" w14:textId="77777777" w:rsidR="001B7807" w:rsidRDefault="001B7807"/>
    <w:p w14:paraId="6A09404C" w14:textId="77777777" w:rsidR="001B7807" w:rsidRDefault="001B7807"/>
    <w:p w14:paraId="7FF483F7" w14:textId="77777777" w:rsidR="001B7807" w:rsidRDefault="001B78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8F269" w14:textId="7B6B6CC2" w:rsidR="005D7A83" w:rsidRDefault="005D7A83">
    <w:pPr>
      <w:pStyle w:val="Footer"/>
    </w:pPr>
    <w:r>
      <w:rPr>
        <w:noProof/>
      </w:rPr>
      <mc:AlternateContent>
        <mc:Choice Requires="wps">
          <w:drawing>
            <wp:anchor distT="0" distB="0" distL="0" distR="0" simplePos="0" relativeHeight="251671552" behindDoc="0" locked="0" layoutInCell="1" allowOverlap="1" wp14:anchorId="63385858" wp14:editId="1F15970F">
              <wp:simplePos x="635" y="635"/>
              <wp:positionH relativeFrom="page">
                <wp:align>center</wp:align>
              </wp:positionH>
              <wp:positionV relativeFrom="page">
                <wp:align>bottom</wp:align>
              </wp:positionV>
              <wp:extent cx="622300" cy="452755"/>
              <wp:effectExtent l="0" t="0" r="6350" b="0"/>
              <wp:wrapNone/>
              <wp:docPr id="33456400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6E9D1F27" w14:textId="1CC1136E" w:rsidR="005D7A83" w:rsidRPr="005D7A83" w:rsidRDefault="005D7A83" w:rsidP="005D7A83">
                          <w:pPr>
                            <w:spacing w:after="0"/>
                            <w:rPr>
                              <w:rFonts w:ascii="Aptos" w:eastAsia="Aptos" w:hAnsi="Aptos" w:cs="Aptos"/>
                              <w:noProof/>
                              <w:color w:val="FF0000"/>
                              <w:sz w:val="24"/>
                              <w:szCs w:val="24"/>
                            </w:rPr>
                          </w:pPr>
                          <w:r w:rsidRPr="005D7A8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385858" id="_x0000_t202" coordsize="21600,21600" o:spt="202" path="m,l,21600r21600,l21600,xe">
              <v:stroke joinstyle="miter"/>
              <v:path gradientshapeok="t" o:connecttype="rect"/>
            </v:shapetype>
            <v:shape id="Text Box 5" o:spid="_x0000_s1029" type="#_x0000_t202" alt="OFFICIAL" style="position:absolute;margin-left:0;margin-top:0;width:49pt;height:35.6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" filled="f" stroked="f">
              <v:fill o:detectmouseclick="t"/>
              <v:textbox style="mso-fit-shape-to-text:t" inset="0,0,0,15pt">
                <w:txbxContent>
                  <w:p w14:paraId="6E9D1F27" w14:textId="1CC1136E" w:rsidR="005D7A83" w:rsidRPr="005D7A83" w:rsidRDefault="005D7A83" w:rsidP="005D7A83">
                    <w:pPr>
                      <w:spacing w:after="0"/>
                      <w:rPr>
                        <w:rFonts w:ascii="Aptos" w:eastAsia="Aptos" w:hAnsi="Aptos" w:cs="Aptos"/>
                        <w:noProof/>
                        <w:color w:val="FF0000"/>
                        <w:sz w:val="24"/>
                        <w:szCs w:val="24"/>
                      </w:rPr>
                    </w:pPr>
                    <w:r w:rsidRPr="005D7A83">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FD239" w14:textId="73E5815E" w:rsidR="00F67850" w:rsidRDefault="005D7A83" w:rsidP="00F67850">
    <w:pPr>
      <w:pStyle w:val="Footer"/>
      <w:ind w:left="284"/>
    </w:pPr>
    <w:r>
      <w:rPr>
        <w:noProof/>
        <w:color w:val="FF0000"/>
      </w:rPr>
      <mc:AlternateContent>
        <mc:Choice Requires="wps">
          <w:drawing>
            <wp:anchor distT="0" distB="0" distL="0" distR="0" simplePos="0" relativeHeight="251672576" behindDoc="0" locked="0" layoutInCell="1" allowOverlap="1" wp14:anchorId="7B585577" wp14:editId="3D060396">
              <wp:simplePos x="864870" y="10171430"/>
              <wp:positionH relativeFrom="page">
                <wp:align>center</wp:align>
              </wp:positionH>
              <wp:positionV relativeFrom="page">
                <wp:align>bottom</wp:align>
              </wp:positionV>
              <wp:extent cx="622300" cy="452755"/>
              <wp:effectExtent l="0" t="0" r="6350" b="0"/>
              <wp:wrapNone/>
              <wp:docPr id="8853080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2885EA79" w14:textId="3480E0E0" w:rsidR="005D7A83" w:rsidRPr="005D7A83" w:rsidRDefault="005D7A83" w:rsidP="005D7A83">
                          <w:pPr>
                            <w:spacing w:after="0"/>
                            <w:rPr>
                              <w:rFonts w:ascii="Aptos" w:eastAsia="Aptos" w:hAnsi="Aptos" w:cs="Aptos"/>
                              <w:noProof/>
                              <w:color w:val="FF0000"/>
                              <w:sz w:val="24"/>
                              <w:szCs w:val="24"/>
                            </w:rPr>
                          </w:pPr>
                          <w:r w:rsidRPr="005D7A8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585577" id="_x0000_t202" coordsize="21600,21600" o:spt="202" path="m,l,21600r21600,l21600,xe">
              <v:stroke joinstyle="miter"/>
              <v:path gradientshapeok="t" o:connecttype="rect"/>
            </v:shapetype>
            <v:shape id="Text Box 6" o:spid="_x0000_s1030" type="#_x0000_t202" alt="OFFICIAL" style="position:absolute;left:0;text-align:left;margin-left:0;margin-top:0;width:49pt;height:35.6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" filled="f" stroked="f">
              <v:fill o:detectmouseclick="t"/>
              <v:textbox style="mso-fit-shape-to-text:t" inset="0,0,0,15pt">
                <w:txbxContent>
                  <w:p w14:paraId="2885EA79" w14:textId="3480E0E0" w:rsidR="005D7A83" w:rsidRPr="005D7A83" w:rsidRDefault="005D7A83" w:rsidP="005D7A83">
                    <w:pPr>
                      <w:spacing w:after="0"/>
                      <w:rPr>
                        <w:rFonts w:ascii="Aptos" w:eastAsia="Aptos" w:hAnsi="Aptos" w:cs="Aptos"/>
                        <w:noProof/>
                        <w:color w:val="FF0000"/>
                        <w:sz w:val="24"/>
                        <w:szCs w:val="24"/>
                      </w:rPr>
                    </w:pPr>
                    <w:r w:rsidRPr="005D7A83">
                      <w:rPr>
                        <w:rFonts w:ascii="Aptos" w:eastAsia="Aptos" w:hAnsi="Aptos" w:cs="Aptos"/>
                        <w:noProof/>
                        <w:color w:val="FF0000"/>
                        <w:sz w:val="24"/>
                        <w:szCs w:val="24"/>
                      </w:rPr>
                      <w:t>OFFICIAL</w:t>
                    </w:r>
                  </w:p>
                </w:txbxContent>
              </v:textbox>
              <w10:wrap anchorx="page" anchory="page"/>
            </v:shape>
          </w:pict>
        </mc:Fallback>
      </mc:AlternateContent>
    </w:r>
    <w:r w:rsidR="00F67850" w:rsidRPr="00F54926">
      <w:rPr>
        <w:noProof/>
        <w:color w:val="FF0000"/>
      </w:rPr>
      <w:drawing>
        <wp:anchor distT="0" distB="0" distL="114300" distR="114300" simplePos="0" relativeHeight="251664384" behindDoc="0" locked="0" layoutInCell="1" allowOverlap="1" wp14:anchorId="75960478" wp14:editId="17366F59">
          <wp:simplePos x="0" y="0"/>
          <wp:positionH relativeFrom="column">
            <wp:posOffset>0</wp:posOffset>
          </wp:positionH>
          <wp:positionV relativeFrom="paragraph">
            <wp:posOffset>-20320</wp:posOffset>
          </wp:positionV>
          <wp:extent cx="138430" cy="179705"/>
          <wp:effectExtent l="0" t="0" r="0" b="0"/>
          <wp:wrapNone/>
          <wp:docPr id="3759673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824943"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30" cy="179705"/>
                  </a:xfrm>
                  <a:prstGeom prst="rect">
                    <a:avLst/>
                  </a:prstGeom>
                  <a:noFill/>
                  <a:ln>
                    <a:noFill/>
                  </a:ln>
                </pic:spPr>
              </pic:pic>
            </a:graphicData>
          </a:graphic>
          <wp14:sizeRelH relativeFrom="page">
            <wp14:pctWidth>0</wp14:pctWidth>
          </wp14:sizeRelH>
          <wp14:sizeRelV relativeFrom="page">
            <wp14:pctHeight>0</wp14:pctHeight>
          </wp14:sizeRelV>
        </wp:anchor>
      </w:drawing>
    </w:r>
    <w:r w:rsidR="001353C4" w:rsidRPr="001353C4">
      <w:rPr>
        <w:color w:val="auto"/>
      </w:rPr>
      <w:t xml:space="preserve"> Heavy Menstrual Bleeding – Technical note</w:t>
    </w:r>
    <w:r w:rsidR="00F67850" w:rsidRPr="00F67850">
      <w:tab/>
    </w:r>
    <w:r w:rsidR="00F67850" w:rsidRPr="00F67850">
      <w:rPr>
        <w:b/>
        <w:bCs/>
      </w:rPr>
      <w:fldChar w:fldCharType="begin"/>
    </w:r>
    <w:r w:rsidR="00F67850" w:rsidRPr="00F67850">
      <w:rPr>
        <w:b/>
        <w:bCs/>
      </w:rPr>
      <w:instrText xml:space="preserve"> PAGE   \* MERGEFORMAT </w:instrText>
    </w:r>
    <w:r w:rsidR="00F67850" w:rsidRPr="00F67850">
      <w:rPr>
        <w:b/>
        <w:bCs/>
      </w:rPr>
      <w:fldChar w:fldCharType="separate"/>
    </w:r>
    <w:r w:rsidR="00F67850" w:rsidRPr="00F67850">
      <w:rPr>
        <w:b/>
        <w:bCs/>
      </w:rPr>
      <w:t>1</w:t>
    </w:r>
    <w:r w:rsidR="00F67850" w:rsidRPr="00F67850">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DF789" w14:textId="139C43FA" w:rsidR="00F67850" w:rsidRDefault="005D7A83">
    <w:pPr>
      <w:pStyle w:val="Footer"/>
    </w:pPr>
    <w:r>
      <w:rPr>
        <w:noProof/>
        <w:color w:val="FF0000"/>
      </w:rPr>
      <mc:AlternateContent>
        <mc:Choice Requires="wps">
          <w:drawing>
            <wp:anchor distT="0" distB="0" distL="0" distR="0" simplePos="0" relativeHeight="251670528" behindDoc="0" locked="0" layoutInCell="1" allowOverlap="1" wp14:anchorId="2C011137" wp14:editId="1B340577">
              <wp:simplePos x="866692" y="10169718"/>
              <wp:positionH relativeFrom="page">
                <wp:align>center</wp:align>
              </wp:positionH>
              <wp:positionV relativeFrom="page">
                <wp:align>bottom</wp:align>
              </wp:positionV>
              <wp:extent cx="622300" cy="452755"/>
              <wp:effectExtent l="0" t="0" r="6350" b="0"/>
              <wp:wrapNone/>
              <wp:docPr id="43783521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0F515433" w14:textId="3E17F3D5" w:rsidR="005D7A83" w:rsidRPr="005D7A83" w:rsidRDefault="005D7A83" w:rsidP="005D7A83">
                          <w:pPr>
                            <w:spacing w:after="0"/>
                            <w:rPr>
                              <w:rFonts w:ascii="Aptos" w:eastAsia="Aptos" w:hAnsi="Aptos" w:cs="Aptos"/>
                              <w:noProof/>
                              <w:color w:val="FF0000"/>
                              <w:sz w:val="24"/>
                              <w:szCs w:val="24"/>
                            </w:rPr>
                          </w:pPr>
                          <w:r w:rsidRPr="005D7A8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011137" id="_x0000_t202" coordsize="21600,21600" o:spt="202" path="m,l,21600r21600,l21600,xe">
              <v:stroke joinstyle="miter"/>
              <v:path gradientshapeok="t" o:connecttype="rect"/>
            </v:shapetype>
            <v:shape id="Text Box 4" o:spid="_x0000_s1032" type="#_x0000_t202" alt="OFFICIAL" style="position:absolute;margin-left:0;margin-top:0;width:49pt;height:35.6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BgfXuCDgIAABwE&#10;AAAOAAAAAAAAAAAAAAAAAC4CAABkcnMvZTJvRG9jLnhtbFBLAQItABQABgAIAAAAIQCmX8R22gAA&#10;AAMBAAAPAAAAAAAAAAAAAAAAAGgEAABkcnMvZG93bnJldi54bWxQSwUGAAAAAAQABADzAAAAbwUA&#10;AAAA&#10;" filled="f" stroked="f">
              <v:fill o:detectmouseclick="t"/>
              <v:textbox style="mso-fit-shape-to-text:t" inset="0,0,0,15pt">
                <w:txbxContent>
                  <w:p w14:paraId="0F515433" w14:textId="3E17F3D5" w:rsidR="005D7A83" w:rsidRPr="005D7A83" w:rsidRDefault="005D7A83" w:rsidP="005D7A83">
                    <w:pPr>
                      <w:spacing w:after="0"/>
                      <w:rPr>
                        <w:rFonts w:ascii="Aptos" w:eastAsia="Aptos" w:hAnsi="Aptos" w:cs="Aptos"/>
                        <w:noProof/>
                        <w:color w:val="FF0000"/>
                        <w:sz w:val="24"/>
                        <w:szCs w:val="24"/>
                      </w:rPr>
                    </w:pPr>
                    <w:r w:rsidRPr="005D7A83">
                      <w:rPr>
                        <w:rFonts w:ascii="Aptos" w:eastAsia="Aptos" w:hAnsi="Aptos" w:cs="Aptos"/>
                        <w:noProof/>
                        <w:color w:val="FF0000"/>
                        <w:sz w:val="24"/>
                        <w:szCs w:val="24"/>
                      </w:rPr>
                      <w:t>OFFICIAL</w:t>
                    </w:r>
                  </w:p>
                </w:txbxContent>
              </v:textbox>
              <w10:wrap anchorx="page" anchory="page"/>
            </v:shape>
          </w:pict>
        </mc:Fallback>
      </mc:AlternateContent>
    </w:r>
    <w:r w:rsidR="00F67850" w:rsidRPr="00F54926">
      <w:rPr>
        <w:noProof/>
        <w:color w:val="FF0000"/>
      </w:rPr>
      <w:drawing>
        <wp:anchor distT="0" distB="0" distL="114300" distR="114300" simplePos="0" relativeHeight="251662336" behindDoc="0" locked="0" layoutInCell="1" allowOverlap="1" wp14:anchorId="71BE8ACB" wp14:editId="35DF7526">
          <wp:simplePos x="0" y="0"/>
          <wp:positionH relativeFrom="column">
            <wp:posOffset>-135890</wp:posOffset>
          </wp:positionH>
          <wp:positionV relativeFrom="paragraph">
            <wp:posOffset>-26035</wp:posOffset>
          </wp:positionV>
          <wp:extent cx="138430" cy="179705"/>
          <wp:effectExtent l="0" t="0" r="0" b="0"/>
          <wp:wrapNone/>
          <wp:docPr id="1895484310"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824943"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30" cy="179705"/>
                  </a:xfrm>
                  <a:prstGeom prst="rect">
                    <a:avLst/>
                  </a:prstGeom>
                  <a:noFill/>
                  <a:ln>
                    <a:noFill/>
                  </a:ln>
                </pic:spPr>
              </pic:pic>
            </a:graphicData>
          </a:graphic>
          <wp14:sizeRelH relativeFrom="page">
            <wp14:pctWidth>0</wp14:pctWidth>
          </wp14:sizeRelH>
          <wp14:sizeRelV relativeFrom="page">
            <wp14:pctHeight>0</wp14:pctHeight>
          </wp14:sizeRelV>
        </wp:anchor>
      </w:drawing>
    </w:r>
    <w:r w:rsidR="00F67850" w:rsidRPr="00F54926">
      <w:rPr>
        <w:color w:val="FF0000"/>
      </w:rPr>
      <w:t xml:space="preserve"> </w:t>
    </w:r>
    <w:r w:rsidR="001353C4" w:rsidRPr="001353C4">
      <w:rPr>
        <w:color w:val="auto"/>
      </w:rPr>
      <w:t>Heavy Menstrual Bleeding – Technical note</w:t>
    </w:r>
    <w:r w:rsidR="00F67850" w:rsidRPr="001353C4">
      <w:rPr>
        <w:color w:val="auto"/>
      </w:rPr>
      <w:t xml:space="preserve"> </w:t>
    </w:r>
    <w:r w:rsidR="00F67850" w:rsidRPr="00F67850">
      <w:tab/>
    </w:r>
    <w:r w:rsidR="00F67850" w:rsidRPr="00F67850">
      <w:rPr>
        <w:b/>
        <w:bCs/>
      </w:rPr>
      <w:fldChar w:fldCharType="begin"/>
    </w:r>
    <w:r w:rsidR="00F67850" w:rsidRPr="00F67850">
      <w:rPr>
        <w:b/>
        <w:bCs/>
      </w:rPr>
      <w:instrText xml:space="preserve"> PAGE   \* MERGEFORMAT </w:instrText>
    </w:r>
    <w:r w:rsidR="00F67850" w:rsidRPr="00F67850">
      <w:rPr>
        <w:b/>
        <w:bCs/>
      </w:rPr>
      <w:fldChar w:fldCharType="separate"/>
    </w:r>
    <w:r w:rsidR="00F67850" w:rsidRPr="00F67850">
      <w:rPr>
        <w:b/>
        <w:bCs/>
        <w:noProof/>
      </w:rPr>
      <w:t>1</w:t>
    </w:r>
    <w:r w:rsidR="00F67850" w:rsidRPr="00F67850">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BDD65" w14:textId="77777777" w:rsidR="001B7807" w:rsidRDefault="001B7807" w:rsidP="001D0AFC">
      <w:r>
        <w:separator/>
      </w:r>
    </w:p>
    <w:p w14:paraId="5CD97748" w14:textId="77777777" w:rsidR="001B7807" w:rsidRDefault="001B7807"/>
  </w:footnote>
  <w:footnote w:type="continuationSeparator" w:id="0">
    <w:p w14:paraId="33DF13ED" w14:textId="77777777" w:rsidR="001B7807" w:rsidRDefault="001B7807" w:rsidP="001D0AFC">
      <w:r>
        <w:continuationSeparator/>
      </w:r>
    </w:p>
    <w:p w14:paraId="100C47CA" w14:textId="77777777" w:rsidR="001B7807" w:rsidRDefault="001B7807"/>
  </w:footnote>
  <w:footnote w:type="continuationNotice" w:id="1">
    <w:p w14:paraId="7BDF9527" w14:textId="77777777" w:rsidR="001B7807" w:rsidRDefault="001B7807">
      <w:pPr>
        <w:spacing w:before="0" w:after="0"/>
      </w:pPr>
    </w:p>
    <w:p w14:paraId="4B69FBFE" w14:textId="77777777" w:rsidR="001B7807" w:rsidRDefault="001B78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ACF66" w14:textId="295BD17F" w:rsidR="005D7A83" w:rsidRDefault="005D7A83">
    <w:pPr>
      <w:pStyle w:val="Header"/>
    </w:pPr>
    <w:r>
      <w:rPr>
        <w:noProof/>
      </w:rPr>
      <mc:AlternateContent>
        <mc:Choice Requires="wps">
          <w:drawing>
            <wp:anchor distT="0" distB="0" distL="0" distR="0" simplePos="0" relativeHeight="251668480" behindDoc="0" locked="0" layoutInCell="1" allowOverlap="1" wp14:anchorId="4280B400" wp14:editId="18D9DFE9">
              <wp:simplePos x="635" y="635"/>
              <wp:positionH relativeFrom="page">
                <wp:align>center</wp:align>
              </wp:positionH>
              <wp:positionV relativeFrom="page">
                <wp:align>top</wp:align>
              </wp:positionV>
              <wp:extent cx="622300" cy="452755"/>
              <wp:effectExtent l="0" t="0" r="6350" b="4445"/>
              <wp:wrapNone/>
              <wp:docPr id="50066769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7121CD7C" w14:textId="38D501F6" w:rsidR="005D7A83" w:rsidRPr="005D7A83" w:rsidRDefault="005D7A83" w:rsidP="005D7A83">
                          <w:pPr>
                            <w:spacing w:after="0"/>
                            <w:rPr>
                              <w:rFonts w:ascii="Aptos" w:eastAsia="Aptos" w:hAnsi="Aptos" w:cs="Aptos"/>
                              <w:noProof/>
                              <w:color w:val="FF0000"/>
                              <w:sz w:val="24"/>
                              <w:szCs w:val="24"/>
                            </w:rPr>
                          </w:pPr>
                          <w:r w:rsidRPr="005D7A8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80B400" id="_x0000_t202" coordsize="21600,21600" o:spt="202" path="m,l,21600r21600,l21600,xe">
              <v:stroke joinstyle="miter"/>
              <v:path gradientshapeok="t" o:connecttype="rect"/>
            </v:shapetype>
            <v:shape id="Text Box 2" o:spid="_x0000_s1027" type="#_x0000_t202" alt="OFFICIAL" style="position:absolute;margin-left:0;margin-top:0;width:49pt;height:35.6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" filled="f" stroked="f">
              <v:fill o:detectmouseclick="t"/>
              <v:textbox style="mso-fit-shape-to-text:t" inset="0,15pt,0,0">
                <w:txbxContent>
                  <w:p w14:paraId="7121CD7C" w14:textId="38D501F6" w:rsidR="005D7A83" w:rsidRPr="005D7A83" w:rsidRDefault="005D7A83" w:rsidP="005D7A83">
                    <w:pPr>
                      <w:spacing w:after="0"/>
                      <w:rPr>
                        <w:rFonts w:ascii="Aptos" w:eastAsia="Aptos" w:hAnsi="Aptos" w:cs="Aptos"/>
                        <w:noProof/>
                        <w:color w:val="FF0000"/>
                        <w:sz w:val="24"/>
                        <w:szCs w:val="24"/>
                      </w:rPr>
                    </w:pPr>
                    <w:r w:rsidRPr="005D7A83">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971A4" w14:textId="4C0EC237" w:rsidR="005D7A83" w:rsidRDefault="005D7A83">
    <w:pPr>
      <w:pStyle w:val="Header"/>
    </w:pPr>
    <w:r>
      <w:rPr>
        <w:noProof/>
      </w:rPr>
      <mc:AlternateContent>
        <mc:Choice Requires="wps">
          <w:drawing>
            <wp:anchor distT="0" distB="0" distL="0" distR="0" simplePos="0" relativeHeight="251669504" behindDoc="0" locked="0" layoutInCell="1" allowOverlap="1" wp14:anchorId="6D3D9C4F" wp14:editId="3AE25517">
              <wp:simplePos x="864870" y="396875"/>
              <wp:positionH relativeFrom="page">
                <wp:align>center</wp:align>
              </wp:positionH>
              <wp:positionV relativeFrom="page">
                <wp:align>top</wp:align>
              </wp:positionV>
              <wp:extent cx="622300" cy="452755"/>
              <wp:effectExtent l="0" t="0" r="6350" b="4445"/>
              <wp:wrapNone/>
              <wp:docPr id="73549974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6824C0E7" w14:textId="65095474" w:rsidR="005D7A83" w:rsidRPr="005D7A83" w:rsidRDefault="005D7A83" w:rsidP="005D7A83">
                          <w:pPr>
                            <w:spacing w:after="0"/>
                            <w:rPr>
                              <w:rFonts w:ascii="Aptos" w:eastAsia="Aptos" w:hAnsi="Aptos" w:cs="Aptos"/>
                              <w:noProof/>
                              <w:color w:val="FF0000"/>
                              <w:sz w:val="24"/>
                              <w:szCs w:val="24"/>
                            </w:rPr>
                          </w:pPr>
                          <w:r w:rsidRPr="005D7A8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3D9C4F" id="_x0000_t202" coordsize="21600,21600" o:spt="202" path="m,l,21600r21600,l21600,xe">
              <v:stroke joinstyle="miter"/>
              <v:path gradientshapeok="t" o:connecttype="rect"/>
            </v:shapetype>
            <v:shape id="Text Box 3" o:spid="_x0000_s1028" type="#_x0000_t202" alt="OFFICIAL" style="position:absolute;margin-left:0;margin-top:0;width:49pt;height:35.6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ZgLDQIAABw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" filled="f" stroked="f">
              <v:fill o:detectmouseclick="t"/>
              <v:textbox style="mso-fit-shape-to-text:t" inset="0,15pt,0,0">
                <w:txbxContent>
                  <w:p w14:paraId="6824C0E7" w14:textId="65095474" w:rsidR="005D7A83" w:rsidRPr="005D7A83" w:rsidRDefault="005D7A83" w:rsidP="005D7A83">
                    <w:pPr>
                      <w:spacing w:after="0"/>
                      <w:rPr>
                        <w:rFonts w:ascii="Aptos" w:eastAsia="Aptos" w:hAnsi="Aptos" w:cs="Aptos"/>
                        <w:noProof/>
                        <w:color w:val="FF0000"/>
                        <w:sz w:val="24"/>
                        <w:szCs w:val="24"/>
                      </w:rPr>
                    </w:pPr>
                    <w:r w:rsidRPr="005D7A83">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8C65C" w14:textId="0CA2C109" w:rsidR="007F549A" w:rsidRPr="007F549A" w:rsidRDefault="005D7A83" w:rsidP="007F549A">
    <w:pPr>
      <w:spacing w:before="0" w:after="0" w:line="240" w:lineRule="auto"/>
      <w:rPr>
        <w:rFonts w:ascii="Times New Roman" w:eastAsia="Times New Roman" w:hAnsi="Times New Roman"/>
        <w:color w:val="auto"/>
        <w:sz w:val="24"/>
        <w:szCs w:val="24"/>
        <w:lang w:eastAsia="en-AU"/>
      </w:rPr>
    </w:pPr>
    <w:r>
      <w:rPr>
        <w:noProof/>
      </w:rPr>
      <mc:AlternateContent>
        <mc:Choice Requires="wps">
          <w:drawing>
            <wp:anchor distT="0" distB="0" distL="0" distR="0" simplePos="0" relativeHeight="251667456" behindDoc="0" locked="0" layoutInCell="1" allowOverlap="1" wp14:anchorId="5AD42121" wp14:editId="379FBB79">
              <wp:simplePos x="866692" y="397565"/>
              <wp:positionH relativeFrom="page">
                <wp:align>center</wp:align>
              </wp:positionH>
              <wp:positionV relativeFrom="page">
                <wp:align>top</wp:align>
              </wp:positionV>
              <wp:extent cx="622300" cy="452755"/>
              <wp:effectExtent l="0" t="0" r="6350" b="4445"/>
              <wp:wrapNone/>
              <wp:docPr id="94380958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3E143D03" w14:textId="29757D33" w:rsidR="005D7A83" w:rsidRPr="005D7A83" w:rsidRDefault="005D7A83" w:rsidP="005D7A83">
                          <w:pPr>
                            <w:spacing w:after="0"/>
                            <w:rPr>
                              <w:rFonts w:ascii="Aptos" w:eastAsia="Aptos" w:hAnsi="Aptos" w:cs="Aptos"/>
                              <w:noProof/>
                              <w:color w:val="FF0000"/>
                              <w:sz w:val="24"/>
                              <w:szCs w:val="24"/>
                            </w:rPr>
                          </w:pPr>
                          <w:r w:rsidRPr="005D7A8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D42121" id="_x0000_t202" coordsize="21600,21600" o:spt="202" path="m,l,21600r21600,l21600,xe">
              <v:stroke joinstyle="miter"/>
              <v:path gradientshapeok="t" o:connecttype="rect"/>
            </v:shapetype>
            <v:shape id="Text Box 1" o:spid="_x0000_s1031" type="#_x0000_t202" alt="OFFICIAL" style="position:absolute;margin-left:0;margin-top:0;width:49pt;height:35.6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filled="f" stroked="f">
              <v:fill o:detectmouseclick="t"/>
              <v:textbox style="mso-fit-shape-to-text:t" inset="0,15pt,0,0">
                <w:txbxContent>
                  <w:p w14:paraId="3E143D03" w14:textId="29757D33" w:rsidR="005D7A83" w:rsidRPr="005D7A83" w:rsidRDefault="005D7A83" w:rsidP="005D7A83">
                    <w:pPr>
                      <w:spacing w:after="0"/>
                      <w:rPr>
                        <w:rFonts w:ascii="Aptos" w:eastAsia="Aptos" w:hAnsi="Aptos" w:cs="Aptos"/>
                        <w:noProof/>
                        <w:color w:val="FF0000"/>
                        <w:sz w:val="24"/>
                        <w:szCs w:val="24"/>
                      </w:rPr>
                    </w:pPr>
                    <w:r w:rsidRPr="005D7A83">
                      <w:rPr>
                        <w:rFonts w:ascii="Aptos" w:eastAsia="Aptos" w:hAnsi="Aptos" w:cs="Aptos"/>
                        <w:noProof/>
                        <w:color w:val="FF0000"/>
                        <w:sz w:val="24"/>
                        <w:szCs w:val="24"/>
                      </w:rPr>
                      <w:t>OFFICIAL</w:t>
                    </w:r>
                  </w:p>
                </w:txbxContent>
              </v:textbox>
              <w10:wrap anchorx="page" anchory="page"/>
            </v:shape>
          </w:pict>
        </mc:Fallback>
      </mc:AlternateContent>
    </w:r>
    <w:r w:rsidR="00496CCB">
      <w:rPr>
        <w:noProof/>
      </w:rPr>
      <w:drawing>
        <wp:anchor distT="0" distB="0" distL="114300" distR="114300" simplePos="0" relativeHeight="251666432" behindDoc="1" locked="0" layoutInCell="1" allowOverlap="1" wp14:anchorId="1E5A77A2" wp14:editId="0FAC5493">
          <wp:simplePos x="0" y="0"/>
          <wp:positionH relativeFrom="column">
            <wp:posOffset>-872490</wp:posOffset>
          </wp:positionH>
          <wp:positionV relativeFrom="paragraph">
            <wp:posOffset>-396240</wp:posOffset>
          </wp:positionV>
          <wp:extent cx="7578000" cy="4147200"/>
          <wp:effectExtent l="0" t="0" r="4445" b="5715"/>
          <wp:wrapNone/>
          <wp:docPr id="152228090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28090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00" cy="414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AE6116" w14:textId="77777777" w:rsidR="00B967A4" w:rsidRDefault="00B967A4" w:rsidP="00B967A4">
    <w:pPr>
      <w:pStyle w:val="NormalWeb"/>
    </w:pPr>
    <w:r w:rsidRPr="009527AE">
      <w:rPr>
        <w:noProof/>
        <w:color w:val="FFFFFF" w:themeColor="background1"/>
        <w:sz w:val="16"/>
        <w:szCs w:val="16"/>
      </w:rPr>
      <w:drawing>
        <wp:anchor distT="0" distB="0" distL="114300" distR="114300" simplePos="0" relativeHeight="251661312" behindDoc="0" locked="1" layoutInCell="1" allowOverlap="1" wp14:anchorId="61355342" wp14:editId="55C7EC3C">
          <wp:simplePos x="0" y="0"/>
          <wp:positionH relativeFrom="page">
            <wp:posOffset>864235</wp:posOffset>
          </wp:positionH>
          <wp:positionV relativeFrom="page">
            <wp:posOffset>648335</wp:posOffset>
          </wp:positionV>
          <wp:extent cx="1814400" cy="648000"/>
          <wp:effectExtent l="0" t="0" r="0" b="0"/>
          <wp:wrapNone/>
          <wp:docPr id="1015010643" name="Graphic 11">
            <a:extLst xmlns:a="http://schemas.openxmlformats.org/drawingml/2006/main">
              <a:ext uri="{FF2B5EF4-FFF2-40B4-BE49-F238E27FC236}">
                <a16:creationId xmlns:a16="http://schemas.microsoft.com/office/drawing/2014/main" id="{03A7763C-B648-1C2B-592F-16266CACB7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010643" name="Graphic 11">
                    <a:extLst>
                      <a:ext uri="{FF2B5EF4-FFF2-40B4-BE49-F238E27FC236}">
                        <a16:creationId xmlns:a16="http://schemas.microsoft.com/office/drawing/2014/main" id="{03A7763C-B648-1C2B-592F-16266CACB79A}"/>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814400" cy="648000"/>
                  </a:xfrm>
                  <a:prstGeom prst="rect">
                    <a:avLst/>
                  </a:prstGeom>
                </pic:spPr>
              </pic:pic>
            </a:graphicData>
          </a:graphic>
          <wp14:sizeRelH relativeFrom="page">
            <wp14:pctWidth>0</wp14:pctWidth>
          </wp14:sizeRelH>
          <wp14:sizeRelV relativeFrom="page">
            <wp14:pctHeight>0</wp14:pctHeight>
          </wp14:sizeRelV>
        </wp:anchor>
      </w:drawing>
    </w:r>
  </w:p>
  <w:p w14:paraId="18CF3C2C" w14:textId="77777777" w:rsidR="00F9109B" w:rsidRDefault="00F910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1072"/>
    <w:multiLevelType w:val="hybridMultilevel"/>
    <w:tmpl w:val="067C3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890797"/>
    <w:multiLevelType w:val="hybridMultilevel"/>
    <w:tmpl w:val="9522BB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DB7F9B"/>
    <w:multiLevelType w:val="hybridMultilevel"/>
    <w:tmpl w:val="55B8F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D2720F"/>
    <w:multiLevelType w:val="hybridMultilevel"/>
    <w:tmpl w:val="DA4E92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F77E30"/>
    <w:multiLevelType w:val="multilevel"/>
    <w:tmpl w:val="F3AA75CA"/>
    <w:lvl w:ilvl="0">
      <w:start w:val="1"/>
      <w:numFmt w:val="lowerLetter"/>
      <w:pStyle w:val="List"/>
      <w:lvlText w:val="%1."/>
      <w:lvlJc w:val="left"/>
      <w:pPr>
        <w:ind w:left="360" w:hanging="360"/>
      </w:pPr>
      <w:rPr>
        <w:rFonts w:asciiTheme="minorHAnsi" w:hAnsiTheme="minorHAnsi" w:hint="default"/>
        <w:b/>
        <w:i w:val="0"/>
        <w:color w:val="auto"/>
        <w:sz w:val="20"/>
      </w:rPr>
    </w:lvl>
    <w:lvl w:ilvl="1">
      <w:start w:val="1"/>
      <w:numFmt w:val="lowerRoman"/>
      <w:lvlText w:val="%2."/>
      <w:lvlJc w:val="left"/>
      <w:pPr>
        <w:ind w:left="720" w:hanging="360"/>
      </w:pPr>
      <w:rPr>
        <w:rFonts w:asciiTheme="minorHAnsi" w:hAnsiTheme="minorHAnsi" w:hint="default"/>
        <w:b/>
        <w:i w:val="0"/>
        <w:color w:val="auto"/>
        <w:sz w:val="20"/>
      </w:rPr>
    </w:lvl>
    <w:lvl w:ilvl="2">
      <w:start w:val="1"/>
      <w:numFmt w:val="upperLetter"/>
      <w:lvlText w:val="%3."/>
      <w:lvlJc w:val="left"/>
      <w:pPr>
        <w:ind w:left="1080" w:hanging="360"/>
      </w:pPr>
      <w:rPr>
        <w:rFonts w:asciiTheme="minorHAnsi" w:hAnsiTheme="minorHAnsi" w:hint="default"/>
        <w:b/>
        <w:i w:val="0"/>
        <w:color w:val="auto"/>
        <w:sz w:val="20"/>
      </w:rPr>
    </w:lvl>
    <w:lvl w:ilvl="3">
      <w:start w:val="1"/>
      <w:numFmt w:val="lowerLetter"/>
      <w:lvlText w:val="(%4)"/>
      <w:lvlJc w:val="left"/>
      <w:pPr>
        <w:ind w:left="1440" w:hanging="360"/>
      </w:pPr>
      <w:rPr>
        <w:rFonts w:hint="default"/>
        <w:color w:val="auto"/>
      </w:rPr>
    </w:lvl>
    <w:lvl w:ilvl="4">
      <w:start w:val="1"/>
      <w:numFmt w:val="lowerRoman"/>
      <w:lvlText w:val="(%5)"/>
      <w:lvlJc w:val="left"/>
      <w:pPr>
        <w:ind w:left="1800" w:hanging="360"/>
      </w:pPr>
      <w:rPr>
        <w:rFonts w:hint="default"/>
        <w:color w:val="auto"/>
      </w:rPr>
    </w:lvl>
    <w:lvl w:ilvl="5">
      <w:start w:val="1"/>
      <w:numFmt w:val="upperLetter"/>
      <w:lvlText w:val="(%6)"/>
      <w:lvlJc w:val="left"/>
      <w:pPr>
        <w:ind w:left="2160" w:hanging="360"/>
      </w:pPr>
      <w:rPr>
        <w:rFonts w:hint="default"/>
        <w:color w:val="auto"/>
      </w:rPr>
    </w:lvl>
    <w:lvl w:ilvl="6">
      <w:start w:val="1"/>
      <w:numFmt w:val="lowerLetter"/>
      <w:lvlText w:val="%7."/>
      <w:lvlJc w:val="left"/>
      <w:pPr>
        <w:ind w:left="2520" w:hanging="360"/>
      </w:pPr>
      <w:rPr>
        <w:rFonts w:hint="default"/>
        <w:color w:val="auto"/>
      </w:rPr>
    </w:lvl>
    <w:lvl w:ilvl="7">
      <w:start w:val="1"/>
      <w:numFmt w:val="lowerRoman"/>
      <w:lvlText w:val="%8."/>
      <w:lvlJc w:val="left"/>
      <w:pPr>
        <w:ind w:left="2880" w:hanging="360"/>
      </w:pPr>
      <w:rPr>
        <w:rFonts w:hint="default"/>
        <w:color w:val="auto"/>
      </w:rPr>
    </w:lvl>
    <w:lvl w:ilvl="8">
      <w:start w:val="1"/>
      <w:numFmt w:val="upperLetter"/>
      <w:lvlText w:val="%9."/>
      <w:lvlJc w:val="left"/>
      <w:pPr>
        <w:ind w:left="3240" w:hanging="360"/>
      </w:pPr>
      <w:rPr>
        <w:rFonts w:hint="default"/>
        <w:color w:val="auto"/>
      </w:rPr>
    </w:lvl>
  </w:abstractNum>
  <w:abstractNum w:abstractNumId="5" w15:restartNumberingAfterBreak="0">
    <w:nsid w:val="2F713E13"/>
    <w:multiLevelType w:val="hybridMultilevel"/>
    <w:tmpl w:val="7A7EA42A"/>
    <w:lvl w:ilvl="0" w:tplc="774C2216">
      <w:start w:val="1"/>
      <w:numFmt w:val="decimal"/>
      <w:pStyle w:val="TableCaption"/>
      <w:lvlText w:val="Table %1"/>
      <w:lvlJc w:val="left"/>
      <w:pPr>
        <w:ind w:left="720" w:hanging="360"/>
      </w:pPr>
      <w:rPr>
        <w:rFonts w:ascii="Arial Bold" w:hAnsi="Arial Bold" w:hint="default"/>
        <w:b/>
        <w:i w:val="0"/>
        <w:color w:val="auto"/>
        <w:spacing w:val="0"/>
        <w:w w:val="100"/>
        <w:position w:val="0"/>
        <w:sz w:val="20"/>
        <w:u w:val="none"/>
        <w14:ligatures w14:val="none"/>
        <w14:numForm w14:val="default"/>
        <w14:numSpacing w14:val="default"/>
        <w14:stylisticSet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9EE1C73"/>
    <w:multiLevelType w:val="hybridMultilevel"/>
    <w:tmpl w:val="5E5A1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0CB5CFF"/>
    <w:multiLevelType w:val="hybridMultilevel"/>
    <w:tmpl w:val="CC5EB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2381CD5"/>
    <w:multiLevelType w:val="hybridMultilevel"/>
    <w:tmpl w:val="3E14D1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40F39DE"/>
    <w:multiLevelType w:val="hybridMultilevel"/>
    <w:tmpl w:val="8C60A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50B4F72"/>
    <w:multiLevelType w:val="hybridMultilevel"/>
    <w:tmpl w:val="11DA3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61F7723"/>
    <w:multiLevelType w:val="multilevel"/>
    <w:tmpl w:val="9808093A"/>
    <w:lvl w:ilvl="0">
      <w:start w:val="1"/>
      <w:numFmt w:val="decimal"/>
      <w:pStyle w:val="Caption"/>
      <w:lvlText w:val="Figure %1"/>
      <w:lvlJc w:val="left"/>
      <w:pPr>
        <w:ind w:left="360" w:hanging="360"/>
      </w:pPr>
      <w:rPr>
        <w:rFonts w:ascii="Arial Bold" w:hAnsi="Arial Bold" w:hint="default"/>
        <w:b/>
        <w:i w:val="0"/>
        <w:color w:val="auto"/>
        <w:spacing w:val="0"/>
        <w:w w:val="100"/>
        <w:position w:val="0"/>
        <w:sz w:val="20"/>
        <w:u w:val="none"/>
        <w14:ligatures w14:val="none"/>
        <w14:numForm w14:val="default"/>
        <w14:numSpacing w14:val="default"/>
        <w14:stylisticSet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81546A7"/>
    <w:multiLevelType w:val="multilevel"/>
    <w:tmpl w:val="6F709864"/>
    <w:lvl w:ilvl="0">
      <w:start w:val="1"/>
      <w:numFmt w:val="decimal"/>
      <w:pStyle w:val="ListNumber"/>
      <w:lvlText w:val="%1."/>
      <w:lvlJc w:val="left"/>
      <w:pPr>
        <w:ind w:left="360" w:hanging="360"/>
      </w:pPr>
      <w:rPr>
        <w:rFonts w:asciiTheme="minorHAnsi" w:hAnsiTheme="minorHAnsi" w:hint="default"/>
        <w:b/>
        <w:i w:val="0"/>
        <w:color w:val="auto"/>
        <w:sz w:val="20"/>
      </w:rPr>
    </w:lvl>
    <w:lvl w:ilvl="1">
      <w:start w:val="1"/>
      <w:numFmt w:val="lowerLetter"/>
      <w:pStyle w:val="ListNumber2"/>
      <w:lvlText w:val="%2."/>
      <w:lvlJc w:val="left"/>
      <w:pPr>
        <w:ind w:left="720" w:hanging="360"/>
      </w:pPr>
      <w:rPr>
        <w:rFonts w:asciiTheme="minorHAnsi" w:hAnsiTheme="minorHAnsi" w:hint="default"/>
        <w:b/>
        <w:i w:val="0"/>
        <w:color w:val="auto"/>
        <w:sz w:val="20"/>
      </w:rPr>
    </w:lvl>
    <w:lvl w:ilvl="2">
      <w:start w:val="1"/>
      <w:numFmt w:val="lowerRoman"/>
      <w:pStyle w:val="ListNumber3"/>
      <w:lvlText w:val="%3."/>
      <w:lvlJc w:val="left"/>
      <w:pPr>
        <w:ind w:left="1080" w:hanging="360"/>
      </w:pPr>
      <w:rPr>
        <w:rFonts w:asciiTheme="minorHAnsi" w:hAnsiTheme="minorHAnsi" w:hint="default"/>
        <w:b/>
        <w:i w:val="0"/>
        <w:color w:val="auto"/>
        <w:sz w:val="20"/>
      </w:rPr>
    </w:lvl>
    <w:lvl w:ilvl="3">
      <w:start w:val="1"/>
      <w:numFmt w:val="decimal"/>
      <w:pStyle w:val="ListNumber4"/>
      <w:lvlText w:val="(%4)"/>
      <w:lvlJc w:val="left"/>
      <w:pPr>
        <w:ind w:left="1440" w:hanging="360"/>
      </w:pPr>
      <w:rPr>
        <w:rFonts w:asciiTheme="minorHAnsi" w:hAnsiTheme="minorHAnsi" w:hint="default"/>
        <w:b/>
        <w:i w:val="0"/>
        <w:color w:val="auto"/>
        <w:sz w:val="20"/>
      </w:rPr>
    </w:lvl>
    <w:lvl w:ilvl="4">
      <w:start w:val="1"/>
      <w:numFmt w:val="lowerLetter"/>
      <w:pStyle w:val="ListNumber5"/>
      <w:lvlText w:val="(%5)"/>
      <w:lvlJc w:val="left"/>
      <w:pPr>
        <w:ind w:left="1800" w:hanging="360"/>
      </w:pPr>
      <w:rPr>
        <w:rFonts w:asciiTheme="minorHAnsi" w:hAnsiTheme="minorHAnsi" w:hint="default"/>
        <w:b/>
        <w:i w:val="0"/>
        <w:color w:val="auto"/>
        <w:sz w:val="20"/>
      </w:rPr>
    </w:lvl>
    <w:lvl w:ilvl="5">
      <w:start w:val="1"/>
      <w:numFmt w:val="lowerRoman"/>
      <w:lvlText w:val="(%6)"/>
      <w:lvlJc w:val="left"/>
      <w:pPr>
        <w:ind w:left="2160" w:hanging="360"/>
      </w:pPr>
      <w:rPr>
        <w:rFonts w:asciiTheme="minorHAnsi" w:hAnsiTheme="minorHAnsi" w:hint="default"/>
        <w:b/>
        <w:i w:val="0"/>
        <w:color w:val="auto"/>
        <w:sz w:val="20"/>
      </w:rPr>
    </w:lvl>
    <w:lvl w:ilvl="6">
      <w:start w:val="1"/>
      <w:numFmt w:val="decimal"/>
      <w:lvlText w:val="%7."/>
      <w:lvlJc w:val="left"/>
      <w:pPr>
        <w:ind w:left="2520" w:hanging="360"/>
      </w:pPr>
      <w:rPr>
        <w:rFonts w:asciiTheme="minorHAnsi" w:hAnsiTheme="minorHAnsi" w:hint="default"/>
        <w:b/>
        <w:i w:val="0"/>
        <w:color w:val="auto"/>
        <w:sz w:val="20"/>
      </w:rPr>
    </w:lvl>
    <w:lvl w:ilvl="7">
      <w:start w:val="1"/>
      <w:numFmt w:val="lowerLetter"/>
      <w:lvlText w:val="%8."/>
      <w:lvlJc w:val="left"/>
      <w:pPr>
        <w:ind w:left="2880" w:hanging="360"/>
      </w:pPr>
      <w:rPr>
        <w:rFonts w:asciiTheme="minorHAnsi" w:hAnsiTheme="minorHAnsi" w:hint="default"/>
        <w:b/>
        <w:i w:val="0"/>
        <w:color w:val="auto"/>
        <w:sz w:val="20"/>
      </w:rPr>
    </w:lvl>
    <w:lvl w:ilvl="8">
      <w:start w:val="1"/>
      <w:numFmt w:val="lowerRoman"/>
      <w:lvlText w:val="%9."/>
      <w:lvlJc w:val="left"/>
      <w:pPr>
        <w:ind w:left="3240" w:hanging="360"/>
      </w:pPr>
      <w:rPr>
        <w:rFonts w:asciiTheme="minorHAnsi" w:hAnsiTheme="minorHAnsi" w:hint="default"/>
        <w:b/>
        <w:i w:val="0"/>
        <w:color w:val="auto"/>
        <w:sz w:val="20"/>
      </w:rPr>
    </w:lvl>
  </w:abstractNum>
  <w:abstractNum w:abstractNumId="13" w15:restartNumberingAfterBreak="0">
    <w:nsid w:val="6E615FE2"/>
    <w:multiLevelType w:val="hybridMultilevel"/>
    <w:tmpl w:val="66DA2C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5E82707"/>
    <w:multiLevelType w:val="hybridMultilevel"/>
    <w:tmpl w:val="2932C5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87E4D88"/>
    <w:multiLevelType w:val="multilevel"/>
    <w:tmpl w:val="790ACF80"/>
    <w:lvl w:ilvl="0">
      <w:start w:val="1"/>
      <w:numFmt w:val="bullet"/>
      <w:pStyle w:val="ListBullet"/>
      <w:lvlText w:val=""/>
      <w:lvlJc w:val="left"/>
      <w:pPr>
        <w:ind w:left="360" w:hanging="360"/>
      </w:pPr>
      <w:rPr>
        <w:rFonts w:ascii="Symbol" w:hAnsi="Symbol" w:hint="default"/>
        <w:color w:val="auto"/>
        <w:sz w:val="22"/>
      </w:rPr>
    </w:lvl>
    <w:lvl w:ilvl="1">
      <w:start w:val="1"/>
      <w:numFmt w:val="bullet"/>
      <w:pStyle w:val="ListBullet2"/>
      <w:lvlText w:val="o"/>
      <w:lvlJc w:val="left"/>
      <w:pPr>
        <w:ind w:left="720" w:hanging="360"/>
      </w:pPr>
      <w:rPr>
        <w:rFonts w:ascii="Courier New" w:hAnsi="Courier New" w:hint="default"/>
        <w:color w:val="auto"/>
        <w:sz w:val="22"/>
      </w:rPr>
    </w:lvl>
    <w:lvl w:ilvl="2">
      <w:start w:val="1"/>
      <w:numFmt w:val="bullet"/>
      <w:pStyle w:val="ListBullet3"/>
      <w:lvlText w:val=""/>
      <w:lvlJc w:val="left"/>
      <w:pPr>
        <w:ind w:left="1080" w:hanging="360"/>
      </w:pPr>
      <w:rPr>
        <w:rFonts w:ascii="Wingdings" w:hAnsi="Wingdings" w:hint="default"/>
        <w:color w:val="auto"/>
        <w:sz w:val="22"/>
      </w:rPr>
    </w:lvl>
    <w:lvl w:ilvl="3">
      <w:start w:val="1"/>
      <w:numFmt w:val="bullet"/>
      <w:pStyle w:val="ListBullet4"/>
      <w:lvlText w:val="–"/>
      <w:lvlJc w:val="left"/>
      <w:pPr>
        <w:ind w:left="1440" w:hanging="360"/>
      </w:pPr>
      <w:rPr>
        <w:rFonts w:ascii="Arial" w:hAnsi="Arial" w:hint="default"/>
        <w:color w:val="auto"/>
        <w:sz w:val="22"/>
      </w:rPr>
    </w:lvl>
    <w:lvl w:ilvl="4">
      <w:start w:val="1"/>
      <w:numFmt w:val="bullet"/>
      <w:pStyle w:val="ListBullet5"/>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16cid:durableId="186523040">
    <w:abstractNumId w:val="4"/>
  </w:num>
  <w:num w:numId="2" w16cid:durableId="1741051169">
    <w:abstractNumId w:val="15"/>
  </w:num>
  <w:num w:numId="3" w16cid:durableId="1155560808">
    <w:abstractNumId w:val="11"/>
  </w:num>
  <w:num w:numId="4" w16cid:durableId="1231190212">
    <w:abstractNumId w:val="12"/>
  </w:num>
  <w:num w:numId="5" w16cid:durableId="1479827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3592745">
    <w:abstractNumId w:val="5"/>
  </w:num>
  <w:num w:numId="7" w16cid:durableId="319970681">
    <w:abstractNumId w:val="6"/>
  </w:num>
  <w:num w:numId="8" w16cid:durableId="976641140">
    <w:abstractNumId w:val="3"/>
  </w:num>
  <w:num w:numId="9" w16cid:durableId="304548979">
    <w:abstractNumId w:val="7"/>
  </w:num>
  <w:num w:numId="10" w16cid:durableId="2106879135">
    <w:abstractNumId w:val="13"/>
  </w:num>
  <w:num w:numId="11" w16cid:durableId="1780224304">
    <w:abstractNumId w:val="2"/>
  </w:num>
  <w:num w:numId="12" w16cid:durableId="1047492832">
    <w:abstractNumId w:val="0"/>
  </w:num>
  <w:num w:numId="13" w16cid:durableId="42676605">
    <w:abstractNumId w:val="10"/>
  </w:num>
  <w:num w:numId="14" w16cid:durableId="1735935445">
    <w:abstractNumId w:val="9"/>
  </w:num>
  <w:num w:numId="15" w16cid:durableId="1543636341">
    <w:abstractNumId w:val="1"/>
  </w:num>
  <w:num w:numId="16" w16cid:durableId="1669362399">
    <w:abstractNumId w:val="14"/>
  </w:num>
  <w:num w:numId="17" w16cid:durableId="50941183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227"/>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zNjcyNTezMLI0MjdS0lEKTi0uzszPAykwrgUAl714LiwAAAA="/>
  </w:docVars>
  <w:rsids>
    <w:rsidRoot w:val="005D7A83"/>
    <w:rsid w:val="00011EBE"/>
    <w:rsid w:val="000121BA"/>
    <w:rsid w:val="000136A5"/>
    <w:rsid w:val="00013E33"/>
    <w:rsid w:val="00015555"/>
    <w:rsid w:val="0001627D"/>
    <w:rsid w:val="000164A5"/>
    <w:rsid w:val="00020CF3"/>
    <w:rsid w:val="0002234B"/>
    <w:rsid w:val="000237BA"/>
    <w:rsid w:val="00024813"/>
    <w:rsid w:val="0002528E"/>
    <w:rsid w:val="00026E4C"/>
    <w:rsid w:val="0003148E"/>
    <w:rsid w:val="00032388"/>
    <w:rsid w:val="00033439"/>
    <w:rsid w:val="00034043"/>
    <w:rsid w:val="0003501D"/>
    <w:rsid w:val="000369EA"/>
    <w:rsid w:val="00036C75"/>
    <w:rsid w:val="00036FE5"/>
    <w:rsid w:val="00037DE5"/>
    <w:rsid w:val="00041055"/>
    <w:rsid w:val="00041141"/>
    <w:rsid w:val="00046136"/>
    <w:rsid w:val="00056BC0"/>
    <w:rsid w:val="000577A4"/>
    <w:rsid w:val="00061B61"/>
    <w:rsid w:val="000635BC"/>
    <w:rsid w:val="0006369F"/>
    <w:rsid w:val="00064283"/>
    <w:rsid w:val="0006584D"/>
    <w:rsid w:val="00065887"/>
    <w:rsid w:val="000658B5"/>
    <w:rsid w:val="00065F7E"/>
    <w:rsid w:val="000723BC"/>
    <w:rsid w:val="000760F4"/>
    <w:rsid w:val="00080037"/>
    <w:rsid w:val="00081BFA"/>
    <w:rsid w:val="00083A58"/>
    <w:rsid w:val="00083FD2"/>
    <w:rsid w:val="0008584C"/>
    <w:rsid w:val="000872A3"/>
    <w:rsid w:val="00091A80"/>
    <w:rsid w:val="00093BC8"/>
    <w:rsid w:val="00095151"/>
    <w:rsid w:val="00096866"/>
    <w:rsid w:val="000A054F"/>
    <w:rsid w:val="000A1273"/>
    <w:rsid w:val="000A1738"/>
    <w:rsid w:val="000A1916"/>
    <w:rsid w:val="000A1EF9"/>
    <w:rsid w:val="000A2E7B"/>
    <w:rsid w:val="000A336E"/>
    <w:rsid w:val="000A3F90"/>
    <w:rsid w:val="000A4DA7"/>
    <w:rsid w:val="000A5B5A"/>
    <w:rsid w:val="000A66C9"/>
    <w:rsid w:val="000B0A89"/>
    <w:rsid w:val="000B19D3"/>
    <w:rsid w:val="000B3106"/>
    <w:rsid w:val="000B3336"/>
    <w:rsid w:val="000B40C2"/>
    <w:rsid w:val="000B4363"/>
    <w:rsid w:val="000B5598"/>
    <w:rsid w:val="000B5729"/>
    <w:rsid w:val="000B7E63"/>
    <w:rsid w:val="000C0CA6"/>
    <w:rsid w:val="000C1B92"/>
    <w:rsid w:val="000C30E5"/>
    <w:rsid w:val="000C4291"/>
    <w:rsid w:val="000C5879"/>
    <w:rsid w:val="000D19FF"/>
    <w:rsid w:val="000D22A8"/>
    <w:rsid w:val="000D5E95"/>
    <w:rsid w:val="000D793D"/>
    <w:rsid w:val="000D7D92"/>
    <w:rsid w:val="000D7F92"/>
    <w:rsid w:val="000E0F11"/>
    <w:rsid w:val="000E552A"/>
    <w:rsid w:val="000E76FA"/>
    <w:rsid w:val="000F0CAD"/>
    <w:rsid w:val="000F2461"/>
    <w:rsid w:val="000F2EDC"/>
    <w:rsid w:val="000F58A7"/>
    <w:rsid w:val="000F5A29"/>
    <w:rsid w:val="000F5CB5"/>
    <w:rsid w:val="000F6463"/>
    <w:rsid w:val="000F6579"/>
    <w:rsid w:val="000F7990"/>
    <w:rsid w:val="00100584"/>
    <w:rsid w:val="001010A9"/>
    <w:rsid w:val="00103B28"/>
    <w:rsid w:val="0010640F"/>
    <w:rsid w:val="00106589"/>
    <w:rsid w:val="00106F60"/>
    <w:rsid w:val="00112DF1"/>
    <w:rsid w:val="0011366C"/>
    <w:rsid w:val="00113EA9"/>
    <w:rsid w:val="001141D0"/>
    <w:rsid w:val="001152B8"/>
    <w:rsid w:val="001175CB"/>
    <w:rsid w:val="00117894"/>
    <w:rsid w:val="001178D7"/>
    <w:rsid w:val="0012062F"/>
    <w:rsid w:val="00120E3D"/>
    <w:rsid w:val="001239E7"/>
    <w:rsid w:val="0012449A"/>
    <w:rsid w:val="001279BB"/>
    <w:rsid w:val="00133783"/>
    <w:rsid w:val="001338BA"/>
    <w:rsid w:val="001353C4"/>
    <w:rsid w:val="001368BE"/>
    <w:rsid w:val="00136B50"/>
    <w:rsid w:val="001425A7"/>
    <w:rsid w:val="001432FE"/>
    <w:rsid w:val="00143D93"/>
    <w:rsid w:val="00144282"/>
    <w:rsid w:val="00144E74"/>
    <w:rsid w:val="001457C0"/>
    <w:rsid w:val="001523A3"/>
    <w:rsid w:val="00152AC1"/>
    <w:rsid w:val="00153AEF"/>
    <w:rsid w:val="001547CB"/>
    <w:rsid w:val="00154C1A"/>
    <w:rsid w:val="00156042"/>
    <w:rsid w:val="001567DD"/>
    <w:rsid w:val="00157AB6"/>
    <w:rsid w:val="00157CE7"/>
    <w:rsid w:val="00165F83"/>
    <w:rsid w:val="001714D3"/>
    <w:rsid w:val="0017356E"/>
    <w:rsid w:val="00174708"/>
    <w:rsid w:val="00182D27"/>
    <w:rsid w:val="00184B29"/>
    <w:rsid w:val="0018654C"/>
    <w:rsid w:val="00187C93"/>
    <w:rsid w:val="00191178"/>
    <w:rsid w:val="00191513"/>
    <w:rsid w:val="00191CC2"/>
    <w:rsid w:val="00192329"/>
    <w:rsid w:val="00193699"/>
    <w:rsid w:val="00197290"/>
    <w:rsid w:val="0019759D"/>
    <w:rsid w:val="00197ADC"/>
    <w:rsid w:val="00197E66"/>
    <w:rsid w:val="001A03FE"/>
    <w:rsid w:val="001A0E88"/>
    <w:rsid w:val="001A2B7F"/>
    <w:rsid w:val="001A3D99"/>
    <w:rsid w:val="001A41EB"/>
    <w:rsid w:val="001A4611"/>
    <w:rsid w:val="001A50A3"/>
    <w:rsid w:val="001A5727"/>
    <w:rsid w:val="001A599E"/>
    <w:rsid w:val="001A7D74"/>
    <w:rsid w:val="001B23B8"/>
    <w:rsid w:val="001B3928"/>
    <w:rsid w:val="001B709F"/>
    <w:rsid w:val="001B7807"/>
    <w:rsid w:val="001B7FA1"/>
    <w:rsid w:val="001C28D3"/>
    <w:rsid w:val="001C3BEB"/>
    <w:rsid w:val="001C3FD0"/>
    <w:rsid w:val="001C48D8"/>
    <w:rsid w:val="001C4B8A"/>
    <w:rsid w:val="001C5149"/>
    <w:rsid w:val="001C52C2"/>
    <w:rsid w:val="001C6BB6"/>
    <w:rsid w:val="001D0AFC"/>
    <w:rsid w:val="001D1EF4"/>
    <w:rsid w:val="001D2019"/>
    <w:rsid w:val="001D3383"/>
    <w:rsid w:val="001D51AF"/>
    <w:rsid w:val="001D6E4A"/>
    <w:rsid w:val="001D7528"/>
    <w:rsid w:val="001D76E4"/>
    <w:rsid w:val="001E3A54"/>
    <w:rsid w:val="001E41E5"/>
    <w:rsid w:val="001E49C9"/>
    <w:rsid w:val="001E5108"/>
    <w:rsid w:val="001E5F8E"/>
    <w:rsid w:val="001F06CA"/>
    <w:rsid w:val="001F1430"/>
    <w:rsid w:val="001F25C8"/>
    <w:rsid w:val="001F3C12"/>
    <w:rsid w:val="001F40EE"/>
    <w:rsid w:val="00200A33"/>
    <w:rsid w:val="00202C71"/>
    <w:rsid w:val="00202F7F"/>
    <w:rsid w:val="00207CBE"/>
    <w:rsid w:val="00210409"/>
    <w:rsid w:val="00210E8D"/>
    <w:rsid w:val="0021123A"/>
    <w:rsid w:val="0021134B"/>
    <w:rsid w:val="00216854"/>
    <w:rsid w:val="00217D19"/>
    <w:rsid w:val="0022009C"/>
    <w:rsid w:val="00223F37"/>
    <w:rsid w:val="00226249"/>
    <w:rsid w:val="00227152"/>
    <w:rsid w:val="002307E1"/>
    <w:rsid w:val="0023112F"/>
    <w:rsid w:val="002320CE"/>
    <w:rsid w:val="00233385"/>
    <w:rsid w:val="002333C5"/>
    <w:rsid w:val="00234564"/>
    <w:rsid w:val="002349BF"/>
    <w:rsid w:val="0023510C"/>
    <w:rsid w:val="00235529"/>
    <w:rsid w:val="00236950"/>
    <w:rsid w:val="00242034"/>
    <w:rsid w:val="002422FD"/>
    <w:rsid w:val="00244887"/>
    <w:rsid w:val="00244E46"/>
    <w:rsid w:val="002468CF"/>
    <w:rsid w:val="00253E2B"/>
    <w:rsid w:val="002548AD"/>
    <w:rsid w:val="002574B2"/>
    <w:rsid w:val="00257A55"/>
    <w:rsid w:val="00260209"/>
    <w:rsid w:val="00262769"/>
    <w:rsid w:val="002632B7"/>
    <w:rsid w:val="00264464"/>
    <w:rsid w:val="0026489B"/>
    <w:rsid w:val="00264F4D"/>
    <w:rsid w:val="00272AAC"/>
    <w:rsid w:val="00274521"/>
    <w:rsid w:val="00275504"/>
    <w:rsid w:val="00275958"/>
    <w:rsid w:val="0027686A"/>
    <w:rsid w:val="002776FA"/>
    <w:rsid w:val="00277E47"/>
    <w:rsid w:val="0028070D"/>
    <w:rsid w:val="002871D8"/>
    <w:rsid w:val="00291082"/>
    <w:rsid w:val="002917C6"/>
    <w:rsid w:val="002934C0"/>
    <w:rsid w:val="00295234"/>
    <w:rsid w:val="00296ADC"/>
    <w:rsid w:val="00297CB5"/>
    <w:rsid w:val="002A02B1"/>
    <w:rsid w:val="002A0B58"/>
    <w:rsid w:val="002A1211"/>
    <w:rsid w:val="002A12DA"/>
    <w:rsid w:val="002A1929"/>
    <w:rsid w:val="002A1BC8"/>
    <w:rsid w:val="002A50AE"/>
    <w:rsid w:val="002A521B"/>
    <w:rsid w:val="002A66E5"/>
    <w:rsid w:val="002A7087"/>
    <w:rsid w:val="002B1417"/>
    <w:rsid w:val="002B161A"/>
    <w:rsid w:val="002B16A7"/>
    <w:rsid w:val="002B3C79"/>
    <w:rsid w:val="002B5C37"/>
    <w:rsid w:val="002B5D25"/>
    <w:rsid w:val="002C0BE4"/>
    <w:rsid w:val="002C147F"/>
    <w:rsid w:val="002C1A6F"/>
    <w:rsid w:val="002C1E4B"/>
    <w:rsid w:val="002C2769"/>
    <w:rsid w:val="002C2E1B"/>
    <w:rsid w:val="002C3AFC"/>
    <w:rsid w:val="002C4209"/>
    <w:rsid w:val="002C58C6"/>
    <w:rsid w:val="002D291F"/>
    <w:rsid w:val="002D374F"/>
    <w:rsid w:val="002D4F2A"/>
    <w:rsid w:val="002D521E"/>
    <w:rsid w:val="002D62CE"/>
    <w:rsid w:val="002D67D3"/>
    <w:rsid w:val="002D7462"/>
    <w:rsid w:val="002E001E"/>
    <w:rsid w:val="002E038B"/>
    <w:rsid w:val="002E1998"/>
    <w:rsid w:val="002E2CB1"/>
    <w:rsid w:val="002E2F01"/>
    <w:rsid w:val="002E41A9"/>
    <w:rsid w:val="002E6D7C"/>
    <w:rsid w:val="002E7E37"/>
    <w:rsid w:val="002F0E89"/>
    <w:rsid w:val="002F208B"/>
    <w:rsid w:val="002F2993"/>
    <w:rsid w:val="002F4488"/>
    <w:rsid w:val="002F52F7"/>
    <w:rsid w:val="002F5514"/>
    <w:rsid w:val="002F6F32"/>
    <w:rsid w:val="003004FA"/>
    <w:rsid w:val="00303CD4"/>
    <w:rsid w:val="0030578E"/>
    <w:rsid w:val="0030669E"/>
    <w:rsid w:val="0030795C"/>
    <w:rsid w:val="0031173C"/>
    <w:rsid w:val="00313F81"/>
    <w:rsid w:val="00314BB5"/>
    <w:rsid w:val="003163BD"/>
    <w:rsid w:val="00320667"/>
    <w:rsid w:val="003233EA"/>
    <w:rsid w:val="00325A41"/>
    <w:rsid w:val="00327466"/>
    <w:rsid w:val="003300BD"/>
    <w:rsid w:val="00333BFF"/>
    <w:rsid w:val="00336E8A"/>
    <w:rsid w:val="00337255"/>
    <w:rsid w:val="00337769"/>
    <w:rsid w:val="0033785B"/>
    <w:rsid w:val="0034210B"/>
    <w:rsid w:val="00342671"/>
    <w:rsid w:val="00342B0C"/>
    <w:rsid w:val="00343C87"/>
    <w:rsid w:val="003450AC"/>
    <w:rsid w:val="00351CED"/>
    <w:rsid w:val="0035330E"/>
    <w:rsid w:val="00353DC5"/>
    <w:rsid w:val="003606B1"/>
    <w:rsid w:val="0036434E"/>
    <w:rsid w:val="00375370"/>
    <w:rsid w:val="00380AA5"/>
    <w:rsid w:val="0038259F"/>
    <w:rsid w:val="00384233"/>
    <w:rsid w:val="003845DF"/>
    <w:rsid w:val="00387AAC"/>
    <w:rsid w:val="00397A3B"/>
    <w:rsid w:val="003A0533"/>
    <w:rsid w:val="003A5810"/>
    <w:rsid w:val="003A5F1D"/>
    <w:rsid w:val="003A67D8"/>
    <w:rsid w:val="003A68CB"/>
    <w:rsid w:val="003B3D1A"/>
    <w:rsid w:val="003B4928"/>
    <w:rsid w:val="003B551F"/>
    <w:rsid w:val="003B5606"/>
    <w:rsid w:val="003B5C68"/>
    <w:rsid w:val="003C1731"/>
    <w:rsid w:val="003C17BB"/>
    <w:rsid w:val="003C27E2"/>
    <w:rsid w:val="003C3CC4"/>
    <w:rsid w:val="003C469B"/>
    <w:rsid w:val="003D0D9C"/>
    <w:rsid w:val="003D1077"/>
    <w:rsid w:val="003D1716"/>
    <w:rsid w:val="003D17FB"/>
    <w:rsid w:val="003D2652"/>
    <w:rsid w:val="003D2B5A"/>
    <w:rsid w:val="003D5D9E"/>
    <w:rsid w:val="003D70C7"/>
    <w:rsid w:val="003E0987"/>
    <w:rsid w:val="003E0E97"/>
    <w:rsid w:val="003E0F3F"/>
    <w:rsid w:val="003E14DC"/>
    <w:rsid w:val="003E19F9"/>
    <w:rsid w:val="003E1AC6"/>
    <w:rsid w:val="003E37B6"/>
    <w:rsid w:val="003E3CF0"/>
    <w:rsid w:val="003E4D00"/>
    <w:rsid w:val="003E7795"/>
    <w:rsid w:val="003F0176"/>
    <w:rsid w:val="003F075C"/>
    <w:rsid w:val="003F0791"/>
    <w:rsid w:val="003F0DE2"/>
    <w:rsid w:val="003F422C"/>
    <w:rsid w:val="003F4615"/>
    <w:rsid w:val="003F4678"/>
    <w:rsid w:val="003F5B8F"/>
    <w:rsid w:val="003F6013"/>
    <w:rsid w:val="004003DB"/>
    <w:rsid w:val="00401788"/>
    <w:rsid w:val="00402F1C"/>
    <w:rsid w:val="00407E7F"/>
    <w:rsid w:val="00410032"/>
    <w:rsid w:val="00411636"/>
    <w:rsid w:val="00411B7D"/>
    <w:rsid w:val="004133BD"/>
    <w:rsid w:val="00414086"/>
    <w:rsid w:val="00416267"/>
    <w:rsid w:val="00416788"/>
    <w:rsid w:val="0042039D"/>
    <w:rsid w:val="00421E99"/>
    <w:rsid w:val="004223ED"/>
    <w:rsid w:val="00424406"/>
    <w:rsid w:val="004252F4"/>
    <w:rsid w:val="0042574E"/>
    <w:rsid w:val="00425C5C"/>
    <w:rsid w:val="004265BE"/>
    <w:rsid w:val="00431975"/>
    <w:rsid w:val="00433093"/>
    <w:rsid w:val="004339D6"/>
    <w:rsid w:val="00435303"/>
    <w:rsid w:val="0044217F"/>
    <w:rsid w:val="0044369F"/>
    <w:rsid w:val="00444B74"/>
    <w:rsid w:val="00447F86"/>
    <w:rsid w:val="00450AEF"/>
    <w:rsid w:val="0045454F"/>
    <w:rsid w:val="0045567D"/>
    <w:rsid w:val="00456453"/>
    <w:rsid w:val="004622D6"/>
    <w:rsid w:val="004624F7"/>
    <w:rsid w:val="00462C1E"/>
    <w:rsid w:val="004642D9"/>
    <w:rsid w:val="00466AF8"/>
    <w:rsid w:val="0046795B"/>
    <w:rsid w:val="00467B74"/>
    <w:rsid w:val="00467CE7"/>
    <w:rsid w:val="0047130C"/>
    <w:rsid w:val="004753EA"/>
    <w:rsid w:val="0048437F"/>
    <w:rsid w:val="00495969"/>
    <w:rsid w:val="00496CCB"/>
    <w:rsid w:val="00497959"/>
    <w:rsid w:val="004A0ED4"/>
    <w:rsid w:val="004A1736"/>
    <w:rsid w:val="004A1BC5"/>
    <w:rsid w:val="004A3278"/>
    <w:rsid w:val="004A4B45"/>
    <w:rsid w:val="004A58E5"/>
    <w:rsid w:val="004A6A7C"/>
    <w:rsid w:val="004A6D7F"/>
    <w:rsid w:val="004A7DA8"/>
    <w:rsid w:val="004B1271"/>
    <w:rsid w:val="004B17FB"/>
    <w:rsid w:val="004B3359"/>
    <w:rsid w:val="004B38F6"/>
    <w:rsid w:val="004C26DA"/>
    <w:rsid w:val="004C2CBD"/>
    <w:rsid w:val="004C2D38"/>
    <w:rsid w:val="004C359D"/>
    <w:rsid w:val="004C47F5"/>
    <w:rsid w:val="004C5153"/>
    <w:rsid w:val="004C6084"/>
    <w:rsid w:val="004C6C62"/>
    <w:rsid w:val="004D0DC8"/>
    <w:rsid w:val="004D1D34"/>
    <w:rsid w:val="004D1FE3"/>
    <w:rsid w:val="004D3380"/>
    <w:rsid w:val="004D7430"/>
    <w:rsid w:val="004E06CD"/>
    <w:rsid w:val="004E0750"/>
    <w:rsid w:val="004E142F"/>
    <w:rsid w:val="004E169F"/>
    <w:rsid w:val="004E18F2"/>
    <w:rsid w:val="004E2765"/>
    <w:rsid w:val="004E38D4"/>
    <w:rsid w:val="004E5861"/>
    <w:rsid w:val="004E5EEB"/>
    <w:rsid w:val="004E6D42"/>
    <w:rsid w:val="004F16FA"/>
    <w:rsid w:val="004F6546"/>
    <w:rsid w:val="00500B52"/>
    <w:rsid w:val="005035EB"/>
    <w:rsid w:val="00504AE4"/>
    <w:rsid w:val="00505381"/>
    <w:rsid w:val="005062D4"/>
    <w:rsid w:val="0050706D"/>
    <w:rsid w:val="005071B9"/>
    <w:rsid w:val="00507868"/>
    <w:rsid w:val="00507D3A"/>
    <w:rsid w:val="00507DED"/>
    <w:rsid w:val="00510A99"/>
    <w:rsid w:val="00512BE7"/>
    <w:rsid w:val="005138A5"/>
    <w:rsid w:val="005138DF"/>
    <w:rsid w:val="0051558C"/>
    <w:rsid w:val="00516ACB"/>
    <w:rsid w:val="00520281"/>
    <w:rsid w:val="005209B1"/>
    <w:rsid w:val="00521C5A"/>
    <w:rsid w:val="00521CCB"/>
    <w:rsid w:val="005234AB"/>
    <w:rsid w:val="00526281"/>
    <w:rsid w:val="005266C3"/>
    <w:rsid w:val="00527D0A"/>
    <w:rsid w:val="005316C5"/>
    <w:rsid w:val="0053171E"/>
    <w:rsid w:val="00536075"/>
    <w:rsid w:val="00537ECB"/>
    <w:rsid w:val="005410C1"/>
    <w:rsid w:val="00550B1A"/>
    <w:rsid w:val="005511C1"/>
    <w:rsid w:val="005516A9"/>
    <w:rsid w:val="005520BC"/>
    <w:rsid w:val="00552F86"/>
    <w:rsid w:val="005532C6"/>
    <w:rsid w:val="005559C1"/>
    <w:rsid w:val="0055601C"/>
    <w:rsid w:val="00562DF0"/>
    <w:rsid w:val="005634B4"/>
    <w:rsid w:val="0056463F"/>
    <w:rsid w:val="005646CD"/>
    <w:rsid w:val="0056489B"/>
    <w:rsid w:val="00566964"/>
    <w:rsid w:val="00570151"/>
    <w:rsid w:val="005743DF"/>
    <w:rsid w:val="00582037"/>
    <w:rsid w:val="00583BF3"/>
    <w:rsid w:val="0058449E"/>
    <w:rsid w:val="00584EA0"/>
    <w:rsid w:val="00585314"/>
    <w:rsid w:val="00585D96"/>
    <w:rsid w:val="00585FC6"/>
    <w:rsid w:val="00586756"/>
    <w:rsid w:val="00586A68"/>
    <w:rsid w:val="005915AE"/>
    <w:rsid w:val="0059331F"/>
    <w:rsid w:val="00593C4E"/>
    <w:rsid w:val="005943E4"/>
    <w:rsid w:val="00594996"/>
    <w:rsid w:val="00595909"/>
    <w:rsid w:val="005A094A"/>
    <w:rsid w:val="005A142A"/>
    <w:rsid w:val="005A22A5"/>
    <w:rsid w:val="005A647D"/>
    <w:rsid w:val="005B158F"/>
    <w:rsid w:val="005B1BD1"/>
    <w:rsid w:val="005B2791"/>
    <w:rsid w:val="005B3A1A"/>
    <w:rsid w:val="005B4808"/>
    <w:rsid w:val="005B5231"/>
    <w:rsid w:val="005C317B"/>
    <w:rsid w:val="005C3BCC"/>
    <w:rsid w:val="005C3C53"/>
    <w:rsid w:val="005C3D26"/>
    <w:rsid w:val="005C76E3"/>
    <w:rsid w:val="005D1997"/>
    <w:rsid w:val="005D32BE"/>
    <w:rsid w:val="005D65FE"/>
    <w:rsid w:val="005D7A83"/>
    <w:rsid w:val="005D7DCC"/>
    <w:rsid w:val="005E3C4D"/>
    <w:rsid w:val="005E3E4E"/>
    <w:rsid w:val="005F08D9"/>
    <w:rsid w:val="005F36C3"/>
    <w:rsid w:val="005F4740"/>
    <w:rsid w:val="005F56D4"/>
    <w:rsid w:val="005F59AA"/>
    <w:rsid w:val="0060327D"/>
    <w:rsid w:val="00603D3A"/>
    <w:rsid w:val="00606ED1"/>
    <w:rsid w:val="0060777F"/>
    <w:rsid w:val="00607D8E"/>
    <w:rsid w:val="00610149"/>
    <w:rsid w:val="00610317"/>
    <w:rsid w:val="0061259C"/>
    <w:rsid w:val="00616063"/>
    <w:rsid w:val="0061628F"/>
    <w:rsid w:val="00616A8F"/>
    <w:rsid w:val="0062006A"/>
    <w:rsid w:val="00620692"/>
    <w:rsid w:val="00621DAE"/>
    <w:rsid w:val="00622A8D"/>
    <w:rsid w:val="0062348C"/>
    <w:rsid w:val="006330DA"/>
    <w:rsid w:val="006367D6"/>
    <w:rsid w:val="00640006"/>
    <w:rsid w:val="0064041E"/>
    <w:rsid w:val="00640B02"/>
    <w:rsid w:val="00644F41"/>
    <w:rsid w:val="006454C7"/>
    <w:rsid w:val="006458A1"/>
    <w:rsid w:val="0064638E"/>
    <w:rsid w:val="00647F38"/>
    <w:rsid w:val="00654DB0"/>
    <w:rsid w:val="00656D2E"/>
    <w:rsid w:val="0065754D"/>
    <w:rsid w:val="00662B82"/>
    <w:rsid w:val="00663A07"/>
    <w:rsid w:val="00663EB2"/>
    <w:rsid w:val="00663FD5"/>
    <w:rsid w:val="00664625"/>
    <w:rsid w:val="00665F53"/>
    <w:rsid w:val="006666F0"/>
    <w:rsid w:val="006761D1"/>
    <w:rsid w:val="00681672"/>
    <w:rsid w:val="006818CB"/>
    <w:rsid w:val="00681922"/>
    <w:rsid w:val="00681DC4"/>
    <w:rsid w:val="00682690"/>
    <w:rsid w:val="00686747"/>
    <w:rsid w:val="00687FC3"/>
    <w:rsid w:val="006909B3"/>
    <w:rsid w:val="006910B9"/>
    <w:rsid w:val="00691B1E"/>
    <w:rsid w:val="00693793"/>
    <w:rsid w:val="00693A71"/>
    <w:rsid w:val="006A0D5B"/>
    <w:rsid w:val="006A261D"/>
    <w:rsid w:val="006A35DD"/>
    <w:rsid w:val="006A3CDA"/>
    <w:rsid w:val="006A3D01"/>
    <w:rsid w:val="006A7FC2"/>
    <w:rsid w:val="006B0B35"/>
    <w:rsid w:val="006B0C33"/>
    <w:rsid w:val="006B1240"/>
    <w:rsid w:val="006B31AD"/>
    <w:rsid w:val="006B3A4B"/>
    <w:rsid w:val="006B4175"/>
    <w:rsid w:val="006B6CB3"/>
    <w:rsid w:val="006B7C51"/>
    <w:rsid w:val="006C1340"/>
    <w:rsid w:val="006C1E76"/>
    <w:rsid w:val="006C2813"/>
    <w:rsid w:val="006C2EEC"/>
    <w:rsid w:val="006C3EE5"/>
    <w:rsid w:val="006C3FCD"/>
    <w:rsid w:val="006C4497"/>
    <w:rsid w:val="006C5560"/>
    <w:rsid w:val="006C5BC4"/>
    <w:rsid w:val="006C643E"/>
    <w:rsid w:val="006D0E06"/>
    <w:rsid w:val="006D118B"/>
    <w:rsid w:val="006D2526"/>
    <w:rsid w:val="006D41CA"/>
    <w:rsid w:val="006D6392"/>
    <w:rsid w:val="006D7A2A"/>
    <w:rsid w:val="006E0022"/>
    <w:rsid w:val="006E281A"/>
    <w:rsid w:val="006E546F"/>
    <w:rsid w:val="006E5981"/>
    <w:rsid w:val="006E6195"/>
    <w:rsid w:val="006E777C"/>
    <w:rsid w:val="006E7EA8"/>
    <w:rsid w:val="006F0D69"/>
    <w:rsid w:val="006F169C"/>
    <w:rsid w:val="006F297E"/>
    <w:rsid w:val="006F50F5"/>
    <w:rsid w:val="006F5C6F"/>
    <w:rsid w:val="006F7CB3"/>
    <w:rsid w:val="007023B2"/>
    <w:rsid w:val="0070784B"/>
    <w:rsid w:val="00707B0F"/>
    <w:rsid w:val="00710AEE"/>
    <w:rsid w:val="00711370"/>
    <w:rsid w:val="00713ADF"/>
    <w:rsid w:val="00716958"/>
    <w:rsid w:val="00722E45"/>
    <w:rsid w:val="0072344E"/>
    <w:rsid w:val="00724799"/>
    <w:rsid w:val="00732F33"/>
    <w:rsid w:val="00733BB6"/>
    <w:rsid w:val="00734448"/>
    <w:rsid w:val="007345C6"/>
    <w:rsid w:val="0073698E"/>
    <w:rsid w:val="007369FD"/>
    <w:rsid w:val="00740F95"/>
    <w:rsid w:val="00742A2A"/>
    <w:rsid w:val="00742D15"/>
    <w:rsid w:val="00743223"/>
    <w:rsid w:val="00743F2B"/>
    <w:rsid w:val="007454B9"/>
    <w:rsid w:val="007467E3"/>
    <w:rsid w:val="00751B97"/>
    <w:rsid w:val="00752D37"/>
    <w:rsid w:val="007531C4"/>
    <w:rsid w:val="00754945"/>
    <w:rsid w:val="00755A69"/>
    <w:rsid w:val="00756E38"/>
    <w:rsid w:val="007577DB"/>
    <w:rsid w:val="00760E66"/>
    <w:rsid w:val="00762818"/>
    <w:rsid w:val="00763211"/>
    <w:rsid w:val="007641A7"/>
    <w:rsid w:val="0076540B"/>
    <w:rsid w:val="00772BCA"/>
    <w:rsid w:val="0077317E"/>
    <w:rsid w:val="007738AD"/>
    <w:rsid w:val="0077668B"/>
    <w:rsid w:val="007776CE"/>
    <w:rsid w:val="00780046"/>
    <w:rsid w:val="00780A83"/>
    <w:rsid w:val="007819DD"/>
    <w:rsid w:val="00781D4D"/>
    <w:rsid w:val="00794B20"/>
    <w:rsid w:val="00796DE6"/>
    <w:rsid w:val="007A049D"/>
    <w:rsid w:val="007A63DD"/>
    <w:rsid w:val="007B03B8"/>
    <w:rsid w:val="007B20FE"/>
    <w:rsid w:val="007B3904"/>
    <w:rsid w:val="007B4C52"/>
    <w:rsid w:val="007B5FB6"/>
    <w:rsid w:val="007B730B"/>
    <w:rsid w:val="007C0D01"/>
    <w:rsid w:val="007C13F1"/>
    <w:rsid w:val="007C5286"/>
    <w:rsid w:val="007C5B4F"/>
    <w:rsid w:val="007C5FAE"/>
    <w:rsid w:val="007C68A4"/>
    <w:rsid w:val="007D0359"/>
    <w:rsid w:val="007D1CC1"/>
    <w:rsid w:val="007E2BEB"/>
    <w:rsid w:val="007E6C0C"/>
    <w:rsid w:val="007F1006"/>
    <w:rsid w:val="007F549A"/>
    <w:rsid w:val="007F6088"/>
    <w:rsid w:val="007F7683"/>
    <w:rsid w:val="007F7F9B"/>
    <w:rsid w:val="0080000F"/>
    <w:rsid w:val="00800F49"/>
    <w:rsid w:val="00802574"/>
    <w:rsid w:val="00803042"/>
    <w:rsid w:val="008043C0"/>
    <w:rsid w:val="008044C2"/>
    <w:rsid w:val="00806A1D"/>
    <w:rsid w:val="00807516"/>
    <w:rsid w:val="0080756E"/>
    <w:rsid w:val="00807B89"/>
    <w:rsid w:val="008106C1"/>
    <w:rsid w:val="00810F2C"/>
    <w:rsid w:val="00812D3A"/>
    <w:rsid w:val="00813D71"/>
    <w:rsid w:val="00814EB6"/>
    <w:rsid w:val="00814EEE"/>
    <w:rsid w:val="00815B59"/>
    <w:rsid w:val="00823B41"/>
    <w:rsid w:val="0082499B"/>
    <w:rsid w:val="008254F9"/>
    <w:rsid w:val="00825F78"/>
    <w:rsid w:val="00826D89"/>
    <w:rsid w:val="0082700C"/>
    <w:rsid w:val="00831354"/>
    <w:rsid w:val="00831855"/>
    <w:rsid w:val="008326EB"/>
    <w:rsid w:val="008327AB"/>
    <w:rsid w:val="00834459"/>
    <w:rsid w:val="00835736"/>
    <w:rsid w:val="00835D56"/>
    <w:rsid w:val="00837C66"/>
    <w:rsid w:val="008520E2"/>
    <w:rsid w:val="00853537"/>
    <w:rsid w:val="008603FF"/>
    <w:rsid w:val="008629B7"/>
    <w:rsid w:val="00862D9B"/>
    <w:rsid w:val="0086323A"/>
    <w:rsid w:val="00863D5A"/>
    <w:rsid w:val="00864F9E"/>
    <w:rsid w:val="00867C7F"/>
    <w:rsid w:val="00867FD1"/>
    <w:rsid w:val="008720F3"/>
    <w:rsid w:val="0087248E"/>
    <w:rsid w:val="00872DBB"/>
    <w:rsid w:val="00873EEA"/>
    <w:rsid w:val="00875B30"/>
    <w:rsid w:val="00876962"/>
    <w:rsid w:val="00880FAF"/>
    <w:rsid w:val="008877E5"/>
    <w:rsid w:val="0088797B"/>
    <w:rsid w:val="008969F7"/>
    <w:rsid w:val="00896BFF"/>
    <w:rsid w:val="008A1F47"/>
    <w:rsid w:val="008A3F11"/>
    <w:rsid w:val="008A6F64"/>
    <w:rsid w:val="008B0557"/>
    <w:rsid w:val="008B4110"/>
    <w:rsid w:val="008B41E5"/>
    <w:rsid w:val="008B4594"/>
    <w:rsid w:val="008B513E"/>
    <w:rsid w:val="008B591A"/>
    <w:rsid w:val="008B6BA7"/>
    <w:rsid w:val="008C20AC"/>
    <w:rsid w:val="008C2AF7"/>
    <w:rsid w:val="008C3C5D"/>
    <w:rsid w:val="008D1C45"/>
    <w:rsid w:val="008D1DE2"/>
    <w:rsid w:val="008D5EA6"/>
    <w:rsid w:val="008D6976"/>
    <w:rsid w:val="008D7966"/>
    <w:rsid w:val="008E0BDC"/>
    <w:rsid w:val="008E2748"/>
    <w:rsid w:val="008E37C3"/>
    <w:rsid w:val="008E6310"/>
    <w:rsid w:val="008E76B2"/>
    <w:rsid w:val="008E78D4"/>
    <w:rsid w:val="008F22DF"/>
    <w:rsid w:val="008F348D"/>
    <w:rsid w:val="008F68E6"/>
    <w:rsid w:val="008F7ED4"/>
    <w:rsid w:val="009042B2"/>
    <w:rsid w:val="009059A0"/>
    <w:rsid w:val="00905EE7"/>
    <w:rsid w:val="00907414"/>
    <w:rsid w:val="00907D31"/>
    <w:rsid w:val="009148B4"/>
    <w:rsid w:val="009173AC"/>
    <w:rsid w:val="00917DA2"/>
    <w:rsid w:val="009205AF"/>
    <w:rsid w:val="00930132"/>
    <w:rsid w:val="00930D4E"/>
    <w:rsid w:val="00932857"/>
    <w:rsid w:val="009363FF"/>
    <w:rsid w:val="0093688A"/>
    <w:rsid w:val="00943667"/>
    <w:rsid w:val="00944B83"/>
    <w:rsid w:val="00944E01"/>
    <w:rsid w:val="00950CB7"/>
    <w:rsid w:val="00951EA7"/>
    <w:rsid w:val="009527AE"/>
    <w:rsid w:val="0095289A"/>
    <w:rsid w:val="0095480D"/>
    <w:rsid w:val="00954883"/>
    <w:rsid w:val="00957C0B"/>
    <w:rsid w:val="00962401"/>
    <w:rsid w:val="009643B7"/>
    <w:rsid w:val="0096683E"/>
    <w:rsid w:val="009673AA"/>
    <w:rsid w:val="009720E5"/>
    <w:rsid w:val="00975401"/>
    <w:rsid w:val="0097559E"/>
    <w:rsid w:val="009805D1"/>
    <w:rsid w:val="00983A0C"/>
    <w:rsid w:val="0098562A"/>
    <w:rsid w:val="00985941"/>
    <w:rsid w:val="009875F1"/>
    <w:rsid w:val="009928C3"/>
    <w:rsid w:val="009939C2"/>
    <w:rsid w:val="009949CF"/>
    <w:rsid w:val="009951D1"/>
    <w:rsid w:val="009967DA"/>
    <w:rsid w:val="00996A28"/>
    <w:rsid w:val="009A1343"/>
    <w:rsid w:val="009A244B"/>
    <w:rsid w:val="009A29FA"/>
    <w:rsid w:val="009A3301"/>
    <w:rsid w:val="009A4CF8"/>
    <w:rsid w:val="009A5260"/>
    <w:rsid w:val="009A7E7C"/>
    <w:rsid w:val="009B08C9"/>
    <w:rsid w:val="009B1C03"/>
    <w:rsid w:val="009B2762"/>
    <w:rsid w:val="009B2BD5"/>
    <w:rsid w:val="009C0C46"/>
    <w:rsid w:val="009C6862"/>
    <w:rsid w:val="009C69D1"/>
    <w:rsid w:val="009D04F8"/>
    <w:rsid w:val="009D13BE"/>
    <w:rsid w:val="009D18FC"/>
    <w:rsid w:val="009D27F9"/>
    <w:rsid w:val="009D5542"/>
    <w:rsid w:val="009D5614"/>
    <w:rsid w:val="009D6BAB"/>
    <w:rsid w:val="009D7365"/>
    <w:rsid w:val="009E0D5D"/>
    <w:rsid w:val="009E0DBB"/>
    <w:rsid w:val="009E3ABE"/>
    <w:rsid w:val="009E5530"/>
    <w:rsid w:val="009F1238"/>
    <w:rsid w:val="009F1578"/>
    <w:rsid w:val="009F3EB9"/>
    <w:rsid w:val="009F4403"/>
    <w:rsid w:val="00A002B2"/>
    <w:rsid w:val="00A0390D"/>
    <w:rsid w:val="00A040B2"/>
    <w:rsid w:val="00A05877"/>
    <w:rsid w:val="00A05B14"/>
    <w:rsid w:val="00A05CB3"/>
    <w:rsid w:val="00A10C8D"/>
    <w:rsid w:val="00A11010"/>
    <w:rsid w:val="00A121BE"/>
    <w:rsid w:val="00A124BD"/>
    <w:rsid w:val="00A1740D"/>
    <w:rsid w:val="00A2102A"/>
    <w:rsid w:val="00A21250"/>
    <w:rsid w:val="00A22106"/>
    <w:rsid w:val="00A237CC"/>
    <w:rsid w:val="00A239E9"/>
    <w:rsid w:val="00A24E7E"/>
    <w:rsid w:val="00A263AC"/>
    <w:rsid w:val="00A26AB3"/>
    <w:rsid w:val="00A26FDC"/>
    <w:rsid w:val="00A305C0"/>
    <w:rsid w:val="00A30B2F"/>
    <w:rsid w:val="00A30CA2"/>
    <w:rsid w:val="00A311EC"/>
    <w:rsid w:val="00A31F47"/>
    <w:rsid w:val="00A3271C"/>
    <w:rsid w:val="00A3324D"/>
    <w:rsid w:val="00A3563F"/>
    <w:rsid w:val="00A35EB9"/>
    <w:rsid w:val="00A37834"/>
    <w:rsid w:val="00A379D0"/>
    <w:rsid w:val="00A406C2"/>
    <w:rsid w:val="00A40702"/>
    <w:rsid w:val="00A40E79"/>
    <w:rsid w:val="00A41D2C"/>
    <w:rsid w:val="00A42CED"/>
    <w:rsid w:val="00A438DA"/>
    <w:rsid w:val="00A45CA9"/>
    <w:rsid w:val="00A50F2A"/>
    <w:rsid w:val="00A549C7"/>
    <w:rsid w:val="00A54B77"/>
    <w:rsid w:val="00A554CC"/>
    <w:rsid w:val="00A57BEE"/>
    <w:rsid w:val="00A60798"/>
    <w:rsid w:val="00A608A2"/>
    <w:rsid w:val="00A61580"/>
    <w:rsid w:val="00A62057"/>
    <w:rsid w:val="00A62BBD"/>
    <w:rsid w:val="00A6586C"/>
    <w:rsid w:val="00A6719F"/>
    <w:rsid w:val="00A72917"/>
    <w:rsid w:val="00A73806"/>
    <w:rsid w:val="00A738DB"/>
    <w:rsid w:val="00A752C3"/>
    <w:rsid w:val="00A76331"/>
    <w:rsid w:val="00A7654D"/>
    <w:rsid w:val="00A76AD3"/>
    <w:rsid w:val="00A778EF"/>
    <w:rsid w:val="00A80C22"/>
    <w:rsid w:val="00A8239E"/>
    <w:rsid w:val="00A82C5F"/>
    <w:rsid w:val="00A857C9"/>
    <w:rsid w:val="00A866B8"/>
    <w:rsid w:val="00A91389"/>
    <w:rsid w:val="00A9727D"/>
    <w:rsid w:val="00A97298"/>
    <w:rsid w:val="00A97EE7"/>
    <w:rsid w:val="00AB082E"/>
    <w:rsid w:val="00AB0BBD"/>
    <w:rsid w:val="00AB0D0F"/>
    <w:rsid w:val="00AB3114"/>
    <w:rsid w:val="00AB3259"/>
    <w:rsid w:val="00AB396A"/>
    <w:rsid w:val="00AB3C56"/>
    <w:rsid w:val="00AB3E03"/>
    <w:rsid w:val="00AB6449"/>
    <w:rsid w:val="00AB64A7"/>
    <w:rsid w:val="00AC04BB"/>
    <w:rsid w:val="00AC1695"/>
    <w:rsid w:val="00AC2041"/>
    <w:rsid w:val="00AC2C84"/>
    <w:rsid w:val="00AC4171"/>
    <w:rsid w:val="00AC4303"/>
    <w:rsid w:val="00AC4B47"/>
    <w:rsid w:val="00AC4CF0"/>
    <w:rsid w:val="00AC6350"/>
    <w:rsid w:val="00AC75DC"/>
    <w:rsid w:val="00AC7A49"/>
    <w:rsid w:val="00AD10B5"/>
    <w:rsid w:val="00AD374F"/>
    <w:rsid w:val="00AD3B5E"/>
    <w:rsid w:val="00AD54DB"/>
    <w:rsid w:val="00AD5C27"/>
    <w:rsid w:val="00AD64EA"/>
    <w:rsid w:val="00AD6E31"/>
    <w:rsid w:val="00AE2702"/>
    <w:rsid w:val="00AE4737"/>
    <w:rsid w:val="00AE5580"/>
    <w:rsid w:val="00AE5EDF"/>
    <w:rsid w:val="00AE6670"/>
    <w:rsid w:val="00AE7410"/>
    <w:rsid w:val="00AE7D1E"/>
    <w:rsid w:val="00AF1121"/>
    <w:rsid w:val="00AF72A3"/>
    <w:rsid w:val="00AF74B0"/>
    <w:rsid w:val="00B00592"/>
    <w:rsid w:val="00B014AA"/>
    <w:rsid w:val="00B0201E"/>
    <w:rsid w:val="00B02197"/>
    <w:rsid w:val="00B03FC2"/>
    <w:rsid w:val="00B044AE"/>
    <w:rsid w:val="00B0751F"/>
    <w:rsid w:val="00B12ADD"/>
    <w:rsid w:val="00B146CB"/>
    <w:rsid w:val="00B15399"/>
    <w:rsid w:val="00B21920"/>
    <w:rsid w:val="00B22EE5"/>
    <w:rsid w:val="00B232F6"/>
    <w:rsid w:val="00B23442"/>
    <w:rsid w:val="00B265C9"/>
    <w:rsid w:val="00B26D2F"/>
    <w:rsid w:val="00B3112C"/>
    <w:rsid w:val="00B33686"/>
    <w:rsid w:val="00B36484"/>
    <w:rsid w:val="00B37CD6"/>
    <w:rsid w:val="00B41C57"/>
    <w:rsid w:val="00B42F1B"/>
    <w:rsid w:val="00B46E65"/>
    <w:rsid w:val="00B50CF8"/>
    <w:rsid w:val="00B52143"/>
    <w:rsid w:val="00B543B5"/>
    <w:rsid w:val="00B57046"/>
    <w:rsid w:val="00B5778A"/>
    <w:rsid w:val="00B60932"/>
    <w:rsid w:val="00B6203C"/>
    <w:rsid w:val="00B62237"/>
    <w:rsid w:val="00B62340"/>
    <w:rsid w:val="00B64364"/>
    <w:rsid w:val="00B67DE1"/>
    <w:rsid w:val="00B71030"/>
    <w:rsid w:val="00B715FF"/>
    <w:rsid w:val="00B72F90"/>
    <w:rsid w:val="00B761FF"/>
    <w:rsid w:val="00B81FB3"/>
    <w:rsid w:val="00B846A2"/>
    <w:rsid w:val="00B848DC"/>
    <w:rsid w:val="00B90471"/>
    <w:rsid w:val="00B91278"/>
    <w:rsid w:val="00B937C2"/>
    <w:rsid w:val="00B93D2E"/>
    <w:rsid w:val="00B94743"/>
    <w:rsid w:val="00B949E0"/>
    <w:rsid w:val="00B94A36"/>
    <w:rsid w:val="00B967A4"/>
    <w:rsid w:val="00BA28F9"/>
    <w:rsid w:val="00BA2B7C"/>
    <w:rsid w:val="00BA2D5F"/>
    <w:rsid w:val="00BA2F61"/>
    <w:rsid w:val="00BA32F1"/>
    <w:rsid w:val="00BA6AD7"/>
    <w:rsid w:val="00BA7EF2"/>
    <w:rsid w:val="00BB03F1"/>
    <w:rsid w:val="00BB1DCF"/>
    <w:rsid w:val="00BB3E60"/>
    <w:rsid w:val="00BB4210"/>
    <w:rsid w:val="00BB6D5E"/>
    <w:rsid w:val="00BB7373"/>
    <w:rsid w:val="00BC05DE"/>
    <w:rsid w:val="00BC2986"/>
    <w:rsid w:val="00BC4040"/>
    <w:rsid w:val="00BC4754"/>
    <w:rsid w:val="00BC488E"/>
    <w:rsid w:val="00BC4E55"/>
    <w:rsid w:val="00BC736D"/>
    <w:rsid w:val="00BD2982"/>
    <w:rsid w:val="00BD7AD8"/>
    <w:rsid w:val="00BE29D9"/>
    <w:rsid w:val="00BE2A20"/>
    <w:rsid w:val="00BE2DF2"/>
    <w:rsid w:val="00BE55DC"/>
    <w:rsid w:val="00BE5DF1"/>
    <w:rsid w:val="00BE6AD3"/>
    <w:rsid w:val="00BE6C26"/>
    <w:rsid w:val="00BE75B6"/>
    <w:rsid w:val="00BF0041"/>
    <w:rsid w:val="00BF4602"/>
    <w:rsid w:val="00BF5F0E"/>
    <w:rsid w:val="00BF6B6C"/>
    <w:rsid w:val="00BF6D6A"/>
    <w:rsid w:val="00C00A73"/>
    <w:rsid w:val="00C0177A"/>
    <w:rsid w:val="00C02412"/>
    <w:rsid w:val="00C02EA8"/>
    <w:rsid w:val="00C05BC6"/>
    <w:rsid w:val="00C05C65"/>
    <w:rsid w:val="00C064C8"/>
    <w:rsid w:val="00C06C5D"/>
    <w:rsid w:val="00C10D9D"/>
    <w:rsid w:val="00C115C2"/>
    <w:rsid w:val="00C11AB0"/>
    <w:rsid w:val="00C1216D"/>
    <w:rsid w:val="00C1257C"/>
    <w:rsid w:val="00C127FA"/>
    <w:rsid w:val="00C1394E"/>
    <w:rsid w:val="00C15873"/>
    <w:rsid w:val="00C16318"/>
    <w:rsid w:val="00C1659D"/>
    <w:rsid w:val="00C2062C"/>
    <w:rsid w:val="00C207DA"/>
    <w:rsid w:val="00C21194"/>
    <w:rsid w:val="00C213C2"/>
    <w:rsid w:val="00C217DF"/>
    <w:rsid w:val="00C227EC"/>
    <w:rsid w:val="00C238D8"/>
    <w:rsid w:val="00C24FE9"/>
    <w:rsid w:val="00C263F4"/>
    <w:rsid w:val="00C26D49"/>
    <w:rsid w:val="00C31329"/>
    <w:rsid w:val="00C313A3"/>
    <w:rsid w:val="00C31441"/>
    <w:rsid w:val="00C328CC"/>
    <w:rsid w:val="00C34610"/>
    <w:rsid w:val="00C34E35"/>
    <w:rsid w:val="00C409A5"/>
    <w:rsid w:val="00C45B5E"/>
    <w:rsid w:val="00C46294"/>
    <w:rsid w:val="00C46F97"/>
    <w:rsid w:val="00C471C4"/>
    <w:rsid w:val="00C50FF3"/>
    <w:rsid w:val="00C51F57"/>
    <w:rsid w:val="00C5647F"/>
    <w:rsid w:val="00C56A46"/>
    <w:rsid w:val="00C57E87"/>
    <w:rsid w:val="00C646A8"/>
    <w:rsid w:val="00C6547C"/>
    <w:rsid w:val="00C6566B"/>
    <w:rsid w:val="00C66147"/>
    <w:rsid w:val="00C663C0"/>
    <w:rsid w:val="00C671BA"/>
    <w:rsid w:val="00C72800"/>
    <w:rsid w:val="00C7645F"/>
    <w:rsid w:val="00C76B8E"/>
    <w:rsid w:val="00C80B2D"/>
    <w:rsid w:val="00C80DDE"/>
    <w:rsid w:val="00C8199C"/>
    <w:rsid w:val="00C840D8"/>
    <w:rsid w:val="00C84E10"/>
    <w:rsid w:val="00C85349"/>
    <w:rsid w:val="00C86AF1"/>
    <w:rsid w:val="00C87D99"/>
    <w:rsid w:val="00C9029F"/>
    <w:rsid w:val="00C9039F"/>
    <w:rsid w:val="00C923AD"/>
    <w:rsid w:val="00C92477"/>
    <w:rsid w:val="00C92A32"/>
    <w:rsid w:val="00C94113"/>
    <w:rsid w:val="00C9668B"/>
    <w:rsid w:val="00C96C49"/>
    <w:rsid w:val="00CA1EE9"/>
    <w:rsid w:val="00CA27B7"/>
    <w:rsid w:val="00CA2E95"/>
    <w:rsid w:val="00CA55FB"/>
    <w:rsid w:val="00CA7572"/>
    <w:rsid w:val="00CA794C"/>
    <w:rsid w:val="00CA7F74"/>
    <w:rsid w:val="00CB0C32"/>
    <w:rsid w:val="00CB1248"/>
    <w:rsid w:val="00CB16D2"/>
    <w:rsid w:val="00CB1DFC"/>
    <w:rsid w:val="00CB2D65"/>
    <w:rsid w:val="00CB6246"/>
    <w:rsid w:val="00CC0759"/>
    <w:rsid w:val="00CC3160"/>
    <w:rsid w:val="00CC6953"/>
    <w:rsid w:val="00CD2A69"/>
    <w:rsid w:val="00CD2DBF"/>
    <w:rsid w:val="00CD4E24"/>
    <w:rsid w:val="00CD6207"/>
    <w:rsid w:val="00CD72A6"/>
    <w:rsid w:val="00CE1AA9"/>
    <w:rsid w:val="00CE39B8"/>
    <w:rsid w:val="00CE4A83"/>
    <w:rsid w:val="00CE4BBF"/>
    <w:rsid w:val="00CE525E"/>
    <w:rsid w:val="00CF1591"/>
    <w:rsid w:val="00CF1689"/>
    <w:rsid w:val="00CF3DAC"/>
    <w:rsid w:val="00CF4344"/>
    <w:rsid w:val="00CF5164"/>
    <w:rsid w:val="00CF55E6"/>
    <w:rsid w:val="00CF5B88"/>
    <w:rsid w:val="00CF72D7"/>
    <w:rsid w:val="00D00689"/>
    <w:rsid w:val="00D014A6"/>
    <w:rsid w:val="00D015A4"/>
    <w:rsid w:val="00D02F69"/>
    <w:rsid w:val="00D044FB"/>
    <w:rsid w:val="00D108BF"/>
    <w:rsid w:val="00D1092B"/>
    <w:rsid w:val="00D11DB8"/>
    <w:rsid w:val="00D1423F"/>
    <w:rsid w:val="00D14B43"/>
    <w:rsid w:val="00D167D0"/>
    <w:rsid w:val="00D177A0"/>
    <w:rsid w:val="00D20092"/>
    <w:rsid w:val="00D2293A"/>
    <w:rsid w:val="00D22E65"/>
    <w:rsid w:val="00D22EAF"/>
    <w:rsid w:val="00D2430E"/>
    <w:rsid w:val="00D251B7"/>
    <w:rsid w:val="00D26410"/>
    <w:rsid w:val="00D2717B"/>
    <w:rsid w:val="00D3078B"/>
    <w:rsid w:val="00D3118E"/>
    <w:rsid w:val="00D32E8F"/>
    <w:rsid w:val="00D32FB1"/>
    <w:rsid w:val="00D34BC5"/>
    <w:rsid w:val="00D36BA1"/>
    <w:rsid w:val="00D36C76"/>
    <w:rsid w:val="00D37F07"/>
    <w:rsid w:val="00D41BB8"/>
    <w:rsid w:val="00D444E3"/>
    <w:rsid w:val="00D50850"/>
    <w:rsid w:val="00D52AFA"/>
    <w:rsid w:val="00D54285"/>
    <w:rsid w:val="00D5566B"/>
    <w:rsid w:val="00D6102D"/>
    <w:rsid w:val="00D63381"/>
    <w:rsid w:val="00D643F8"/>
    <w:rsid w:val="00D64F3A"/>
    <w:rsid w:val="00D67892"/>
    <w:rsid w:val="00D7119E"/>
    <w:rsid w:val="00D71BF6"/>
    <w:rsid w:val="00D72BF8"/>
    <w:rsid w:val="00D7590F"/>
    <w:rsid w:val="00D75ED8"/>
    <w:rsid w:val="00D7685A"/>
    <w:rsid w:val="00D85656"/>
    <w:rsid w:val="00D927DF"/>
    <w:rsid w:val="00DA0143"/>
    <w:rsid w:val="00DA0378"/>
    <w:rsid w:val="00DA0EA5"/>
    <w:rsid w:val="00DA1664"/>
    <w:rsid w:val="00DA258B"/>
    <w:rsid w:val="00DA33AC"/>
    <w:rsid w:val="00DA4D73"/>
    <w:rsid w:val="00DB13D3"/>
    <w:rsid w:val="00DB4283"/>
    <w:rsid w:val="00DB62E8"/>
    <w:rsid w:val="00DB65A3"/>
    <w:rsid w:val="00DB78FC"/>
    <w:rsid w:val="00DB7E4B"/>
    <w:rsid w:val="00DC0F37"/>
    <w:rsid w:val="00DC18AE"/>
    <w:rsid w:val="00DC33B0"/>
    <w:rsid w:val="00DC57CD"/>
    <w:rsid w:val="00DC58F4"/>
    <w:rsid w:val="00DC5BFB"/>
    <w:rsid w:val="00DC6912"/>
    <w:rsid w:val="00DD3EA6"/>
    <w:rsid w:val="00DD588C"/>
    <w:rsid w:val="00DD5CF9"/>
    <w:rsid w:val="00DD6787"/>
    <w:rsid w:val="00DE0022"/>
    <w:rsid w:val="00DE08B3"/>
    <w:rsid w:val="00DE1D8B"/>
    <w:rsid w:val="00DE251A"/>
    <w:rsid w:val="00DE29A8"/>
    <w:rsid w:val="00DE2C1D"/>
    <w:rsid w:val="00DE4533"/>
    <w:rsid w:val="00DE49E1"/>
    <w:rsid w:val="00DE596C"/>
    <w:rsid w:val="00DE7206"/>
    <w:rsid w:val="00DF0CB9"/>
    <w:rsid w:val="00DF172C"/>
    <w:rsid w:val="00DF5286"/>
    <w:rsid w:val="00DF571E"/>
    <w:rsid w:val="00DF7FFC"/>
    <w:rsid w:val="00E01D1F"/>
    <w:rsid w:val="00E055E6"/>
    <w:rsid w:val="00E05B3F"/>
    <w:rsid w:val="00E06A0A"/>
    <w:rsid w:val="00E06A9D"/>
    <w:rsid w:val="00E07146"/>
    <w:rsid w:val="00E0783E"/>
    <w:rsid w:val="00E15F80"/>
    <w:rsid w:val="00E23775"/>
    <w:rsid w:val="00E238C6"/>
    <w:rsid w:val="00E26DB0"/>
    <w:rsid w:val="00E277FE"/>
    <w:rsid w:val="00E315FC"/>
    <w:rsid w:val="00E352A5"/>
    <w:rsid w:val="00E35E2E"/>
    <w:rsid w:val="00E364A7"/>
    <w:rsid w:val="00E36B78"/>
    <w:rsid w:val="00E3732F"/>
    <w:rsid w:val="00E40C21"/>
    <w:rsid w:val="00E40DD3"/>
    <w:rsid w:val="00E410F8"/>
    <w:rsid w:val="00E41313"/>
    <w:rsid w:val="00E42FFF"/>
    <w:rsid w:val="00E433F1"/>
    <w:rsid w:val="00E442CC"/>
    <w:rsid w:val="00E46236"/>
    <w:rsid w:val="00E47469"/>
    <w:rsid w:val="00E570B7"/>
    <w:rsid w:val="00E573AC"/>
    <w:rsid w:val="00E579E2"/>
    <w:rsid w:val="00E6120F"/>
    <w:rsid w:val="00E63092"/>
    <w:rsid w:val="00E650A5"/>
    <w:rsid w:val="00E65AC2"/>
    <w:rsid w:val="00E66116"/>
    <w:rsid w:val="00E714C7"/>
    <w:rsid w:val="00E74653"/>
    <w:rsid w:val="00E7489D"/>
    <w:rsid w:val="00E753E2"/>
    <w:rsid w:val="00E7548B"/>
    <w:rsid w:val="00E75C04"/>
    <w:rsid w:val="00E768ED"/>
    <w:rsid w:val="00E76C1B"/>
    <w:rsid w:val="00E7711C"/>
    <w:rsid w:val="00E773FF"/>
    <w:rsid w:val="00E77A3D"/>
    <w:rsid w:val="00E80627"/>
    <w:rsid w:val="00E817BE"/>
    <w:rsid w:val="00E82046"/>
    <w:rsid w:val="00E82472"/>
    <w:rsid w:val="00E866C7"/>
    <w:rsid w:val="00E956CF"/>
    <w:rsid w:val="00E957A3"/>
    <w:rsid w:val="00EA114E"/>
    <w:rsid w:val="00EA1341"/>
    <w:rsid w:val="00EA1B2E"/>
    <w:rsid w:val="00EA1C66"/>
    <w:rsid w:val="00EA73F8"/>
    <w:rsid w:val="00EB4D1D"/>
    <w:rsid w:val="00EC21BE"/>
    <w:rsid w:val="00EC3938"/>
    <w:rsid w:val="00EC4D13"/>
    <w:rsid w:val="00EC4F17"/>
    <w:rsid w:val="00EC643A"/>
    <w:rsid w:val="00EC6B5C"/>
    <w:rsid w:val="00EC71D8"/>
    <w:rsid w:val="00ED244D"/>
    <w:rsid w:val="00ED7ED8"/>
    <w:rsid w:val="00EE0E86"/>
    <w:rsid w:val="00EE36E8"/>
    <w:rsid w:val="00EE49E7"/>
    <w:rsid w:val="00EE54B9"/>
    <w:rsid w:val="00EE5707"/>
    <w:rsid w:val="00EE5A67"/>
    <w:rsid w:val="00EF11B5"/>
    <w:rsid w:val="00EF4E2A"/>
    <w:rsid w:val="00EF53BF"/>
    <w:rsid w:val="00EF5E63"/>
    <w:rsid w:val="00EF7E9B"/>
    <w:rsid w:val="00F0134F"/>
    <w:rsid w:val="00F0366B"/>
    <w:rsid w:val="00F04440"/>
    <w:rsid w:val="00F05DDD"/>
    <w:rsid w:val="00F07DC3"/>
    <w:rsid w:val="00F07E01"/>
    <w:rsid w:val="00F1198E"/>
    <w:rsid w:val="00F12B0C"/>
    <w:rsid w:val="00F13AC6"/>
    <w:rsid w:val="00F14231"/>
    <w:rsid w:val="00F14EA5"/>
    <w:rsid w:val="00F15CD5"/>
    <w:rsid w:val="00F16059"/>
    <w:rsid w:val="00F16393"/>
    <w:rsid w:val="00F17C14"/>
    <w:rsid w:val="00F20C42"/>
    <w:rsid w:val="00F210BE"/>
    <w:rsid w:val="00F2533F"/>
    <w:rsid w:val="00F30EEE"/>
    <w:rsid w:val="00F3483C"/>
    <w:rsid w:val="00F348CF"/>
    <w:rsid w:val="00F35E47"/>
    <w:rsid w:val="00F364CB"/>
    <w:rsid w:val="00F36D7A"/>
    <w:rsid w:val="00F37592"/>
    <w:rsid w:val="00F400A4"/>
    <w:rsid w:val="00F400EF"/>
    <w:rsid w:val="00F41EF2"/>
    <w:rsid w:val="00F42218"/>
    <w:rsid w:val="00F43D14"/>
    <w:rsid w:val="00F45ABD"/>
    <w:rsid w:val="00F46705"/>
    <w:rsid w:val="00F46CFF"/>
    <w:rsid w:val="00F47F82"/>
    <w:rsid w:val="00F50457"/>
    <w:rsid w:val="00F504A8"/>
    <w:rsid w:val="00F515E6"/>
    <w:rsid w:val="00F51E7E"/>
    <w:rsid w:val="00F52BFF"/>
    <w:rsid w:val="00F538A1"/>
    <w:rsid w:val="00F53E64"/>
    <w:rsid w:val="00F540B3"/>
    <w:rsid w:val="00F545EB"/>
    <w:rsid w:val="00F54926"/>
    <w:rsid w:val="00F56218"/>
    <w:rsid w:val="00F56615"/>
    <w:rsid w:val="00F57150"/>
    <w:rsid w:val="00F601E2"/>
    <w:rsid w:val="00F631A1"/>
    <w:rsid w:val="00F673DE"/>
    <w:rsid w:val="00F676E2"/>
    <w:rsid w:val="00F67850"/>
    <w:rsid w:val="00F71556"/>
    <w:rsid w:val="00F72E68"/>
    <w:rsid w:val="00F73845"/>
    <w:rsid w:val="00F76366"/>
    <w:rsid w:val="00F807B4"/>
    <w:rsid w:val="00F82439"/>
    <w:rsid w:val="00F834B3"/>
    <w:rsid w:val="00F85300"/>
    <w:rsid w:val="00F86761"/>
    <w:rsid w:val="00F87AFD"/>
    <w:rsid w:val="00F90B8D"/>
    <w:rsid w:val="00F9109B"/>
    <w:rsid w:val="00F92885"/>
    <w:rsid w:val="00F93B56"/>
    <w:rsid w:val="00F95BEA"/>
    <w:rsid w:val="00F967D7"/>
    <w:rsid w:val="00FA1B12"/>
    <w:rsid w:val="00FA1ED8"/>
    <w:rsid w:val="00FA4CC6"/>
    <w:rsid w:val="00FB0353"/>
    <w:rsid w:val="00FB2995"/>
    <w:rsid w:val="00FB49DA"/>
    <w:rsid w:val="00FB5748"/>
    <w:rsid w:val="00FB5DAB"/>
    <w:rsid w:val="00FB67B6"/>
    <w:rsid w:val="00FB6ACA"/>
    <w:rsid w:val="00FC2C83"/>
    <w:rsid w:val="00FC3883"/>
    <w:rsid w:val="00FC3E07"/>
    <w:rsid w:val="00FC6061"/>
    <w:rsid w:val="00FC7517"/>
    <w:rsid w:val="00FD0EEF"/>
    <w:rsid w:val="00FD1232"/>
    <w:rsid w:val="00FD2908"/>
    <w:rsid w:val="00FD3A12"/>
    <w:rsid w:val="00FD3AC0"/>
    <w:rsid w:val="00FD59F8"/>
    <w:rsid w:val="00FD662D"/>
    <w:rsid w:val="00FD766A"/>
    <w:rsid w:val="00FD7896"/>
    <w:rsid w:val="00FE0D43"/>
    <w:rsid w:val="00FE13CD"/>
    <w:rsid w:val="00FE19A6"/>
    <w:rsid w:val="00FE1D8F"/>
    <w:rsid w:val="00FE1E79"/>
    <w:rsid w:val="00FE5BFC"/>
    <w:rsid w:val="00FF2332"/>
    <w:rsid w:val="00FF302B"/>
    <w:rsid w:val="00FF4975"/>
    <w:rsid w:val="00FF4A25"/>
    <w:rsid w:val="00FF4D6B"/>
    <w:rsid w:val="00FF52CA"/>
    <w:rsid w:val="00FF5897"/>
    <w:rsid w:val="00FF5FE1"/>
    <w:rsid w:val="00FF6A46"/>
    <w:rsid w:val="00FF7A53"/>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5F60C"/>
  <w15:docId w15:val="{F036499B-6F9D-4203-8E03-2A5F3692D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1"/>
        <w:sz w:val="22"/>
        <w:szCs w:val="22"/>
        <w:lang w:val="en-AU" w:eastAsia="en-US" w:bidi="ar-SA"/>
      </w:rPr>
    </w:rPrDefault>
    <w:pPrDefault>
      <w:pPr>
        <w:spacing w:before="120" w:after="120" w:line="260" w:lineRule="atLeas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3F4"/>
  </w:style>
  <w:style w:type="paragraph" w:styleId="Heading1">
    <w:name w:val="heading 1"/>
    <w:basedOn w:val="Normal"/>
    <w:next w:val="Normal"/>
    <w:link w:val="Heading1Char"/>
    <w:autoRedefine/>
    <w:uiPriority w:val="9"/>
    <w:rsid w:val="00235529"/>
    <w:pPr>
      <w:keepNext/>
      <w:keepLines/>
      <w:spacing w:before="480" w:after="240"/>
      <w:contextualSpacing/>
      <w:outlineLvl w:val="0"/>
    </w:pPr>
    <w:rPr>
      <w:rFonts w:asciiTheme="majorHAnsi" w:hAnsiTheme="majorHAnsi"/>
      <w:b/>
      <w:sz w:val="30"/>
      <w:szCs w:val="44"/>
    </w:rPr>
  </w:style>
  <w:style w:type="paragraph" w:styleId="Heading2">
    <w:name w:val="heading 2"/>
    <w:basedOn w:val="Normal"/>
    <w:next w:val="Normal"/>
    <w:link w:val="Heading2Char"/>
    <w:autoRedefine/>
    <w:uiPriority w:val="9"/>
    <w:qFormat/>
    <w:rsid w:val="00235529"/>
    <w:pPr>
      <w:keepNext/>
      <w:keepLines/>
      <w:spacing w:before="240" w:after="240"/>
      <w:contextualSpacing/>
      <w:outlineLvl w:val="1"/>
    </w:pPr>
    <w:rPr>
      <w:rFonts w:asciiTheme="majorHAnsi" w:hAnsiTheme="majorHAnsi"/>
      <w:b/>
      <w:sz w:val="26"/>
      <w:szCs w:val="28"/>
    </w:rPr>
  </w:style>
  <w:style w:type="paragraph" w:styleId="Heading3">
    <w:name w:val="heading 3"/>
    <w:basedOn w:val="Normal"/>
    <w:next w:val="Normal"/>
    <w:link w:val="Heading3Char"/>
    <w:uiPriority w:val="9"/>
    <w:qFormat/>
    <w:rsid w:val="00235529"/>
    <w:pPr>
      <w:keepNext/>
      <w:keepLines/>
      <w:spacing w:before="240"/>
      <w:contextualSpacing/>
      <w:outlineLvl w:val="2"/>
    </w:pPr>
    <w:rPr>
      <w:rFonts w:asciiTheme="majorHAnsi" w:hAnsiTheme="majorHAnsi"/>
      <w:b/>
      <w:color w:val="auto"/>
    </w:rPr>
  </w:style>
  <w:style w:type="paragraph" w:styleId="Heading4">
    <w:name w:val="heading 4"/>
    <w:basedOn w:val="Normal"/>
    <w:next w:val="Normal"/>
    <w:link w:val="Heading4Char"/>
    <w:autoRedefine/>
    <w:uiPriority w:val="9"/>
    <w:qFormat/>
    <w:rsid w:val="00235529"/>
    <w:pPr>
      <w:keepNext/>
      <w:keepLines/>
      <w:spacing w:before="240"/>
      <w:contextualSpacing/>
      <w:outlineLvl w:val="3"/>
    </w:pPr>
    <w:rPr>
      <w:rFonts w:asciiTheme="majorHAnsi" w:eastAsiaTheme="majorEastAsia" w:hAnsiTheme="majorHAnsi" w:cstheme="majorBidi"/>
      <w:b/>
      <w:i/>
      <w:iCs/>
    </w:rPr>
  </w:style>
  <w:style w:type="paragraph" w:styleId="Heading5">
    <w:name w:val="heading 5"/>
    <w:basedOn w:val="Normal"/>
    <w:next w:val="Normal"/>
    <w:link w:val="Heading5Char"/>
    <w:autoRedefine/>
    <w:uiPriority w:val="9"/>
    <w:qFormat/>
    <w:rsid w:val="005138DF"/>
    <w:pPr>
      <w:keepNext/>
      <w:keepLines/>
      <w:spacing w:before="240"/>
      <w:contextualSpacing/>
      <w:outlineLvl w:val="4"/>
    </w:pPr>
    <w:rPr>
      <w:rFonts w:asciiTheme="majorHAnsi" w:eastAsiaTheme="majorEastAsia" w:hAnsiTheme="majorHAnsi" w:cstheme="majorBidi"/>
      <w:b/>
      <w:color w:val="auto"/>
      <w:sz w:val="20"/>
    </w:rPr>
  </w:style>
  <w:style w:type="paragraph" w:styleId="Heading6">
    <w:name w:val="heading 6"/>
    <w:basedOn w:val="Normal"/>
    <w:next w:val="Normal"/>
    <w:link w:val="Heading6Char"/>
    <w:autoRedefine/>
    <w:uiPriority w:val="9"/>
    <w:qFormat/>
    <w:rsid w:val="007E2BEB"/>
    <w:pPr>
      <w:keepNext/>
      <w:keepLines/>
      <w:spacing w:before="240"/>
      <w:contextualSpacing/>
      <w:outlineLvl w:val="5"/>
    </w:pPr>
    <w:rPr>
      <w:rFonts w:asciiTheme="majorHAnsi" w:eastAsiaTheme="majorEastAsia" w:hAnsiTheme="majorHAnsi" w:cstheme="majorBidi"/>
      <w:b/>
      <w:color w:val="auto"/>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4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8"/>
    <w:qFormat/>
    <w:rsid w:val="00496CCB"/>
    <w:pPr>
      <w:tabs>
        <w:tab w:val="right" w:pos="9184"/>
      </w:tabs>
      <w:spacing w:before="360" w:after="360"/>
    </w:pPr>
    <w:rPr>
      <w:b/>
      <w:bCs/>
      <w:sz w:val="24"/>
      <w:szCs w:val="24"/>
    </w:rPr>
  </w:style>
  <w:style w:type="character" w:customStyle="1" w:styleId="SubtitleChar">
    <w:name w:val="Subtitle Char"/>
    <w:basedOn w:val="DefaultParagraphFont"/>
    <w:link w:val="Subtitle"/>
    <w:uiPriority w:val="18"/>
    <w:rsid w:val="00496CCB"/>
    <w:rPr>
      <w:b/>
      <w:bCs/>
      <w:sz w:val="24"/>
      <w:szCs w:val="24"/>
    </w:rPr>
  </w:style>
  <w:style w:type="paragraph" w:styleId="BalloonText">
    <w:name w:val="Balloon Text"/>
    <w:basedOn w:val="Normal"/>
    <w:link w:val="BalloonTextChar"/>
    <w:uiPriority w:val="99"/>
    <w:semiHidden/>
    <w:unhideWhenUsed/>
    <w:rsid w:val="00C5647F"/>
    <w:rPr>
      <w:rFonts w:ascii="Tahoma" w:hAnsi="Tahoma" w:cs="Tahoma"/>
      <w:sz w:val="16"/>
      <w:szCs w:val="16"/>
    </w:rPr>
  </w:style>
  <w:style w:type="character" w:customStyle="1" w:styleId="BalloonTextChar">
    <w:name w:val="Balloon Text Char"/>
    <w:basedOn w:val="DefaultParagraphFont"/>
    <w:link w:val="BalloonText"/>
    <w:uiPriority w:val="99"/>
    <w:semiHidden/>
    <w:rsid w:val="00C5647F"/>
    <w:rPr>
      <w:rFonts w:ascii="Tahoma" w:eastAsia="MS Mincho" w:hAnsi="Tahoma" w:cs="Tahoma"/>
      <w:sz w:val="16"/>
      <w:szCs w:val="16"/>
      <w:lang w:eastAsia="ja-JP"/>
    </w:rPr>
  </w:style>
  <w:style w:type="paragraph" w:styleId="Header">
    <w:name w:val="header"/>
    <w:basedOn w:val="Normal"/>
    <w:link w:val="HeaderChar"/>
    <w:uiPriority w:val="99"/>
    <w:unhideWhenUsed/>
    <w:rsid w:val="00FC7517"/>
    <w:pPr>
      <w:tabs>
        <w:tab w:val="center" w:pos="4513"/>
        <w:tab w:val="right" w:pos="9026"/>
      </w:tabs>
      <w:spacing w:before="0" w:after="0" w:line="240" w:lineRule="auto"/>
    </w:pPr>
    <w:rPr>
      <w:sz w:val="20"/>
    </w:rPr>
  </w:style>
  <w:style w:type="character" w:customStyle="1" w:styleId="HeaderChar">
    <w:name w:val="Header Char"/>
    <w:basedOn w:val="DefaultParagraphFont"/>
    <w:link w:val="Header"/>
    <w:uiPriority w:val="99"/>
    <w:rsid w:val="00FC7517"/>
    <w:rPr>
      <w:sz w:val="20"/>
    </w:rPr>
  </w:style>
  <w:style w:type="paragraph" w:styleId="Footer">
    <w:name w:val="footer"/>
    <w:basedOn w:val="Normal"/>
    <w:link w:val="FooterChar"/>
    <w:uiPriority w:val="99"/>
    <w:unhideWhenUsed/>
    <w:rsid w:val="00E74653"/>
    <w:pPr>
      <w:tabs>
        <w:tab w:val="right" w:pos="10206"/>
      </w:tabs>
      <w:spacing w:before="0" w:after="0" w:line="240" w:lineRule="auto"/>
    </w:pPr>
    <w:rPr>
      <w:sz w:val="18"/>
    </w:rPr>
  </w:style>
  <w:style w:type="character" w:customStyle="1" w:styleId="FooterChar">
    <w:name w:val="Footer Char"/>
    <w:basedOn w:val="DefaultParagraphFont"/>
    <w:link w:val="Footer"/>
    <w:uiPriority w:val="99"/>
    <w:rsid w:val="00E74653"/>
    <w:rPr>
      <w:sz w:val="18"/>
    </w:rPr>
  </w:style>
  <w:style w:type="paragraph" w:styleId="Title">
    <w:name w:val="Title"/>
    <w:basedOn w:val="Normal"/>
    <w:link w:val="TitleChar"/>
    <w:autoRedefine/>
    <w:uiPriority w:val="17"/>
    <w:qFormat/>
    <w:rsid w:val="00235529"/>
    <w:rPr>
      <w:sz w:val="64"/>
    </w:rPr>
  </w:style>
  <w:style w:type="character" w:customStyle="1" w:styleId="TitleChar">
    <w:name w:val="Title Char"/>
    <w:basedOn w:val="DefaultParagraphFont"/>
    <w:link w:val="Title"/>
    <w:uiPriority w:val="17"/>
    <w:rsid w:val="00235529"/>
    <w:rPr>
      <w:sz w:val="64"/>
    </w:rPr>
  </w:style>
  <w:style w:type="paragraph" w:customStyle="1" w:styleId="Address">
    <w:name w:val="Address"/>
    <w:basedOn w:val="Normal"/>
    <w:semiHidden/>
    <w:rsid w:val="00191178"/>
    <w:pPr>
      <w:spacing w:before="0" w:after="0"/>
    </w:pPr>
    <w:rPr>
      <w:b/>
      <w:color w:val="421A75" w:themeColor="accent1"/>
    </w:rPr>
  </w:style>
  <w:style w:type="character" w:customStyle="1" w:styleId="Heading1Char">
    <w:name w:val="Heading 1 Char"/>
    <w:basedOn w:val="DefaultParagraphFont"/>
    <w:link w:val="Heading1"/>
    <w:uiPriority w:val="9"/>
    <w:rsid w:val="00235529"/>
    <w:rPr>
      <w:rFonts w:asciiTheme="majorHAnsi" w:hAnsiTheme="majorHAnsi"/>
      <w:b/>
      <w:sz w:val="30"/>
      <w:szCs w:val="44"/>
    </w:rPr>
  </w:style>
  <w:style w:type="character" w:customStyle="1" w:styleId="Heading2Char">
    <w:name w:val="Heading 2 Char"/>
    <w:basedOn w:val="DefaultParagraphFont"/>
    <w:link w:val="Heading2"/>
    <w:uiPriority w:val="9"/>
    <w:rsid w:val="00235529"/>
    <w:rPr>
      <w:rFonts w:asciiTheme="majorHAnsi" w:hAnsiTheme="majorHAnsi"/>
      <w:b/>
      <w:sz w:val="26"/>
      <w:szCs w:val="28"/>
    </w:rPr>
  </w:style>
  <w:style w:type="character" w:customStyle="1" w:styleId="Heading3Char">
    <w:name w:val="Heading 3 Char"/>
    <w:basedOn w:val="DefaultParagraphFont"/>
    <w:link w:val="Heading3"/>
    <w:uiPriority w:val="9"/>
    <w:rsid w:val="00235529"/>
    <w:rPr>
      <w:rFonts w:asciiTheme="majorHAnsi" w:hAnsiTheme="majorHAnsi"/>
      <w:b/>
      <w:color w:val="auto"/>
    </w:rPr>
  </w:style>
  <w:style w:type="paragraph" w:styleId="TOCHeading">
    <w:name w:val="TOC Heading"/>
    <w:basedOn w:val="Heading1"/>
    <w:next w:val="Normal"/>
    <w:uiPriority w:val="39"/>
    <w:rsid w:val="00FF52CA"/>
    <w:pPr>
      <w:spacing w:after="1080"/>
      <w:outlineLvl w:val="9"/>
    </w:pPr>
    <w:rPr>
      <w:rFonts w:eastAsiaTheme="majorEastAsia" w:cstheme="majorBidi"/>
      <w:bCs/>
      <w:szCs w:val="28"/>
    </w:rPr>
  </w:style>
  <w:style w:type="character" w:styleId="FootnoteReference">
    <w:name w:val="footnote reference"/>
    <w:basedOn w:val="DefaultParagraphFont"/>
    <w:uiPriority w:val="99"/>
    <w:semiHidden/>
    <w:unhideWhenUsed/>
    <w:rsid w:val="00C5647F"/>
    <w:rPr>
      <w:vertAlign w:val="superscript"/>
    </w:rPr>
  </w:style>
  <w:style w:type="paragraph" w:styleId="FootnoteText">
    <w:name w:val="footnote text"/>
    <w:basedOn w:val="Normal"/>
    <w:link w:val="FootnoteTextChar"/>
    <w:uiPriority w:val="99"/>
    <w:rsid w:val="004D0DC8"/>
    <w:pPr>
      <w:spacing w:before="0" w:after="0" w:line="240" w:lineRule="auto"/>
    </w:pPr>
    <w:rPr>
      <w:sz w:val="14"/>
    </w:rPr>
  </w:style>
  <w:style w:type="character" w:customStyle="1" w:styleId="FootnoteTextChar">
    <w:name w:val="Footnote Text Char"/>
    <w:basedOn w:val="DefaultParagraphFont"/>
    <w:link w:val="FootnoteText"/>
    <w:uiPriority w:val="99"/>
    <w:rsid w:val="004D0DC8"/>
    <w:rPr>
      <w:sz w:val="14"/>
    </w:rPr>
  </w:style>
  <w:style w:type="character" w:styleId="Hyperlink">
    <w:name w:val="Hyperlink"/>
    <w:basedOn w:val="DefaultParagraphFont"/>
    <w:uiPriority w:val="99"/>
    <w:unhideWhenUsed/>
    <w:qFormat/>
    <w:rsid w:val="00F54926"/>
    <w:rPr>
      <w:b w:val="0"/>
      <w:color w:val="282EA0"/>
      <w:u w:val="single"/>
    </w:rPr>
  </w:style>
  <w:style w:type="paragraph" w:styleId="ListBullet">
    <w:name w:val="List Bullet"/>
    <w:basedOn w:val="Normal"/>
    <w:uiPriority w:val="2"/>
    <w:qFormat/>
    <w:rsid w:val="00F71556"/>
    <w:pPr>
      <w:numPr>
        <w:numId w:val="2"/>
      </w:numPr>
    </w:pPr>
    <w:rPr>
      <w:rFonts w:eastAsia="Times New Roman"/>
      <w:lang w:eastAsia="en-AU"/>
    </w:rPr>
  </w:style>
  <w:style w:type="paragraph" w:styleId="ListNumber">
    <w:name w:val="List Number"/>
    <w:basedOn w:val="Normal"/>
    <w:uiPriority w:val="2"/>
    <w:qFormat/>
    <w:rsid w:val="00F71556"/>
    <w:pPr>
      <w:numPr>
        <w:numId w:val="4"/>
      </w:numPr>
    </w:pPr>
    <w:rPr>
      <w:rFonts w:eastAsia="Times New Roman"/>
      <w:lang w:eastAsia="en-AU"/>
    </w:rPr>
  </w:style>
  <w:style w:type="table" w:customStyle="1" w:styleId="SQHTable">
    <w:name w:val="SQH Table"/>
    <w:basedOn w:val="TableNormal"/>
    <w:uiPriority w:val="99"/>
    <w:rsid w:val="009D13BE"/>
    <w:pPr>
      <w:spacing w:line="240" w:lineRule="auto"/>
    </w:pPr>
    <w:rPr>
      <w:sz w:val="20"/>
    </w:rPr>
    <w:tblPr>
      <w:tblStyleRowBandSize w:val="1"/>
      <w:tblBorders>
        <w:top w:val="single" w:sz="4" w:space="0" w:color="F0E8FE" w:themeColor="background2"/>
        <w:bottom w:val="single" w:sz="4" w:space="0" w:color="F0E8FE" w:themeColor="background2"/>
        <w:insideH w:val="single" w:sz="4" w:space="0" w:color="F0E8FE" w:themeColor="background2"/>
      </w:tblBorders>
    </w:tblPr>
    <w:tblStylePr w:type="firstRow">
      <w:rPr>
        <w:b/>
        <w:color w:val="FFFFFF" w:themeColor="background1"/>
        <w:sz w:val="20"/>
      </w:rPr>
      <w:tblPr/>
      <w:tcPr>
        <w:tcBorders>
          <w:top w:val="nil"/>
          <w:left w:val="nil"/>
          <w:bottom w:val="nil"/>
          <w:right w:val="nil"/>
          <w:insideH w:val="nil"/>
          <w:insideV w:val="nil"/>
          <w:tl2br w:val="nil"/>
          <w:tr2bl w:val="nil"/>
        </w:tcBorders>
        <w:shd w:val="clear" w:color="auto" w:fill="421A75" w:themeFill="accent1"/>
      </w:tcPr>
    </w:tblStylePr>
    <w:tblStylePr w:type="band2Horz">
      <w:tblPr/>
      <w:tcPr>
        <w:shd w:val="clear" w:color="auto" w:fill="F0E8FE" w:themeFill="background2"/>
      </w:tcPr>
    </w:tblStylePr>
  </w:style>
  <w:style w:type="paragraph" w:styleId="TOC1">
    <w:name w:val="toc 1"/>
    <w:basedOn w:val="Normal"/>
    <w:next w:val="Normal"/>
    <w:autoRedefine/>
    <w:uiPriority w:val="39"/>
    <w:rsid w:val="008C3C5D"/>
    <w:pPr>
      <w:tabs>
        <w:tab w:val="right" w:pos="9174"/>
      </w:tabs>
      <w:spacing w:before="360" w:line="240" w:lineRule="auto"/>
    </w:pPr>
    <w:rPr>
      <w:b/>
    </w:rPr>
  </w:style>
  <w:style w:type="table" w:styleId="LightShading-Accent1">
    <w:name w:val="Light Shading Accent 1"/>
    <w:basedOn w:val="TableNormal"/>
    <w:uiPriority w:val="60"/>
    <w:rsid w:val="00056BC0"/>
    <w:rPr>
      <w:color w:val="311357" w:themeColor="accent1" w:themeShade="BF"/>
    </w:rPr>
    <w:tblPr>
      <w:tblStyleRowBandSize w:val="1"/>
      <w:tblStyleColBandSize w:val="1"/>
      <w:tblBorders>
        <w:top w:val="single" w:sz="8" w:space="0" w:color="421A75" w:themeColor="accent1"/>
        <w:bottom w:val="single" w:sz="8" w:space="0" w:color="421A75" w:themeColor="accent1"/>
      </w:tblBorders>
    </w:tblPr>
    <w:tblStylePr w:type="firstRow">
      <w:pPr>
        <w:spacing w:before="0" w:after="0" w:line="240" w:lineRule="auto"/>
      </w:pPr>
      <w:rPr>
        <w:b/>
        <w:bCs/>
      </w:rPr>
      <w:tblPr/>
      <w:tcPr>
        <w:tcBorders>
          <w:top w:val="single" w:sz="8" w:space="0" w:color="421A75" w:themeColor="accent1"/>
          <w:left w:val="nil"/>
          <w:bottom w:val="single" w:sz="8" w:space="0" w:color="421A75" w:themeColor="accent1"/>
          <w:right w:val="nil"/>
          <w:insideH w:val="nil"/>
          <w:insideV w:val="nil"/>
        </w:tcBorders>
      </w:tcPr>
    </w:tblStylePr>
    <w:tblStylePr w:type="lastRow">
      <w:pPr>
        <w:spacing w:before="0" w:after="0" w:line="240" w:lineRule="auto"/>
      </w:pPr>
      <w:rPr>
        <w:b/>
        <w:bCs/>
      </w:rPr>
      <w:tblPr/>
      <w:tcPr>
        <w:tcBorders>
          <w:top w:val="single" w:sz="8" w:space="0" w:color="421A75" w:themeColor="accent1"/>
          <w:left w:val="nil"/>
          <w:bottom w:val="single" w:sz="8" w:space="0" w:color="421A7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B4EE" w:themeFill="accent1" w:themeFillTint="3F"/>
      </w:tcPr>
    </w:tblStylePr>
    <w:tblStylePr w:type="band1Horz">
      <w:tblPr/>
      <w:tcPr>
        <w:tcBorders>
          <w:left w:val="nil"/>
          <w:right w:val="nil"/>
          <w:insideH w:val="nil"/>
          <w:insideV w:val="nil"/>
        </w:tcBorders>
        <w:shd w:val="clear" w:color="auto" w:fill="CDB4EE" w:themeFill="accent1" w:themeFillTint="3F"/>
      </w:tcPr>
    </w:tblStylePr>
  </w:style>
  <w:style w:type="table" w:styleId="MediumShading2">
    <w:name w:val="Medium Shading 2"/>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21A7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21A75" w:themeFill="accent1"/>
      </w:tcPr>
    </w:tblStylePr>
    <w:tblStylePr w:type="lastCol">
      <w:rPr>
        <w:b/>
        <w:bCs/>
        <w:color w:val="FFFFFF" w:themeColor="background1"/>
      </w:rPr>
      <w:tblPr/>
      <w:tcPr>
        <w:tcBorders>
          <w:left w:val="nil"/>
          <w:right w:val="nil"/>
          <w:insideH w:val="nil"/>
          <w:insideV w:val="nil"/>
        </w:tcBorders>
        <w:shd w:val="clear" w:color="auto" w:fill="421A7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2">
    <w:name w:val="toc 2"/>
    <w:basedOn w:val="Normal"/>
    <w:next w:val="Normal"/>
    <w:autoRedefine/>
    <w:uiPriority w:val="39"/>
    <w:rsid w:val="008C3C5D"/>
    <w:pPr>
      <w:pBdr>
        <w:bottom w:val="single" w:sz="4" w:space="4" w:color="D3BBFD" w:themeColor="text2"/>
        <w:between w:val="single" w:sz="4" w:space="4" w:color="D3BBFD" w:themeColor="text2"/>
      </w:pBdr>
      <w:tabs>
        <w:tab w:val="right" w:pos="9174"/>
      </w:tabs>
      <w:spacing w:before="0" w:after="0" w:line="240" w:lineRule="auto"/>
    </w:pPr>
    <w:rPr>
      <w:noProof/>
    </w:rPr>
  </w:style>
  <w:style w:type="paragraph" w:styleId="ListBullet2">
    <w:name w:val="List Bullet 2"/>
    <w:basedOn w:val="Normal"/>
    <w:uiPriority w:val="2"/>
    <w:semiHidden/>
    <w:qFormat/>
    <w:rsid w:val="00F71556"/>
    <w:pPr>
      <w:numPr>
        <w:ilvl w:val="1"/>
        <w:numId w:val="2"/>
      </w:numPr>
    </w:pPr>
    <w:rPr>
      <w:rFonts w:eastAsia="Times New Roman"/>
      <w:lang w:eastAsia="en-AU"/>
    </w:rPr>
  </w:style>
  <w:style w:type="character" w:customStyle="1" w:styleId="Heading4Char">
    <w:name w:val="Heading 4 Char"/>
    <w:basedOn w:val="DefaultParagraphFont"/>
    <w:link w:val="Heading4"/>
    <w:uiPriority w:val="9"/>
    <w:rsid w:val="00235529"/>
    <w:rPr>
      <w:rFonts w:asciiTheme="majorHAnsi" w:eastAsiaTheme="majorEastAsia" w:hAnsiTheme="majorHAnsi" w:cstheme="majorBidi"/>
      <w:b/>
      <w:i/>
      <w:iCs/>
    </w:rPr>
  </w:style>
  <w:style w:type="paragraph" w:styleId="ListBullet3">
    <w:name w:val="List Bullet 3"/>
    <w:basedOn w:val="Normal"/>
    <w:uiPriority w:val="2"/>
    <w:semiHidden/>
    <w:rsid w:val="00F71556"/>
    <w:pPr>
      <w:numPr>
        <w:ilvl w:val="2"/>
        <w:numId w:val="2"/>
      </w:numPr>
    </w:pPr>
    <w:rPr>
      <w:rFonts w:eastAsia="Times New Roman"/>
      <w:lang w:eastAsia="en-AU"/>
    </w:rPr>
  </w:style>
  <w:style w:type="paragraph" w:styleId="ListBullet4">
    <w:name w:val="List Bullet 4"/>
    <w:basedOn w:val="Normal"/>
    <w:uiPriority w:val="2"/>
    <w:semiHidden/>
    <w:rsid w:val="00F71556"/>
    <w:pPr>
      <w:numPr>
        <w:ilvl w:val="3"/>
        <w:numId w:val="2"/>
      </w:numPr>
      <w:tabs>
        <w:tab w:val="num" w:pos="360"/>
      </w:tabs>
      <w:ind w:left="0" w:firstLine="0"/>
    </w:pPr>
    <w:rPr>
      <w:rFonts w:eastAsia="Times New Roman"/>
      <w:lang w:eastAsia="en-AU"/>
    </w:rPr>
  </w:style>
  <w:style w:type="paragraph" w:styleId="ListBullet5">
    <w:name w:val="List Bullet 5"/>
    <w:basedOn w:val="Normal"/>
    <w:uiPriority w:val="2"/>
    <w:semiHidden/>
    <w:rsid w:val="00F71556"/>
    <w:pPr>
      <w:numPr>
        <w:ilvl w:val="4"/>
        <w:numId w:val="2"/>
      </w:numPr>
      <w:tabs>
        <w:tab w:val="num" w:pos="360"/>
      </w:tabs>
      <w:ind w:left="0" w:firstLine="0"/>
    </w:pPr>
    <w:rPr>
      <w:rFonts w:eastAsia="Times New Roman"/>
      <w:lang w:eastAsia="en-AU"/>
    </w:rPr>
  </w:style>
  <w:style w:type="paragraph" w:styleId="ListNumber2">
    <w:name w:val="List Number 2"/>
    <w:basedOn w:val="Normal"/>
    <w:uiPriority w:val="2"/>
    <w:semiHidden/>
    <w:rsid w:val="00F71556"/>
    <w:pPr>
      <w:numPr>
        <w:ilvl w:val="1"/>
        <w:numId w:val="4"/>
      </w:numPr>
    </w:pPr>
    <w:rPr>
      <w:rFonts w:eastAsia="Times New Roman"/>
      <w:lang w:eastAsia="en-AU"/>
    </w:rPr>
  </w:style>
  <w:style w:type="paragraph" w:styleId="ListNumber3">
    <w:name w:val="List Number 3"/>
    <w:basedOn w:val="Normal"/>
    <w:uiPriority w:val="2"/>
    <w:semiHidden/>
    <w:rsid w:val="00F71556"/>
    <w:pPr>
      <w:numPr>
        <w:ilvl w:val="2"/>
        <w:numId w:val="4"/>
      </w:numPr>
    </w:pPr>
    <w:rPr>
      <w:rFonts w:eastAsia="Times New Roman"/>
      <w:lang w:eastAsia="en-AU"/>
    </w:rPr>
  </w:style>
  <w:style w:type="paragraph" w:styleId="ListNumber4">
    <w:name w:val="List Number 4"/>
    <w:basedOn w:val="Normal"/>
    <w:uiPriority w:val="2"/>
    <w:semiHidden/>
    <w:rsid w:val="00F71556"/>
    <w:pPr>
      <w:numPr>
        <w:ilvl w:val="3"/>
        <w:numId w:val="4"/>
      </w:numPr>
    </w:pPr>
    <w:rPr>
      <w:rFonts w:eastAsia="Times New Roman"/>
      <w:lang w:eastAsia="en-AU"/>
    </w:rPr>
  </w:style>
  <w:style w:type="paragraph" w:styleId="ListNumber5">
    <w:name w:val="List Number 5"/>
    <w:basedOn w:val="Normal"/>
    <w:uiPriority w:val="2"/>
    <w:semiHidden/>
    <w:rsid w:val="00F71556"/>
    <w:pPr>
      <w:numPr>
        <w:ilvl w:val="4"/>
        <w:numId w:val="4"/>
      </w:numPr>
    </w:pPr>
    <w:rPr>
      <w:rFonts w:eastAsia="Times New Roman"/>
      <w:lang w:eastAsia="en-AU"/>
    </w:rPr>
  </w:style>
  <w:style w:type="paragraph" w:styleId="List">
    <w:name w:val="List"/>
    <w:aliases w:val="Letter"/>
    <w:basedOn w:val="Normal"/>
    <w:uiPriority w:val="2"/>
    <w:rsid w:val="00F71556"/>
    <w:pPr>
      <w:numPr>
        <w:numId w:val="1"/>
      </w:numPr>
    </w:pPr>
    <w:rPr>
      <w:rFonts w:eastAsia="Times New Roman"/>
      <w:lang w:eastAsia="en-AU"/>
    </w:rPr>
  </w:style>
  <w:style w:type="paragraph" w:customStyle="1" w:styleId="SectionHeading">
    <w:name w:val="Section Heading"/>
    <w:basedOn w:val="Normal"/>
    <w:uiPriority w:val="8"/>
    <w:rsid w:val="00907414"/>
    <w:pPr>
      <w:spacing w:before="0" w:after="0" w:line="240" w:lineRule="auto"/>
      <w:ind w:right="450"/>
    </w:pPr>
    <w:rPr>
      <w:rFonts w:asciiTheme="majorHAnsi" w:hAnsiTheme="majorHAnsi"/>
      <w:color w:val="auto"/>
      <w:sz w:val="64"/>
      <w:szCs w:val="60"/>
    </w:rPr>
  </w:style>
  <w:style w:type="paragraph" w:styleId="Caption">
    <w:name w:val="caption"/>
    <w:basedOn w:val="Normal"/>
    <w:next w:val="Normal"/>
    <w:link w:val="CaptionChar"/>
    <w:autoRedefine/>
    <w:uiPriority w:val="12"/>
    <w:qFormat/>
    <w:rsid w:val="00DC33B0"/>
    <w:pPr>
      <w:keepNext/>
      <w:keepLines/>
      <w:numPr>
        <w:numId w:val="3"/>
      </w:numPr>
      <w:spacing w:before="360" w:line="240" w:lineRule="auto"/>
      <w:contextualSpacing/>
    </w:pPr>
    <w:rPr>
      <w:iCs/>
      <w:sz w:val="20"/>
    </w:rPr>
  </w:style>
  <w:style w:type="character" w:styleId="PlaceholderText">
    <w:name w:val="Placeholder Text"/>
    <w:basedOn w:val="DefaultParagraphFont"/>
    <w:uiPriority w:val="99"/>
    <w:semiHidden/>
    <w:rsid w:val="00D02F69"/>
    <w:rPr>
      <w:color w:val="666666"/>
    </w:rPr>
  </w:style>
  <w:style w:type="paragraph" w:styleId="TOC3">
    <w:name w:val="toc 3"/>
    <w:basedOn w:val="Normal"/>
    <w:next w:val="Normal"/>
    <w:autoRedefine/>
    <w:uiPriority w:val="39"/>
    <w:unhideWhenUsed/>
    <w:rsid w:val="005F36C3"/>
    <w:pPr>
      <w:spacing w:line="240" w:lineRule="auto"/>
      <w:ind w:left="357"/>
      <w:contextualSpacing/>
    </w:pPr>
  </w:style>
  <w:style w:type="table" w:styleId="GridTable3">
    <w:name w:val="Grid Table 3"/>
    <w:basedOn w:val="TableNormal"/>
    <w:uiPriority w:val="48"/>
    <w:rsid w:val="0080304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
    <w:name w:val="List Table 2"/>
    <w:basedOn w:val="TableNormal"/>
    <w:uiPriority w:val="47"/>
    <w:rsid w:val="0080304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4">
    <w:name w:val="List Table 2 Accent 4"/>
    <w:basedOn w:val="TableNormal"/>
    <w:uiPriority w:val="47"/>
    <w:rsid w:val="007531C4"/>
    <w:tblPr>
      <w:tblStyleRowBandSize w:val="1"/>
      <w:tblStyleColBandSize w:val="1"/>
      <w:tblBorders>
        <w:top w:val="single" w:sz="4" w:space="0" w:color="D2BBFC" w:themeColor="accent4" w:themeTint="99"/>
        <w:bottom w:val="single" w:sz="4" w:space="0" w:color="D2BBFC" w:themeColor="accent4" w:themeTint="99"/>
        <w:insideH w:val="single" w:sz="4" w:space="0" w:color="D2BBF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8FE" w:themeFill="accent4" w:themeFillTint="33"/>
      </w:tcPr>
    </w:tblStylePr>
    <w:tblStylePr w:type="band1Horz">
      <w:tblPr/>
      <w:tcPr>
        <w:shd w:val="clear" w:color="auto" w:fill="EFE8FE" w:themeFill="accent4" w:themeFillTint="33"/>
      </w:tcPr>
    </w:tblStylePr>
  </w:style>
  <w:style w:type="paragraph" w:styleId="Date">
    <w:name w:val="Date"/>
    <w:basedOn w:val="Normal"/>
    <w:next w:val="Normal"/>
    <w:link w:val="DateChar"/>
    <w:uiPriority w:val="99"/>
    <w:rsid w:val="00907D31"/>
    <w:pPr>
      <w:spacing w:before="0" w:after="0" w:line="320" w:lineRule="atLeast"/>
    </w:pPr>
    <w:rPr>
      <w:b/>
      <w:color w:val="FFFFFF" w:themeColor="background1"/>
      <w:sz w:val="24"/>
    </w:rPr>
  </w:style>
  <w:style w:type="character" w:customStyle="1" w:styleId="DateChar">
    <w:name w:val="Date Char"/>
    <w:basedOn w:val="DefaultParagraphFont"/>
    <w:link w:val="Date"/>
    <w:uiPriority w:val="99"/>
    <w:rsid w:val="00907D31"/>
    <w:rPr>
      <w:b/>
      <w:color w:val="FFFFFF" w:themeColor="background1"/>
      <w:sz w:val="24"/>
    </w:rPr>
  </w:style>
  <w:style w:type="character" w:customStyle="1" w:styleId="Heading5Char">
    <w:name w:val="Heading 5 Char"/>
    <w:basedOn w:val="DefaultParagraphFont"/>
    <w:link w:val="Heading5"/>
    <w:uiPriority w:val="9"/>
    <w:rsid w:val="005138DF"/>
    <w:rPr>
      <w:rFonts w:asciiTheme="majorHAnsi" w:eastAsiaTheme="majorEastAsia" w:hAnsiTheme="majorHAnsi" w:cstheme="majorBidi"/>
      <w:b/>
      <w:color w:val="auto"/>
      <w:sz w:val="20"/>
    </w:rPr>
  </w:style>
  <w:style w:type="character" w:customStyle="1" w:styleId="Heading6Char">
    <w:name w:val="Heading 6 Char"/>
    <w:basedOn w:val="DefaultParagraphFont"/>
    <w:link w:val="Heading6"/>
    <w:uiPriority w:val="9"/>
    <w:rsid w:val="007E2BEB"/>
    <w:rPr>
      <w:rFonts w:asciiTheme="majorHAnsi" w:eastAsiaTheme="majorEastAsia" w:hAnsiTheme="majorHAnsi" w:cstheme="majorBidi"/>
      <w:b/>
      <w:color w:val="auto"/>
      <w:sz w:val="20"/>
    </w:rPr>
  </w:style>
  <w:style w:type="paragraph" w:styleId="NoSpacing">
    <w:name w:val="No Spacing"/>
    <w:uiPriority w:val="1"/>
    <w:rsid w:val="003A5810"/>
    <w:pPr>
      <w:spacing w:before="0" w:after="0"/>
    </w:pPr>
  </w:style>
  <w:style w:type="character" w:styleId="UnresolvedMention">
    <w:name w:val="Unresolved Mention"/>
    <w:basedOn w:val="DefaultParagraphFont"/>
    <w:uiPriority w:val="99"/>
    <w:semiHidden/>
    <w:unhideWhenUsed/>
    <w:rsid w:val="00AC4B47"/>
    <w:rPr>
      <w:color w:val="605E5C"/>
      <w:shd w:val="clear" w:color="auto" w:fill="E1DFDD"/>
    </w:rPr>
  </w:style>
  <w:style w:type="table" w:styleId="GridTable4-Accent4">
    <w:name w:val="Grid Table 4 Accent 4"/>
    <w:basedOn w:val="TableNormal"/>
    <w:uiPriority w:val="49"/>
    <w:rsid w:val="00F400EF"/>
    <w:pPr>
      <w:spacing w:after="0" w:line="240" w:lineRule="auto"/>
    </w:pPr>
    <w:tblPr>
      <w:tblStyleRowBandSize w:val="1"/>
      <w:tblStyleColBandSize w:val="1"/>
      <w:tblBorders>
        <w:top w:val="single" w:sz="4" w:space="0" w:color="D2BBFC" w:themeColor="accent4" w:themeTint="99"/>
        <w:left w:val="single" w:sz="4" w:space="0" w:color="D2BBFC" w:themeColor="accent4" w:themeTint="99"/>
        <w:bottom w:val="single" w:sz="4" w:space="0" w:color="D2BBFC" w:themeColor="accent4" w:themeTint="99"/>
        <w:right w:val="single" w:sz="4" w:space="0" w:color="D2BBFC" w:themeColor="accent4" w:themeTint="99"/>
        <w:insideH w:val="single" w:sz="4" w:space="0" w:color="D2BBFC" w:themeColor="accent4" w:themeTint="99"/>
        <w:insideV w:val="single" w:sz="4" w:space="0" w:color="D2BBFC" w:themeColor="accent4" w:themeTint="99"/>
      </w:tblBorders>
    </w:tblPr>
    <w:tblStylePr w:type="firstRow">
      <w:rPr>
        <w:b/>
        <w:bCs/>
        <w:color w:val="FFFFFF" w:themeColor="background1"/>
      </w:rPr>
      <w:tblPr/>
      <w:tcPr>
        <w:tcBorders>
          <w:top w:val="single" w:sz="4" w:space="0" w:color="B58EFB" w:themeColor="accent4"/>
          <w:left w:val="single" w:sz="4" w:space="0" w:color="B58EFB" w:themeColor="accent4"/>
          <w:bottom w:val="single" w:sz="4" w:space="0" w:color="B58EFB" w:themeColor="accent4"/>
          <w:right w:val="single" w:sz="4" w:space="0" w:color="B58EFB" w:themeColor="accent4"/>
          <w:insideH w:val="nil"/>
          <w:insideV w:val="nil"/>
        </w:tcBorders>
        <w:shd w:val="clear" w:color="auto" w:fill="B58EFB" w:themeFill="accent4"/>
      </w:tcPr>
    </w:tblStylePr>
    <w:tblStylePr w:type="lastRow">
      <w:rPr>
        <w:b/>
        <w:bCs/>
      </w:rPr>
      <w:tblPr/>
      <w:tcPr>
        <w:tcBorders>
          <w:top w:val="double" w:sz="4" w:space="0" w:color="B58EFB" w:themeColor="accent4"/>
        </w:tcBorders>
      </w:tcPr>
    </w:tblStylePr>
    <w:tblStylePr w:type="firstCol">
      <w:rPr>
        <w:b/>
        <w:bCs/>
      </w:rPr>
    </w:tblStylePr>
    <w:tblStylePr w:type="lastCol">
      <w:rPr>
        <w:b/>
        <w:bCs/>
      </w:rPr>
    </w:tblStylePr>
    <w:tblStylePr w:type="band1Vert">
      <w:tblPr/>
      <w:tcPr>
        <w:shd w:val="clear" w:color="auto" w:fill="EFE8FE" w:themeFill="accent4" w:themeFillTint="33"/>
      </w:tcPr>
    </w:tblStylePr>
    <w:tblStylePr w:type="band1Horz">
      <w:tblPr/>
      <w:tcPr>
        <w:shd w:val="clear" w:color="auto" w:fill="EFE8FE" w:themeFill="accent4" w:themeFillTint="33"/>
      </w:tcPr>
    </w:tblStylePr>
  </w:style>
  <w:style w:type="paragraph" w:customStyle="1" w:styleId="BoxHeading">
    <w:name w:val="Box Heading"/>
    <w:basedOn w:val="Normal"/>
    <w:next w:val="Normal"/>
    <w:uiPriority w:val="10"/>
    <w:qFormat/>
    <w:rsid w:val="002B3C79"/>
    <w:rPr>
      <w:b/>
      <w:bCs/>
      <w:sz w:val="24"/>
      <w:szCs w:val="24"/>
    </w:rPr>
  </w:style>
  <w:style w:type="paragraph" w:customStyle="1" w:styleId="IntroPara">
    <w:name w:val="Intro Para"/>
    <w:basedOn w:val="Normal"/>
    <w:next w:val="Normal"/>
    <w:autoRedefine/>
    <w:uiPriority w:val="11"/>
    <w:qFormat/>
    <w:rsid w:val="008720F3"/>
    <w:pPr>
      <w:spacing w:before="1920" w:after="360"/>
      <w:contextualSpacing/>
    </w:pPr>
    <w:rPr>
      <w:sz w:val="26"/>
      <w:szCs w:val="26"/>
    </w:rPr>
  </w:style>
  <w:style w:type="character" w:styleId="FollowedHyperlink">
    <w:name w:val="FollowedHyperlink"/>
    <w:basedOn w:val="DefaultParagraphFont"/>
    <w:uiPriority w:val="99"/>
    <w:semiHidden/>
    <w:unhideWhenUsed/>
    <w:rsid w:val="00C15873"/>
    <w:rPr>
      <w:color w:val="000000" w:themeColor="followedHyperlink"/>
      <w:u w:val="single"/>
    </w:rPr>
  </w:style>
  <w:style w:type="paragraph" w:styleId="NormalWeb">
    <w:name w:val="Normal (Web)"/>
    <w:basedOn w:val="Normal"/>
    <w:uiPriority w:val="99"/>
    <w:semiHidden/>
    <w:unhideWhenUsed/>
    <w:rsid w:val="00B967A4"/>
    <w:pPr>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TableCaption">
    <w:name w:val="Table Caption"/>
    <w:basedOn w:val="Caption"/>
    <w:link w:val="TableCaptionChar"/>
    <w:autoRedefine/>
    <w:qFormat/>
    <w:rsid w:val="00DC33B0"/>
    <w:pPr>
      <w:numPr>
        <w:numId w:val="6"/>
      </w:numPr>
      <w:ind w:left="0" w:firstLine="0"/>
    </w:pPr>
  </w:style>
  <w:style w:type="character" w:customStyle="1" w:styleId="CaptionChar">
    <w:name w:val="Caption Char"/>
    <w:basedOn w:val="DefaultParagraphFont"/>
    <w:link w:val="Caption"/>
    <w:uiPriority w:val="12"/>
    <w:rsid w:val="00DC33B0"/>
    <w:rPr>
      <w:iCs/>
      <w:sz w:val="20"/>
    </w:rPr>
  </w:style>
  <w:style w:type="character" w:customStyle="1" w:styleId="TableCaptionChar">
    <w:name w:val="Table Caption Char"/>
    <w:basedOn w:val="CaptionChar"/>
    <w:link w:val="TableCaption"/>
    <w:rsid w:val="00DC33B0"/>
    <w:rPr>
      <w:iCs/>
      <w:sz w:val="20"/>
    </w:rPr>
  </w:style>
  <w:style w:type="paragraph" w:styleId="ListParagraph">
    <w:name w:val="List Paragraph"/>
    <w:basedOn w:val="Normal"/>
    <w:uiPriority w:val="34"/>
    <w:rsid w:val="004B12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798086">
      <w:bodyDiv w:val="1"/>
      <w:marLeft w:val="0"/>
      <w:marRight w:val="0"/>
      <w:marTop w:val="0"/>
      <w:marBottom w:val="0"/>
      <w:divBdr>
        <w:top w:val="none" w:sz="0" w:space="0" w:color="auto"/>
        <w:left w:val="none" w:sz="0" w:space="0" w:color="auto"/>
        <w:bottom w:val="none" w:sz="0" w:space="0" w:color="auto"/>
        <w:right w:val="none" w:sz="0" w:space="0" w:color="auto"/>
      </w:divBdr>
    </w:div>
    <w:div w:id="1424691769">
      <w:bodyDiv w:val="1"/>
      <w:marLeft w:val="0"/>
      <w:marRight w:val="0"/>
      <w:marTop w:val="0"/>
      <w:marBottom w:val="0"/>
      <w:divBdr>
        <w:top w:val="none" w:sz="0" w:space="0" w:color="auto"/>
        <w:left w:val="none" w:sz="0" w:space="0" w:color="auto"/>
        <w:bottom w:val="none" w:sz="0" w:space="0" w:color="auto"/>
        <w:right w:val="none" w:sz="0" w:space="0" w:color="auto"/>
      </w:divBdr>
    </w:div>
    <w:div w:id="152882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teor.aihw.gov.au/content/index.phtml/itemId/491555" TargetMode="External"/><Relationship Id="rId18" Type="http://schemas.openxmlformats.org/officeDocument/2006/relationships/hyperlink" Target="https://meteor.aihw.gov.au/content/index.phtml/itemId/676382" TargetMode="External"/><Relationship Id="rId26" Type="http://schemas.openxmlformats.org/officeDocument/2006/relationships/hyperlink" Target="https://meteor.aihw.gov.au/content/index.phtml/itemId/724188" TargetMode="External"/><Relationship Id="rId39" Type="http://schemas.openxmlformats.org/officeDocument/2006/relationships/header" Target="header1.xml"/><Relationship Id="rId21" Type="http://schemas.openxmlformats.org/officeDocument/2006/relationships/hyperlink" Target="https://meteor.aihw.gov.au/content/index.phtml/itemId/728439" TargetMode="External"/><Relationship Id="rId34" Type="http://schemas.openxmlformats.org/officeDocument/2006/relationships/hyperlink" Target="https://meteor.aihw.gov.au/content/index.phtml/itemId/695778"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meteor.aihw.gov.au/content/index.phtml/itemId/612171" TargetMode="External"/><Relationship Id="rId29" Type="http://schemas.openxmlformats.org/officeDocument/2006/relationships/hyperlink" Target="https://meteor.aihw.gov.au/content/index.phtml/itemId/26997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teor.aihw.gov.au/content/780576" TargetMode="External"/><Relationship Id="rId24" Type="http://schemas.openxmlformats.org/officeDocument/2006/relationships/hyperlink" Target="https://meteor.aihw.gov.au/content/index.phtml/itemId/723825" TargetMode="External"/><Relationship Id="rId32" Type="http://schemas.openxmlformats.org/officeDocument/2006/relationships/hyperlink" Target="https://meteor.aihw.gov.au/content/index.phtml/itemId/659727" TargetMode="External"/><Relationship Id="rId37" Type="http://schemas.openxmlformats.org/officeDocument/2006/relationships/hyperlink" Target="http://www.abs.gov.au/AUSSTATS/abs@.nsf/DetailsPage/2033.0.55.0012016?OpenDocument"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eteor.aihw.gov.au/content/index.phtml/itemId/588909" TargetMode="External"/><Relationship Id="rId23" Type="http://schemas.openxmlformats.org/officeDocument/2006/relationships/hyperlink" Target="https://meteor.aihw.gov.au/content/index.phtml/itemId/638202" TargetMode="External"/><Relationship Id="rId28" Type="http://schemas.openxmlformats.org/officeDocument/2006/relationships/hyperlink" Target="https://meteor.aihw.gov.au/content/index.phtml/itemId/326619" TargetMode="External"/><Relationship Id="rId36" Type="http://schemas.openxmlformats.org/officeDocument/2006/relationships/hyperlink" Target="https://meteor.aihw.gov.au/content/index.phtml/itemId/659750" TargetMode="External"/><Relationship Id="rId10" Type="http://schemas.openxmlformats.org/officeDocument/2006/relationships/endnotes" Target="endnotes.xml"/><Relationship Id="rId19" Type="http://schemas.openxmlformats.org/officeDocument/2006/relationships/hyperlink" Target="https://meteor.aihw.gov.au/content/index.phtml/itemId/699728" TargetMode="External"/><Relationship Id="rId31" Type="http://schemas.openxmlformats.org/officeDocument/2006/relationships/hyperlink" Target="https://meteor.aihw.gov.au/content/index.phtml/itemId/327276" TargetMode="External"/><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teor.aihw.gov.au/content/index.phtml/itemId/535047" TargetMode="External"/><Relationship Id="rId22" Type="http://schemas.openxmlformats.org/officeDocument/2006/relationships/hyperlink" Target="https://meteor.aihw.gov.au/content/index.phtml/itemId/611030" TargetMode="External"/><Relationship Id="rId27" Type="http://schemas.openxmlformats.org/officeDocument/2006/relationships/hyperlink" Target="https://meteor.aihw.gov.au/content/index.phtml/itemId/649391" TargetMode="External"/><Relationship Id="rId30" Type="http://schemas.openxmlformats.org/officeDocument/2006/relationships/hyperlink" Target="http://www.abs.gov.au/statistics/people/aboriginal-and-torres-strait-islander-peoples/estimates-and-projections-aboriginal-and-torres-strait-islander-australians/latest-release" TargetMode="External"/><Relationship Id="rId35" Type="http://schemas.openxmlformats.org/officeDocument/2006/relationships/hyperlink" Target="http://www.abs.gov.au/AUSSTATS/abs@.nsf/DetailsPage/1270.0.55.005July%202016?OpenDocument" TargetMode="External"/><Relationship Id="rId43"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meteor.aihw.gov.au/content/781186" TargetMode="External"/><Relationship Id="rId17" Type="http://schemas.openxmlformats.org/officeDocument/2006/relationships/hyperlink" Target="https://meteor.aihw.gov.au/content/index.phtml/itemId/641349" TargetMode="External"/><Relationship Id="rId25" Type="http://schemas.openxmlformats.org/officeDocument/2006/relationships/hyperlink" Target="https://meteor.aihw.gov.au/content/index.phtml/itemId/724186" TargetMode="External"/><Relationship Id="rId33" Type="http://schemas.openxmlformats.org/officeDocument/2006/relationships/hyperlink" Target="https://meteor.aihw.gov.au/content/index.phtml/itemId/659352" TargetMode="External"/><Relationship Id="rId38" Type="http://schemas.openxmlformats.org/officeDocument/2006/relationships/image" Target="media/image1.png"/><Relationship Id="rId46" Type="http://schemas.openxmlformats.org/officeDocument/2006/relationships/theme" Target="theme/theme1.xml"/><Relationship Id="rId20" Type="http://schemas.openxmlformats.org/officeDocument/2006/relationships/hyperlink" Target="https://meteor.aihw.gov.au/content/index.phtml/itemId/713850" TargetMode="External"/><Relationship Id="rId41"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WELE\AppData\Roaming\Micro%20Focus\Content%20Manager\TRIM\TEMP\HPTRIM.10904\D25-28527%20%20Template%20-%20ACSQHC%20-%20Short%20form%20document%20-%20Corporate%20-%2015%20page%20max%20-%20July%202025.DOTX" TargetMode="External"/></Relationships>
</file>

<file path=word/theme/theme1.xml><?xml version="1.0" encoding="utf-8"?>
<a:theme xmlns:a="http://schemas.openxmlformats.org/drawingml/2006/main" name="Office Theme">
  <a:themeElements>
    <a:clrScheme name="SQH">
      <a:dk1>
        <a:srgbClr val="000000"/>
      </a:dk1>
      <a:lt1>
        <a:srgbClr val="FFFFFF"/>
      </a:lt1>
      <a:dk2>
        <a:srgbClr val="D3BBFD"/>
      </a:dk2>
      <a:lt2>
        <a:srgbClr val="F0E8FE"/>
      </a:lt2>
      <a:accent1>
        <a:srgbClr val="421A75"/>
      </a:accent1>
      <a:accent2>
        <a:srgbClr val="890014"/>
      </a:accent2>
      <a:accent3>
        <a:srgbClr val="004C6E"/>
      </a:accent3>
      <a:accent4>
        <a:srgbClr val="B58EFB"/>
      </a:accent4>
      <a:accent5>
        <a:srgbClr val="FF959A"/>
      </a:accent5>
      <a:accent6>
        <a:srgbClr val="6ECCD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498f89d-1eae-456b-90f1-fc78c5fe8b2a" xsi:nil="true"/>
    <lcf76f155ced4ddcb4097134ff3c332f xmlns="ac66711c-8613-4dde-a928-6bd510ab7da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8743DCC77DB274DB22D4DDF53FCBF5F" ma:contentTypeVersion="19" ma:contentTypeDescription="Create a new document." ma:contentTypeScope="" ma:versionID="41766abdcb5c2a760298207a2a89c79f">
  <xsd:schema xmlns:xsd="http://www.w3.org/2001/XMLSchema" xmlns:xs="http://www.w3.org/2001/XMLSchema" xmlns:p="http://schemas.microsoft.com/office/2006/metadata/properties" xmlns:ns2="4498f89d-1eae-456b-90f1-fc78c5fe8b2a" xmlns:ns3="ac66711c-8613-4dde-a928-6bd510ab7da4" targetNamespace="http://schemas.microsoft.com/office/2006/metadata/properties" ma:root="true" ma:fieldsID="18ffefc133988b21c37714a1633b3c26" ns2:_="" ns3:_="">
    <xsd:import namespace="4498f89d-1eae-456b-90f1-fc78c5fe8b2a"/>
    <xsd:import namespace="ac66711c-8613-4dde-a928-6bd510ab7d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8f89d-1eae-456b-90f1-fc78c5fe8b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bf5309-f60c-4adc-92cd-c2ac96d59903}" ma:internalName="TaxCatchAll" ma:showField="CatchAllData" ma:web="4498f89d-1eae-456b-90f1-fc78c5fe8b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66711c-8613-4dde-a928-6bd510ab7d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50A5B0-6B8D-4F63-8392-FDD493C5F881}">
  <ds:schemaRefs>
    <ds:schemaRef ds:uri="http://schemas.microsoft.com/sharepoint/v3/contenttype/forms"/>
  </ds:schemaRefs>
</ds:datastoreItem>
</file>

<file path=customXml/itemProps2.xml><?xml version="1.0" encoding="utf-8"?>
<ds:datastoreItem xmlns:ds="http://schemas.openxmlformats.org/officeDocument/2006/customXml" ds:itemID="{C8C21501-E60D-4FBE-B51F-1CE19C62A8C7}">
  <ds:schemaRefs>
    <ds:schemaRef ds:uri="http://schemas.microsoft.com/office/2006/metadata/properties"/>
    <ds:schemaRef ds:uri="http://schemas.microsoft.com/office/infopath/2007/PartnerControls"/>
    <ds:schemaRef ds:uri="4498f89d-1eae-456b-90f1-fc78c5fe8b2a"/>
    <ds:schemaRef ds:uri="ac66711c-8613-4dde-a928-6bd510ab7da4"/>
  </ds:schemaRefs>
</ds:datastoreItem>
</file>

<file path=customXml/itemProps3.xml><?xml version="1.0" encoding="utf-8"?>
<ds:datastoreItem xmlns:ds="http://schemas.openxmlformats.org/officeDocument/2006/customXml" ds:itemID="{76F8C92D-10A9-4FC9-9058-DE83686AD5ED}">
  <ds:schemaRefs>
    <ds:schemaRef ds:uri="http://schemas.openxmlformats.org/officeDocument/2006/bibliography"/>
  </ds:schemaRefs>
</ds:datastoreItem>
</file>

<file path=customXml/itemProps4.xml><?xml version="1.0" encoding="utf-8"?>
<ds:datastoreItem xmlns:ds="http://schemas.openxmlformats.org/officeDocument/2006/customXml" ds:itemID="{193254A3-835C-425F-8727-35AB0A36F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8f89d-1eae-456b-90f1-fc78c5fe8b2a"/>
    <ds:schemaRef ds:uri="ac66711c-8613-4dde-a928-6bd510ab7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D25-28527  Template - ACSQHC - Short form document - Corporate - 15 page max - July 2025.DOTX</Template>
  <TotalTime>0</TotalTime>
  <Pages>10</Pages>
  <Words>3209</Words>
  <Characters>19254</Characters>
  <Application>Microsoft Office Word</Application>
  <DocSecurity>0</DocSecurity>
  <Lines>468</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POWELL, Elyse</dc:creator>
  <cp:keywords/>
  <dc:description/>
  <cp:lastModifiedBy>JESSOP, Tommy</cp:lastModifiedBy>
  <cp:revision>2</cp:revision>
  <cp:lastPrinted>2025-06-04T00:50:00Z</cp:lastPrinted>
  <dcterms:created xsi:type="dcterms:W3CDTF">2026-05-11T01:55:00Z</dcterms:created>
  <dcterms:modified xsi:type="dcterms:W3CDTF">2026-05-11T01:55:00Z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3190500</vt:r8>
  </property>
  <property fmtid="{D5CDD505-2E9C-101B-9397-08002B2CF9AE}" pid="3" name="ContentTypeId">
    <vt:lpwstr>0x01010028743DCC77DB274DB22D4DDF53FCBF5F</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ClassificationContentMarkingHeaderShapeIds">
    <vt:lpwstr>38416434,1dd79532,2bd6d5dd</vt:lpwstr>
  </property>
  <property fmtid="{D5CDD505-2E9C-101B-9397-08002B2CF9AE}" pid="11" name="ClassificationContentMarkingHeaderFontProps">
    <vt:lpwstr>#ff0000,12,Aptos</vt:lpwstr>
  </property>
  <property fmtid="{D5CDD505-2E9C-101B-9397-08002B2CF9AE}" pid="12" name="ClassificationContentMarkingHeaderText">
    <vt:lpwstr>OFFICIAL</vt:lpwstr>
  </property>
  <property fmtid="{D5CDD505-2E9C-101B-9397-08002B2CF9AE}" pid="13" name="ClassificationContentMarkingFooterShapeIds">
    <vt:lpwstr>1a18d5cc,13f10aa5,546df70</vt:lpwstr>
  </property>
  <property fmtid="{D5CDD505-2E9C-101B-9397-08002B2CF9AE}" pid="14" name="ClassificationContentMarkingFooterFontProps">
    <vt:lpwstr>#ff0000,12,Aptos</vt:lpwstr>
  </property>
  <property fmtid="{D5CDD505-2E9C-101B-9397-08002B2CF9AE}" pid="15" name="ClassificationContentMarkingFooterText">
    <vt:lpwstr>OFFICIAL</vt:lpwstr>
  </property>
  <property fmtid="{D5CDD505-2E9C-101B-9397-08002B2CF9AE}" pid="16" name="MSIP_Label_7cd3e8b9-ffed-43a8-b7f4-cc2fa0382d36_Enabled">
    <vt:lpwstr>true</vt:lpwstr>
  </property>
  <property fmtid="{D5CDD505-2E9C-101B-9397-08002B2CF9AE}" pid="17" name="MSIP_Label_7cd3e8b9-ffed-43a8-b7f4-cc2fa0382d36_SetDate">
    <vt:lpwstr>2026-01-14T22:51:28Z</vt:lpwstr>
  </property>
  <property fmtid="{D5CDD505-2E9C-101B-9397-08002B2CF9AE}" pid="18" name="MSIP_Label_7cd3e8b9-ffed-43a8-b7f4-cc2fa0382d36_Method">
    <vt:lpwstr>Privileged</vt:lpwstr>
  </property>
  <property fmtid="{D5CDD505-2E9C-101B-9397-08002B2CF9AE}" pid="19" name="MSIP_Label_7cd3e8b9-ffed-43a8-b7f4-cc2fa0382d36_Name">
    <vt:lpwstr>O</vt:lpwstr>
  </property>
  <property fmtid="{D5CDD505-2E9C-101B-9397-08002B2CF9AE}" pid="20" name="MSIP_Label_7cd3e8b9-ffed-43a8-b7f4-cc2fa0382d36_SiteId">
    <vt:lpwstr>34a3929c-73cf-4954-abfe-147dc3517892</vt:lpwstr>
  </property>
  <property fmtid="{D5CDD505-2E9C-101B-9397-08002B2CF9AE}" pid="21" name="MSIP_Label_7cd3e8b9-ffed-43a8-b7f4-cc2fa0382d36_ActionId">
    <vt:lpwstr>c94825e7-d7cd-458a-a2c9-1c45770e2033</vt:lpwstr>
  </property>
  <property fmtid="{D5CDD505-2E9C-101B-9397-08002B2CF9AE}" pid="22" name="MSIP_Label_7cd3e8b9-ffed-43a8-b7f4-cc2fa0382d36_ContentBits">
    <vt:lpwstr>3</vt:lpwstr>
  </property>
  <property fmtid="{D5CDD505-2E9C-101B-9397-08002B2CF9AE}" pid="23" name="MSIP_Label_7cd3e8b9-ffed-43a8-b7f4-cc2fa0382d36_Tag">
    <vt:lpwstr>10, 0, 1, 1</vt:lpwstr>
  </property>
</Properties>
</file>