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E13D" w14:textId="7ABBC844" w:rsidR="00904237" w:rsidRDefault="00227974" w:rsidP="00904237">
      <w:pPr>
        <w:rPr>
          <w:lang w:val="en-US"/>
        </w:rPr>
      </w:pPr>
      <w:bookmarkStart w:id="0" w:name="_Toc197590571"/>
      <w:r>
        <w:rPr>
          <w:noProof/>
        </w:rPr>
        <w:drawing>
          <wp:anchor distT="0" distB="0" distL="114300" distR="114300" simplePos="0" relativeHeight="251658240" behindDoc="1" locked="0" layoutInCell="1" allowOverlap="1" wp14:anchorId="2617F1DF" wp14:editId="796AD87B">
            <wp:simplePos x="0" y="0"/>
            <wp:positionH relativeFrom="page">
              <wp:posOffset>0</wp:posOffset>
            </wp:positionH>
            <wp:positionV relativeFrom="paragraph">
              <wp:posOffset>-900430</wp:posOffset>
            </wp:positionV>
            <wp:extent cx="7554595" cy="3414713"/>
            <wp:effectExtent l="0" t="0" r="1905" b="1905"/>
            <wp:wrapNone/>
            <wp:docPr id="8869274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274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314" cy="34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B1057" w14:textId="364CC29C" w:rsidR="00904237" w:rsidRDefault="00E310F5" w:rsidP="00E310F5">
      <w:pPr>
        <w:tabs>
          <w:tab w:val="left" w:pos="8010"/>
        </w:tabs>
        <w:rPr>
          <w:lang w:val="en-US"/>
        </w:rPr>
      </w:pPr>
      <w:r>
        <w:rPr>
          <w:lang w:val="en-US"/>
        </w:rPr>
        <w:tab/>
      </w:r>
    </w:p>
    <w:p w14:paraId="5345A55B" w14:textId="09C58CEB" w:rsidR="00A65860" w:rsidRDefault="00E310F5" w:rsidP="00E310F5">
      <w:pPr>
        <w:tabs>
          <w:tab w:val="left" w:pos="7800"/>
        </w:tabs>
        <w:rPr>
          <w:lang w:val="en-US"/>
        </w:rPr>
      </w:pPr>
      <w:r>
        <w:rPr>
          <w:lang w:val="en-US"/>
        </w:rPr>
        <w:tab/>
      </w:r>
    </w:p>
    <w:p w14:paraId="1C999FEC" w14:textId="6F1619A5" w:rsidR="00B4788F" w:rsidRPr="00F3121D" w:rsidRDefault="002F61E2" w:rsidP="00741CB1">
      <w:pPr>
        <w:pStyle w:val="Title"/>
        <w:rPr>
          <w:b/>
          <w:lang w:val="en-US"/>
        </w:rPr>
      </w:pPr>
      <w:r>
        <w:rPr>
          <w:bCs/>
          <w:lang w:val="en-US"/>
        </w:rPr>
        <w:t>I</w:t>
      </w:r>
      <w:r w:rsidR="00866078" w:rsidRPr="00F3121D">
        <w:rPr>
          <w:bCs/>
          <w:lang w:val="en-US"/>
        </w:rPr>
        <w:t>mplementation plan</w:t>
      </w:r>
      <w:r w:rsidR="00350D05" w:rsidRPr="00F3121D">
        <w:rPr>
          <w:bCs/>
          <w:lang w:val="en-US"/>
        </w:rPr>
        <w:t xml:space="preserve"> structure</w:t>
      </w:r>
      <w:r w:rsidR="00866078" w:rsidRPr="00F3121D">
        <w:rPr>
          <w:bCs/>
          <w:lang w:val="en-US"/>
        </w:rPr>
        <w:t xml:space="preserve"> </w:t>
      </w:r>
      <w:bookmarkEnd w:id="0"/>
    </w:p>
    <w:p w14:paraId="037ACB45" w14:textId="3EAA0BE6" w:rsidR="00FE382C" w:rsidRDefault="00FE382C" w:rsidP="00FE382C">
      <w:pPr>
        <w:spacing w:before="40" w:afterLines="40" w:after="96" w:line="240" w:lineRule="auto"/>
        <w:rPr>
          <w:rFonts w:ascii="Arial" w:eastAsia="Times New Roman" w:hAnsi="Arial" w:cs="Arial"/>
          <w:b/>
          <w:bCs/>
          <w:color w:val="auto"/>
          <w:lang w:eastAsia="en-AU"/>
        </w:rPr>
      </w:pPr>
      <w:r w:rsidRPr="008832BF">
        <w:rPr>
          <w:rFonts w:ascii="Arial" w:eastAsia="Times New Roman" w:hAnsi="Arial" w:cs="Arial"/>
          <w:b/>
          <w:bCs/>
          <w:color w:val="auto"/>
          <w:lang w:eastAsia="en-AU"/>
        </w:rPr>
        <w:t xml:space="preserve">Use this tool to plan changes and improvements </w:t>
      </w:r>
      <w:r w:rsidR="006850E8">
        <w:rPr>
          <w:rFonts w:ascii="Arial" w:eastAsia="Times New Roman" w:hAnsi="Arial" w:cs="Arial"/>
          <w:b/>
          <w:bCs/>
          <w:color w:val="auto"/>
          <w:lang w:eastAsia="en-AU"/>
        </w:rPr>
        <w:t xml:space="preserve">to </w:t>
      </w:r>
      <w:r w:rsidRPr="008832BF">
        <w:rPr>
          <w:rFonts w:ascii="Arial" w:eastAsia="Times New Roman" w:hAnsi="Arial" w:cs="Arial"/>
          <w:b/>
          <w:bCs/>
          <w:color w:val="auto"/>
          <w:lang w:eastAsia="en-AU"/>
        </w:rPr>
        <w:t>implement</w:t>
      </w:r>
      <w:r w:rsidR="006850E8">
        <w:rPr>
          <w:rFonts w:ascii="Arial" w:eastAsia="Times New Roman" w:hAnsi="Arial" w:cs="Arial"/>
          <w:b/>
          <w:bCs/>
          <w:color w:val="auto"/>
          <w:lang w:eastAsia="en-AU"/>
        </w:rPr>
        <w:t xml:space="preserve"> </w:t>
      </w:r>
      <w:r w:rsidRPr="008832BF">
        <w:rPr>
          <w:rFonts w:ascii="Arial" w:eastAsia="Times New Roman" w:hAnsi="Arial" w:cs="Arial"/>
          <w:b/>
          <w:bCs/>
          <w:color w:val="auto"/>
          <w:lang w:eastAsia="en-AU"/>
        </w:rPr>
        <w:t>the National Model for Clinical Governance</w:t>
      </w:r>
      <w:r w:rsidR="006850E8">
        <w:rPr>
          <w:rFonts w:ascii="Arial" w:eastAsia="Times New Roman" w:hAnsi="Arial" w:cs="Arial"/>
          <w:b/>
          <w:bCs/>
          <w:color w:val="auto"/>
          <w:lang w:eastAsia="en-AU"/>
        </w:rPr>
        <w:t>.</w:t>
      </w:r>
    </w:p>
    <w:p w14:paraId="60212C63" w14:textId="3D638FCD" w:rsidR="00E310F5" w:rsidRDefault="00E310F5" w:rsidP="00110139">
      <w:pPr>
        <w:rPr>
          <w:rFonts w:eastAsia="Times New Roman"/>
          <w:lang w:eastAsia="en-AU"/>
        </w:rPr>
      </w:pPr>
    </w:p>
    <w:p w14:paraId="608A1828" w14:textId="2CF52DB1" w:rsidR="00E310F5" w:rsidRPr="008832BF" w:rsidRDefault="00E310F5" w:rsidP="00110139">
      <w:pPr>
        <w:rPr>
          <w:rFonts w:eastAsia="Times New Roman"/>
          <w:lang w:eastAsia="en-AU"/>
        </w:rPr>
      </w:pPr>
    </w:p>
    <w:p w14:paraId="73587C63" w14:textId="2286AB36" w:rsidR="001A14E0" w:rsidRDefault="001A14E0" w:rsidP="00110139">
      <w:bookmarkStart w:id="1" w:name="_Toc197590572"/>
    </w:p>
    <w:p w14:paraId="5A318DDF" w14:textId="7ACA1003" w:rsidR="00A5360E" w:rsidRDefault="00A5360E" w:rsidP="00110139"/>
    <w:p w14:paraId="6D010FEE" w14:textId="77777777" w:rsidR="00A702E2" w:rsidRDefault="00A702E2" w:rsidP="00110139">
      <w:pPr>
        <w:rPr>
          <w:lang w:val="en-US"/>
        </w:rPr>
      </w:pPr>
    </w:p>
    <w:p w14:paraId="24D868DA" w14:textId="657FCCD9" w:rsidR="0043024A" w:rsidRDefault="0087799B" w:rsidP="0087799B">
      <w:pPr>
        <w:rPr>
          <w:color w:val="EE0000"/>
          <w:lang w:val="en-US"/>
        </w:rPr>
      </w:pPr>
      <w:r w:rsidRPr="0087799B">
        <w:rPr>
          <w:lang w:val="en-US"/>
        </w:rPr>
        <w:t xml:space="preserve">As with all implementation guide tools, the implementation plan tool is designed to be modified to suit the needs of your </w:t>
      </w:r>
      <w:proofErr w:type="spellStart"/>
      <w:r w:rsidR="006850E8">
        <w:rPr>
          <w:lang w:val="en-US"/>
        </w:rPr>
        <w:t>organisation</w:t>
      </w:r>
      <w:proofErr w:type="spellEnd"/>
      <w:r w:rsidR="006850E8">
        <w:rPr>
          <w:lang w:val="en-US"/>
        </w:rPr>
        <w:t>.</w:t>
      </w:r>
      <w:r w:rsidRPr="0087799B">
        <w:rPr>
          <w:lang w:val="en-US"/>
        </w:rPr>
        <w:t xml:space="preserve"> </w:t>
      </w:r>
      <w:r w:rsidRPr="00A5360E">
        <w:rPr>
          <w:lang w:val="en-US"/>
        </w:rPr>
        <w:t xml:space="preserve">Adopt or adapt </w:t>
      </w:r>
      <w:r w:rsidR="00FD7138" w:rsidRPr="00A5360E">
        <w:rPr>
          <w:lang w:val="en-US"/>
        </w:rPr>
        <w:t xml:space="preserve">the headings or template </w:t>
      </w:r>
      <w:r w:rsidRPr="00A5360E">
        <w:rPr>
          <w:lang w:val="en-US"/>
        </w:rPr>
        <w:t xml:space="preserve">as </w:t>
      </w:r>
      <w:r w:rsidR="00FD7138" w:rsidRPr="00A5360E">
        <w:rPr>
          <w:lang w:val="en-US"/>
        </w:rPr>
        <w:t xml:space="preserve">is </w:t>
      </w:r>
      <w:r w:rsidRPr="00A5360E">
        <w:rPr>
          <w:lang w:val="en-US"/>
        </w:rPr>
        <w:t xml:space="preserve">useful to guide your planning process. </w:t>
      </w:r>
      <w:r w:rsidR="0043024A" w:rsidRPr="00A5360E">
        <w:rPr>
          <w:lang w:val="en-US"/>
        </w:rPr>
        <w:t>Position implementation and reporting within your broader strategic and operational processes for supporting high-quality c</w:t>
      </w:r>
      <w:r w:rsidR="0043024A" w:rsidRPr="00AF25ED">
        <w:rPr>
          <w:lang w:val="en-US"/>
        </w:rPr>
        <w:t xml:space="preserve">are. </w:t>
      </w:r>
    </w:p>
    <w:p w14:paraId="0B087C04" w14:textId="1D49A03B" w:rsidR="0087799B" w:rsidRPr="00A5360E" w:rsidRDefault="0087799B" w:rsidP="0087799B">
      <w:pPr>
        <w:rPr>
          <w:lang w:val="en-US"/>
        </w:rPr>
      </w:pPr>
      <w:r w:rsidRPr="00A5360E">
        <w:rPr>
          <w:lang w:val="en-US"/>
        </w:rPr>
        <w:t>The suggested headings cover three aspects of implementing the National Model for Clinical Governance (national model):</w:t>
      </w:r>
    </w:p>
    <w:p w14:paraId="5F8A52DC" w14:textId="2BF19AA5" w:rsidR="0087799B" w:rsidRPr="00A5360E" w:rsidRDefault="0087799B" w:rsidP="0087799B">
      <w:pPr>
        <w:numPr>
          <w:ilvl w:val="0"/>
          <w:numId w:val="22"/>
        </w:numPr>
        <w:rPr>
          <w:lang w:val="en-US"/>
        </w:rPr>
      </w:pPr>
      <w:r w:rsidRPr="00A5360E">
        <w:rPr>
          <w:lang w:val="en-US"/>
        </w:rPr>
        <w:t xml:space="preserve">Governance and roles </w:t>
      </w:r>
    </w:p>
    <w:p w14:paraId="58999E9B" w14:textId="207E2577" w:rsidR="0087799B" w:rsidRPr="00A5360E" w:rsidRDefault="0087799B" w:rsidP="0087799B">
      <w:pPr>
        <w:numPr>
          <w:ilvl w:val="0"/>
          <w:numId w:val="22"/>
        </w:numPr>
        <w:rPr>
          <w:lang w:val="en-US"/>
        </w:rPr>
      </w:pPr>
      <w:r w:rsidRPr="00A5360E">
        <w:rPr>
          <w:lang w:val="en-US"/>
        </w:rPr>
        <w:t xml:space="preserve">Actions to address identified gaps in foundation good practice examples and warning signs as described in the national model </w:t>
      </w:r>
      <w:r w:rsidR="009F192E" w:rsidRPr="00A5360E">
        <w:rPr>
          <w:lang w:val="en-US"/>
        </w:rPr>
        <w:t>(</w:t>
      </w:r>
      <w:r w:rsidR="00356324" w:rsidRPr="00A5360E">
        <w:rPr>
          <w:lang w:val="en-US"/>
        </w:rPr>
        <w:t xml:space="preserve">formatted as </w:t>
      </w:r>
      <w:r w:rsidR="009F192E" w:rsidRPr="00A5360E">
        <w:rPr>
          <w:lang w:val="en-US"/>
        </w:rPr>
        <w:t xml:space="preserve">a separate document for each </w:t>
      </w:r>
      <w:r w:rsidR="00356324" w:rsidRPr="00A5360E">
        <w:rPr>
          <w:lang w:val="en-US"/>
        </w:rPr>
        <w:t>gap, but the headings can be used in any plan format</w:t>
      </w:r>
      <w:r w:rsidR="009F192E" w:rsidRPr="00A5360E">
        <w:rPr>
          <w:lang w:val="en-US"/>
        </w:rPr>
        <w:t>)</w:t>
      </w:r>
    </w:p>
    <w:p w14:paraId="1866949A" w14:textId="2A953A64" w:rsidR="0087799B" w:rsidRPr="00A5360E" w:rsidRDefault="0087799B" w:rsidP="0087799B">
      <w:pPr>
        <w:numPr>
          <w:ilvl w:val="0"/>
          <w:numId w:val="22"/>
        </w:numPr>
        <w:rPr>
          <w:lang w:val="en-US"/>
        </w:rPr>
      </w:pPr>
      <w:r w:rsidRPr="00A5360E">
        <w:rPr>
          <w:lang w:val="en-US"/>
        </w:rPr>
        <w:t xml:space="preserve">Tracking and reporting. </w:t>
      </w:r>
    </w:p>
    <w:p w14:paraId="4BED29ED" w14:textId="48E6B88C" w:rsidR="00E265D7" w:rsidRPr="00A5360E" w:rsidRDefault="00E265D7" w:rsidP="0087799B">
      <w:pPr>
        <w:rPr>
          <w:lang w:val="en-US"/>
        </w:rPr>
      </w:pPr>
    </w:p>
    <w:p w14:paraId="325F87D3" w14:textId="20647173" w:rsidR="0087799B" w:rsidRPr="008034F8" w:rsidRDefault="00E31292" w:rsidP="0087799B">
      <w:pPr>
        <w:rPr>
          <w:color w:val="auto"/>
          <w:lang w:val="en-US"/>
        </w:rPr>
      </w:pPr>
      <w:r w:rsidRPr="008034F8">
        <w:rPr>
          <w:color w:val="auto"/>
          <w:lang w:val="en-US"/>
        </w:rPr>
        <w:t xml:space="preserve">Gaps and associated actions to close them </w:t>
      </w:r>
      <w:r w:rsidR="0087799B" w:rsidRPr="008034F8">
        <w:rPr>
          <w:color w:val="auto"/>
          <w:lang w:val="en-US"/>
        </w:rPr>
        <w:t xml:space="preserve">should be </w:t>
      </w:r>
      <w:proofErr w:type="spellStart"/>
      <w:r w:rsidR="0087799B" w:rsidRPr="008034F8">
        <w:rPr>
          <w:color w:val="auto"/>
          <w:lang w:val="en-US"/>
        </w:rPr>
        <w:t>prioritised</w:t>
      </w:r>
      <w:proofErr w:type="spellEnd"/>
      <w:r w:rsidR="0087799B" w:rsidRPr="008034F8">
        <w:rPr>
          <w:color w:val="auto"/>
          <w:lang w:val="en-US"/>
        </w:rPr>
        <w:t xml:space="preserve"> according to risk to</w:t>
      </w:r>
      <w:r w:rsidR="00E75455" w:rsidRPr="008034F8">
        <w:rPr>
          <w:color w:val="auto"/>
          <w:lang w:val="en-US"/>
        </w:rPr>
        <w:t xml:space="preserve"> care and/or the implementation process</w:t>
      </w:r>
      <w:r w:rsidR="00A702E2" w:rsidRPr="008034F8">
        <w:rPr>
          <w:color w:val="auto"/>
          <w:lang w:val="en-US"/>
        </w:rPr>
        <w:t xml:space="preserve">. </w:t>
      </w:r>
      <w:r w:rsidR="0087799B" w:rsidRPr="008034F8">
        <w:rPr>
          <w:color w:val="auto"/>
          <w:lang w:val="en-US"/>
        </w:rPr>
        <w:t>Quantitative and qualitative information can be used to track implementation progress.</w:t>
      </w:r>
    </w:p>
    <w:p w14:paraId="1A4BAA13" w14:textId="650ACB10" w:rsidR="003D3E58" w:rsidRPr="008034F8" w:rsidRDefault="00186216" w:rsidP="0087799B">
      <w:pPr>
        <w:rPr>
          <w:color w:val="auto"/>
          <w:lang w:val="en-US"/>
        </w:rPr>
      </w:pPr>
      <w:r w:rsidRPr="008034F8">
        <w:rPr>
          <w:color w:val="auto"/>
          <w:lang w:val="en-US"/>
        </w:rPr>
        <w:t>The tool includes a</w:t>
      </w:r>
      <w:r w:rsidR="003D3E58" w:rsidRPr="008034F8">
        <w:rPr>
          <w:color w:val="auto"/>
          <w:lang w:val="en-US"/>
        </w:rPr>
        <w:t>n example of how the structure might be used to plan to close a good practice gap</w:t>
      </w:r>
      <w:r w:rsidRPr="008034F8">
        <w:rPr>
          <w:color w:val="auto"/>
          <w:lang w:val="en-US"/>
        </w:rPr>
        <w:t>.</w:t>
      </w:r>
    </w:p>
    <w:p w14:paraId="4A315DC7" w14:textId="12C75194" w:rsidR="00E310F5" w:rsidRDefault="00E310F5">
      <w:pPr>
        <w:rPr>
          <w:highlight w:val="lightGray"/>
          <w:lang w:val="en-US"/>
        </w:rPr>
      </w:pPr>
    </w:p>
    <w:p w14:paraId="41E4C4AA" w14:textId="093E7E18" w:rsidR="002F428D" w:rsidRDefault="002F428D">
      <w:pPr>
        <w:rPr>
          <w:highlight w:val="lightGray"/>
          <w:lang w:val="en-US"/>
        </w:rPr>
      </w:pPr>
      <w:r>
        <w:rPr>
          <w:highlight w:val="lightGray"/>
          <w:lang w:val="en-US"/>
        </w:rPr>
        <w:br w:type="page"/>
      </w:r>
    </w:p>
    <w:p w14:paraId="0F1158DE" w14:textId="5EC8152F" w:rsidR="00E66533" w:rsidRPr="00904237" w:rsidRDefault="00927F7D" w:rsidP="00DE2927">
      <w:pPr>
        <w:pStyle w:val="Heading-form"/>
      </w:pPr>
      <w:r w:rsidRPr="00D200B4">
        <w:lastRenderedPageBreak/>
        <w:t xml:space="preserve">National model implementation: governance and roles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56"/>
      </w:tblGrid>
      <w:tr w:rsidR="00E66533" w14:paraId="6FEEA08C" w14:textId="77777777" w:rsidTr="00025D76">
        <w:tc>
          <w:tcPr>
            <w:tcW w:w="9168" w:type="dxa"/>
            <w:gridSpan w:val="3"/>
            <w:shd w:val="clear" w:color="auto" w:fill="D8F4F8" w:themeFill="background2"/>
            <w:vAlign w:val="center"/>
          </w:tcPr>
          <w:p w14:paraId="39258867" w14:textId="7A254E29" w:rsidR="00E66533" w:rsidRPr="00C126FD" w:rsidRDefault="00812778" w:rsidP="00C126FD">
            <w:pPr>
              <w:rPr>
                <w:b/>
                <w:bCs/>
                <w:lang w:val="en-US"/>
              </w:rPr>
            </w:pPr>
            <w:r w:rsidRPr="00A5360E">
              <w:rPr>
                <w:b/>
                <w:bCs/>
                <w:lang w:val="en-US"/>
              </w:rPr>
              <w:t xml:space="preserve">Implementation </w:t>
            </w:r>
            <w:r w:rsidR="008832BF" w:rsidRPr="00A5360E">
              <w:rPr>
                <w:b/>
                <w:bCs/>
                <w:lang w:val="en-US"/>
              </w:rPr>
              <w:t>p</w:t>
            </w:r>
            <w:r w:rsidRPr="00A5360E">
              <w:rPr>
                <w:b/>
                <w:bCs/>
                <w:lang w:val="en-US"/>
              </w:rPr>
              <w:t xml:space="preserve">lanning </w:t>
            </w:r>
            <w:r w:rsidR="008832BF" w:rsidRPr="00A5360E">
              <w:rPr>
                <w:b/>
                <w:bCs/>
                <w:lang w:val="en-US"/>
              </w:rPr>
              <w:t>o</w:t>
            </w:r>
            <w:r w:rsidR="000C64D8" w:rsidRPr="00A5360E">
              <w:rPr>
                <w:b/>
                <w:bCs/>
                <w:lang w:val="en-US"/>
              </w:rPr>
              <w:t>verview</w:t>
            </w:r>
          </w:p>
        </w:tc>
      </w:tr>
      <w:tr w:rsidR="00E66533" w14:paraId="18D5620B" w14:textId="77777777" w:rsidTr="00FD2304">
        <w:tc>
          <w:tcPr>
            <w:tcW w:w="3056" w:type="dxa"/>
          </w:tcPr>
          <w:p w14:paraId="76968F2B" w14:textId="445B0B7F" w:rsidR="00E66533" w:rsidRDefault="00E66533" w:rsidP="00E66533">
            <w:pPr>
              <w:rPr>
                <w:b/>
                <w:lang w:val="en-US"/>
              </w:rPr>
            </w:pPr>
            <w:r w:rsidRPr="000C64D8">
              <w:rPr>
                <w:szCs w:val="24"/>
                <w:lang w:val="en-US"/>
              </w:rPr>
              <w:t xml:space="preserve">Implementation purpose ‒ what will our </w:t>
            </w:r>
            <w:proofErr w:type="spellStart"/>
            <w:r w:rsidRPr="000C64D8">
              <w:rPr>
                <w:szCs w:val="24"/>
                <w:lang w:val="en-US"/>
              </w:rPr>
              <w:t>organisation</w:t>
            </w:r>
            <w:proofErr w:type="spellEnd"/>
            <w:r w:rsidRPr="000C64D8">
              <w:rPr>
                <w:szCs w:val="24"/>
                <w:lang w:val="en-US"/>
              </w:rPr>
              <w:t xml:space="preserve"> achieve by implementing the national model? </w:t>
            </w:r>
          </w:p>
        </w:tc>
        <w:tc>
          <w:tcPr>
            <w:tcW w:w="6112" w:type="dxa"/>
            <w:gridSpan w:val="2"/>
          </w:tcPr>
          <w:p w14:paraId="49F6B6F3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5D22A3D2" w14:textId="77777777" w:rsidTr="00E85E32">
        <w:tc>
          <w:tcPr>
            <w:tcW w:w="3056" w:type="dxa"/>
          </w:tcPr>
          <w:p w14:paraId="4D1F0AB3" w14:textId="73D4ECF6" w:rsidR="00E66533" w:rsidRDefault="00E66533" w:rsidP="00E66533">
            <w:pPr>
              <w:rPr>
                <w:b/>
                <w:lang w:val="en-US"/>
              </w:rPr>
            </w:pPr>
            <w:r w:rsidRPr="00812778">
              <w:rPr>
                <w:szCs w:val="24"/>
                <w:lang w:val="en-US"/>
              </w:rPr>
              <w:t>Our definition of high-quality care</w:t>
            </w:r>
          </w:p>
        </w:tc>
        <w:tc>
          <w:tcPr>
            <w:tcW w:w="6112" w:type="dxa"/>
            <w:gridSpan w:val="2"/>
          </w:tcPr>
          <w:p w14:paraId="4A6D45FC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3D17E37F" w14:textId="77777777" w:rsidTr="004B264E">
        <w:tc>
          <w:tcPr>
            <w:tcW w:w="3056" w:type="dxa"/>
          </w:tcPr>
          <w:p w14:paraId="14F38FE0" w14:textId="3C872CE8" w:rsidR="00E66533" w:rsidRDefault="00E66533" w:rsidP="00E66533">
            <w:pPr>
              <w:rPr>
                <w:b/>
                <w:lang w:val="en-US"/>
              </w:rPr>
            </w:pPr>
            <w:r w:rsidRPr="00F46B42">
              <w:t>Board implementation oversight role</w:t>
            </w:r>
          </w:p>
        </w:tc>
        <w:tc>
          <w:tcPr>
            <w:tcW w:w="6112" w:type="dxa"/>
            <w:gridSpan w:val="2"/>
          </w:tcPr>
          <w:p w14:paraId="4EA8CEF1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763E6730" w14:textId="77777777" w:rsidTr="000545B6">
        <w:tc>
          <w:tcPr>
            <w:tcW w:w="3056" w:type="dxa"/>
          </w:tcPr>
          <w:p w14:paraId="587F40D9" w14:textId="28D2A6EF" w:rsidR="00E66533" w:rsidRDefault="00E66533" w:rsidP="00E66533">
            <w:pPr>
              <w:rPr>
                <w:b/>
                <w:lang w:val="en-US"/>
              </w:rPr>
            </w:pPr>
            <w:r w:rsidRPr="00F46B42">
              <w:t>Executive implementation role</w:t>
            </w:r>
          </w:p>
        </w:tc>
        <w:tc>
          <w:tcPr>
            <w:tcW w:w="6112" w:type="dxa"/>
            <w:gridSpan w:val="2"/>
          </w:tcPr>
          <w:p w14:paraId="6676CA5E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74668890" w14:textId="77777777" w:rsidTr="00036946">
        <w:tc>
          <w:tcPr>
            <w:tcW w:w="3056" w:type="dxa"/>
          </w:tcPr>
          <w:p w14:paraId="5309A3FB" w14:textId="345AF2D2" w:rsidR="00E66533" w:rsidRDefault="00E66533" w:rsidP="00E66533">
            <w:pPr>
              <w:rPr>
                <w:b/>
                <w:lang w:val="en-US"/>
              </w:rPr>
            </w:pPr>
            <w:r w:rsidRPr="00F46B42">
              <w:t>Responsible operational and governance committees</w:t>
            </w:r>
          </w:p>
        </w:tc>
        <w:tc>
          <w:tcPr>
            <w:tcW w:w="6112" w:type="dxa"/>
            <w:gridSpan w:val="2"/>
          </w:tcPr>
          <w:p w14:paraId="6A5906CB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56D53FC8" w14:textId="77777777" w:rsidTr="00143453">
        <w:tc>
          <w:tcPr>
            <w:tcW w:w="3056" w:type="dxa"/>
          </w:tcPr>
          <w:p w14:paraId="46A612AD" w14:textId="20222D85" w:rsidR="00E66533" w:rsidRDefault="00E66533" w:rsidP="00E66533">
            <w:pPr>
              <w:rPr>
                <w:b/>
                <w:lang w:val="en-US"/>
              </w:rPr>
            </w:pPr>
            <w:r w:rsidRPr="00F46B42">
              <w:t>How implementation progress is monitored and reported to the board</w:t>
            </w:r>
          </w:p>
        </w:tc>
        <w:tc>
          <w:tcPr>
            <w:tcW w:w="6112" w:type="dxa"/>
            <w:gridSpan w:val="2"/>
          </w:tcPr>
          <w:p w14:paraId="3BA57DBB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E66533" w14:paraId="45176E11" w14:textId="77777777" w:rsidTr="00560BB0">
        <w:tc>
          <w:tcPr>
            <w:tcW w:w="3056" w:type="dxa"/>
          </w:tcPr>
          <w:p w14:paraId="4DFCB51F" w14:textId="5A3908E1" w:rsidR="00E66533" w:rsidRDefault="00E66533" w:rsidP="00E66533">
            <w:pPr>
              <w:rPr>
                <w:b/>
                <w:lang w:val="en-US"/>
              </w:rPr>
            </w:pPr>
            <w:r w:rsidRPr="00F46B42">
              <w:t>How patients, carers, consumers, clinicians and managers are engaged in implementation</w:t>
            </w:r>
          </w:p>
        </w:tc>
        <w:tc>
          <w:tcPr>
            <w:tcW w:w="6112" w:type="dxa"/>
            <w:gridSpan w:val="2"/>
          </w:tcPr>
          <w:p w14:paraId="609EBF22" w14:textId="77777777" w:rsidR="00E66533" w:rsidRDefault="00E66533" w:rsidP="00E66533">
            <w:pPr>
              <w:rPr>
                <w:b/>
                <w:lang w:val="en-US"/>
              </w:rPr>
            </w:pPr>
          </w:p>
        </w:tc>
      </w:tr>
      <w:tr w:rsidR="00C126FD" w14:paraId="5ADEE135" w14:textId="77777777" w:rsidTr="00C126FD">
        <w:tc>
          <w:tcPr>
            <w:tcW w:w="9168" w:type="dxa"/>
            <w:gridSpan w:val="3"/>
            <w:shd w:val="clear" w:color="auto" w:fill="D8F4F8" w:themeFill="background2"/>
          </w:tcPr>
          <w:p w14:paraId="40AAE7A2" w14:textId="6D7A1335" w:rsidR="00C126FD" w:rsidRPr="00186216" w:rsidRDefault="00812778" w:rsidP="00C126FD">
            <w:pPr>
              <w:rPr>
                <w:b/>
                <w:bCs/>
                <w:lang w:val="en-US"/>
              </w:rPr>
            </w:pPr>
            <w:r w:rsidRPr="00186216">
              <w:rPr>
                <w:b/>
                <w:bCs/>
                <w:lang w:val="en-US"/>
              </w:rPr>
              <w:t xml:space="preserve">Actions </w:t>
            </w:r>
            <w:r w:rsidR="00386A1F" w:rsidRPr="00186216">
              <w:rPr>
                <w:b/>
                <w:bCs/>
                <w:lang w:val="en-US"/>
              </w:rPr>
              <w:t xml:space="preserve">to </w:t>
            </w:r>
            <w:r w:rsidR="00C126FD" w:rsidRPr="00186216">
              <w:rPr>
                <w:b/>
                <w:bCs/>
                <w:lang w:val="en-US"/>
              </w:rPr>
              <w:t>increas</w:t>
            </w:r>
            <w:r w:rsidR="00386A1F" w:rsidRPr="00186216">
              <w:rPr>
                <w:b/>
                <w:bCs/>
                <w:lang w:val="en-US"/>
              </w:rPr>
              <w:t>e</w:t>
            </w:r>
            <w:r w:rsidR="00C126FD" w:rsidRPr="00186216">
              <w:rPr>
                <w:b/>
                <w:bCs/>
                <w:lang w:val="en-US"/>
              </w:rPr>
              <w:t xml:space="preserve"> governance and leadership maturity </w:t>
            </w:r>
            <w:r w:rsidR="000C64D8" w:rsidRPr="00186216">
              <w:rPr>
                <w:b/>
                <w:bCs/>
                <w:lang w:val="en-US"/>
              </w:rPr>
              <w:t xml:space="preserve">as we </w:t>
            </w:r>
            <w:r w:rsidR="00C126FD" w:rsidRPr="00186216">
              <w:rPr>
                <w:b/>
                <w:bCs/>
                <w:lang w:val="en-US"/>
              </w:rPr>
              <w:t>implement the national model</w:t>
            </w:r>
          </w:p>
          <w:p w14:paraId="348B30E0" w14:textId="3C69635D" w:rsidR="00C126FD" w:rsidRDefault="00C126FD" w:rsidP="00C126FD">
            <w:pPr>
              <w:rPr>
                <w:b/>
                <w:lang w:val="en-US"/>
              </w:rPr>
            </w:pPr>
            <w:r w:rsidRPr="008832BF">
              <w:rPr>
                <w:color w:val="auto"/>
                <w:lang w:val="en-US"/>
              </w:rPr>
              <w:t>Insert the implementation maturity scale ratings for the four aspects of</w:t>
            </w:r>
            <w:r w:rsidR="00386A1F" w:rsidRPr="008832BF">
              <w:rPr>
                <w:color w:val="auto"/>
                <w:lang w:val="en-US"/>
              </w:rPr>
              <w:t xml:space="preserve"> your </w:t>
            </w:r>
            <w:proofErr w:type="spellStart"/>
            <w:r w:rsidR="00386A1F" w:rsidRPr="008832BF">
              <w:rPr>
                <w:color w:val="auto"/>
                <w:lang w:val="en-US"/>
              </w:rPr>
              <w:t>organisation’s</w:t>
            </w:r>
            <w:proofErr w:type="spellEnd"/>
            <w:r w:rsidR="00386A1F" w:rsidRPr="008832BF">
              <w:rPr>
                <w:color w:val="auto"/>
                <w:lang w:val="en-US"/>
              </w:rPr>
              <w:t xml:space="preserve"> </w:t>
            </w:r>
            <w:r w:rsidRPr="008832BF">
              <w:rPr>
                <w:color w:val="auto"/>
                <w:lang w:val="en-US"/>
              </w:rPr>
              <w:t xml:space="preserve">governance and leadership maturity as documented in the </w:t>
            </w:r>
            <w:r w:rsidRPr="00F76BB6">
              <w:rPr>
                <w:color w:val="auto"/>
              </w:rPr>
              <w:t>implementation maturity scale</w:t>
            </w:r>
            <w:r w:rsidRPr="008832BF">
              <w:rPr>
                <w:i/>
                <w:iCs/>
                <w:color w:val="auto"/>
              </w:rPr>
              <w:t xml:space="preserve"> </w:t>
            </w:r>
            <w:r w:rsidRPr="008832BF">
              <w:rPr>
                <w:color w:val="auto"/>
              </w:rPr>
              <w:t>under ‘C</w:t>
            </w:r>
            <w:r w:rsidR="00386A1F" w:rsidRPr="008832BF">
              <w:rPr>
                <w:color w:val="auto"/>
              </w:rPr>
              <w:t>.</w:t>
            </w:r>
            <w:r w:rsidR="00E75455" w:rsidRPr="004F7FB6">
              <w:t xml:space="preserve"> </w:t>
            </w:r>
            <w:r w:rsidR="00E75455" w:rsidRPr="008034F8">
              <w:rPr>
                <w:color w:val="auto"/>
              </w:rPr>
              <w:t>Board and executive implementation governance and operational oversight</w:t>
            </w:r>
            <w:r w:rsidR="00F25D36">
              <w:rPr>
                <w:color w:val="auto"/>
              </w:rPr>
              <w:t>’.</w:t>
            </w:r>
            <w:r w:rsidR="00386A1F" w:rsidRPr="008832BF">
              <w:rPr>
                <w:color w:val="auto"/>
                <w:lang w:val="en-US"/>
              </w:rPr>
              <w:t xml:space="preserve"> </w:t>
            </w:r>
          </w:p>
        </w:tc>
      </w:tr>
      <w:tr w:rsidR="00C126FD" w14:paraId="76B6A40F" w14:textId="77777777" w:rsidTr="00C126FD">
        <w:tc>
          <w:tcPr>
            <w:tcW w:w="3056" w:type="dxa"/>
            <w:shd w:val="clear" w:color="auto" w:fill="004C6E"/>
          </w:tcPr>
          <w:p w14:paraId="371BB51F" w14:textId="64E75A17" w:rsidR="00C126FD" w:rsidRDefault="00C126FD" w:rsidP="00C126FD">
            <w:pPr>
              <w:rPr>
                <w:b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Aspect</w:t>
            </w:r>
          </w:p>
        </w:tc>
        <w:tc>
          <w:tcPr>
            <w:tcW w:w="3056" w:type="dxa"/>
            <w:shd w:val="clear" w:color="auto" w:fill="004C6E"/>
          </w:tcPr>
          <w:p w14:paraId="3D003371" w14:textId="1A780F22" w:rsidR="00C126FD" w:rsidRDefault="00C126FD" w:rsidP="00C126FD">
            <w:pPr>
              <w:rPr>
                <w:b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Maturity level</w:t>
            </w:r>
          </w:p>
        </w:tc>
        <w:tc>
          <w:tcPr>
            <w:tcW w:w="3056" w:type="dxa"/>
            <w:shd w:val="clear" w:color="auto" w:fill="004C6E"/>
          </w:tcPr>
          <w:p w14:paraId="4BC243FA" w14:textId="0AE9389D" w:rsidR="00C126FD" w:rsidRDefault="00C126FD" w:rsidP="00C126FD">
            <w:pPr>
              <w:rPr>
                <w:b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Date of assessment</w:t>
            </w:r>
          </w:p>
        </w:tc>
      </w:tr>
      <w:tr w:rsidR="00C126FD" w14:paraId="6C5FCCF5" w14:textId="77777777" w:rsidTr="00E66533">
        <w:tc>
          <w:tcPr>
            <w:tcW w:w="3056" w:type="dxa"/>
          </w:tcPr>
          <w:p w14:paraId="57C0D646" w14:textId="27A3B584" w:rsidR="00C126FD" w:rsidRDefault="00C126FD" w:rsidP="00C126FD">
            <w:pPr>
              <w:rPr>
                <w:b/>
                <w:lang w:val="en-US"/>
              </w:rPr>
            </w:pPr>
            <w:r w:rsidRPr="00CE7766">
              <w:rPr>
                <w:bCs/>
                <w:lang w:val="en-US"/>
              </w:rPr>
              <w:t xml:space="preserve">The board and executive share an understanding of the intent and content of the clinical governance model as </w:t>
            </w:r>
            <w:proofErr w:type="gramStart"/>
            <w:r w:rsidRPr="00CE7766">
              <w:rPr>
                <w:bCs/>
                <w:lang w:val="en-US"/>
              </w:rPr>
              <w:t>a support</w:t>
            </w:r>
            <w:proofErr w:type="gramEnd"/>
            <w:r w:rsidRPr="00CE7766">
              <w:rPr>
                <w:bCs/>
                <w:lang w:val="en-US"/>
              </w:rPr>
              <w:t xml:space="preserve"> for high-quality care.</w:t>
            </w:r>
          </w:p>
        </w:tc>
        <w:tc>
          <w:tcPr>
            <w:tcW w:w="3056" w:type="dxa"/>
          </w:tcPr>
          <w:p w14:paraId="1BE91AD1" w14:textId="77777777" w:rsidR="00C126FD" w:rsidRDefault="00C126FD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58B6802B" w14:textId="77777777" w:rsidR="00C126FD" w:rsidRDefault="00C126FD" w:rsidP="00C126FD">
            <w:pPr>
              <w:rPr>
                <w:b/>
                <w:lang w:val="en-US"/>
              </w:rPr>
            </w:pPr>
          </w:p>
        </w:tc>
      </w:tr>
      <w:tr w:rsidR="00C126FD" w14:paraId="63B6B769" w14:textId="77777777" w:rsidTr="00E66533">
        <w:tc>
          <w:tcPr>
            <w:tcW w:w="3056" w:type="dxa"/>
          </w:tcPr>
          <w:p w14:paraId="3246BCF4" w14:textId="4E774D10" w:rsidR="00C126FD" w:rsidRDefault="00C126FD" w:rsidP="00C126FD">
            <w:pPr>
              <w:rPr>
                <w:b/>
                <w:lang w:val="en-US"/>
              </w:rPr>
            </w:pPr>
            <w:r w:rsidRPr="00CE7766">
              <w:rPr>
                <w:bCs/>
                <w:lang w:val="en-US"/>
              </w:rPr>
              <w:t xml:space="preserve">The board and executive enact their respective clinical governance roles and </w:t>
            </w:r>
            <w:r w:rsidRPr="00CE7766">
              <w:rPr>
                <w:bCs/>
                <w:lang w:val="en-US"/>
              </w:rPr>
              <w:lastRenderedPageBreak/>
              <w:t>responsibilities as required by the national model.</w:t>
            </w:r>
          </w:p>
        </w:tc>
        <w:tc>
          <w:tcPr>
            <w:tcW w:w="3056" w:type="dxa"/>
          </w:tcPr>
          <w:p w14:paraId="5ECBB055" w14:textId="77777777" w:rsidR="00C126FD" w:rsidRDefault="00C126FD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4738A8F6" w14:textId="77777777" w:rsidR="00C126FD" w:rsidRDefault="00C126FD" w:rsidP="00C126FD">
            <w:pPr>
              <w:rPr>
                <w:b/>
                <w:lang w:val="en-US"/>
              </w:rPr>
            </w:pPr>
          </w:p>
        </w:tc>
      </w:tr>
      <w:tr w:rsidR="00C126FD" w14:paraId="200D0CFF" w14:textId="77777777" w:rsidTr="00E66533">
        <w:tc>
          <w:tcPr>
            <w:tcW w:w="3056" w:type="dxa"/>
          </w:tcPr>
          <w:p w14:paraId="74B2720C" w14:textId="51D43CEC" w:rsidR="00C126FD" w:rsidRDefault="00C126FD" w:rsidP="00C126FD">
            <w:pPr>
              <w:rPr>
                <w:b/>
                <w:lang w:val="en-US"/>
              </w:rPr>
            </w:pPr>
            <w:r w:rsidRPr="00CE7766">
              <w:rPr>
                <w:bCs/>
                <w:lang w:val="en-US"/>
              </w:rPr>
              <w:t xml:space="preserve">High-quality care is defined, governed and managed as a strategic and operational priority. </w:t>
            </w:r>
          </w:p>
        </w:tc>
        <w:tc>
          <w:tcPr>
            <w:tcW w:w="3056" w:type="dxa"/>
          </w:tcPr>
          <w:p w14:paraId="7CCE1A63" w14:textId="77777777" w:rsidR="00C126FD" w:rsidRDefault="00C126FD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09D734B0" w14:textId="77777777" w:rsidR="00C126FD" w:rsidRDefault="00C126FD" w:rsidP="00C126FD">
            <w:pPr>
              <w:rPr>
                <w:b/>
                <w:lang w:val="en-US"/>
              </w:rPr>
            </w:pPr>
          </w:p>
        </w:tc>
      </w:tr>
      <w:tr w:rsidR="00C126FD" w14:paraId="09A83C83" w14:textId="77777777" w:rsidTr="00E66533">
        <w:tc>
          <w:tcPr>
            <w:tcW w:w="3056" w:type="dxa"/>
          </w:tcPr>
          <w:p w14:paraId="2FB849EF" w14:textId="563208F8" w:rsidR="00C126FD" w:rsidRDefault="00C126FD" w:rsidP="00C126FD">
            <w:pPr>
              <w:rPr>
                <w:b/>
                <w:lang w:val="en-US"/>
              </w:rPr>
            </w:pPr>
            <w:r w:rsidRPr="00CE7766">
              <w:rPr>
                <w:bCs/>
                <w:lang w:val="en-US"/>
              </w:rPr>
              <w:t>The board and executive evaluate national model implementation for its effectiveness in driving high-quality care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3056" w:type="dxa"/>
          </w:tcPr>
          <w:p w14:paraId="4BF9319C" w14:textId="77777777" w:rsidR="00C126FD" w:rsidRDefault="00C126FD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31F11B12" w14:textId="77777777" w:rsidR="00C126FD" w:rsidRDefault="00C126FD" w:rsidP="00C126FD">
            <w:pPr>
              <w:rPr>
                <w:b/>
                <w:lang w:val="en-US"/>
              </w:rPr>
            </w:pPr>
          </w:p>
        </w:tc>
      </w:tr>
      <w:tr w:rsidR="00C126FD" w14:paraId="495053DD" w14:textId="77777777" w:rsidTr="00C126FD">
        <w:tc>
          <w:tcPr>
            <w:tcW w:w="9168" w:type="dxa"/>
            <w:gridSpan w:val="3"/>
            <w:shd w:val="clear" w:color="auto" w:fill="D8F4F8" w:themeFill="background2"/>
          </w:tcPr>
          <w:p w14:paraId="1BFCB8F5" w14:textId="1AB36F21" w:rsidR="00C126FD" w:rsidRDefault="000C64D8" w:rsidP="00E66533">
            <w:pPr>
              <w:rPr>
                <w:b/>
                <w:lang w:val="en-US"/>
              </w:rPr>
            </w:pPr>
            <w:r w:rsidRPr="00A5360E">
              <w:rPr>
                <w:b/>
                <w:bCs/>
                <w:lang w:val="en-US"/>
              </w:rPr>
              <w:t xml:space="preserve">Actions for </w:t>
            </w:r>
            <w:r w:rsidR="00C126FD" w:rsidRPr="00A5360E">
              <w:rPr>
                <w:b/>
                <w:bCs/>
                <w:lang w:val="en-US"/>
              </w:rPr>
              <w:t>align</w:t>
            </w:r>
            <w:r w:rsidRPr="00A5360E">
              <w:rPr>
                <w:b/>
                <w:bCs/>
                <w:lang w:val="en-US"/>
              </w:rPr>
              <w:t>ing our roles</w:t>
            </w:r>
            <w:r w:rsidR="00C126FD" w:rsidRPr="00A5360E">
              <w:rPr>
                <w:b/>
                <w:bCs/>
                <w:lang w:val="en-US"/>
              </w:rPr>
              <w:t xml:space="preserve"> with the national model’s roles supporting high-quality care</w:t>
            </w:r>
          </w:p>
        </w:tc>
      </w:tr>
      <w:tr w:rsidR="00BC17BA" w14:paraId="63451FC4" w14:textId="77777777" w:rsidTr="00772A72">
        <w:tc>
          <w:tcPr>
            <w:tcW w:w="3056" w:type="dxa"/>
            <w:shd w:val="clear" w:color="auto" w:fill="004C6E"/>
          </w:tcPr>
          <w:p w14:paraId="62C2349A" w14:textId="26F0607C" w:rsidR="00BC17BA" w:rsidRPr="00A5360E" w:rsidRDefault="00BC17BA" w:rsidP="00AF25ED">
            <w:pPr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Aspect</w:t>
            </w:r>
          </w:p>
        </w:tc>
        <w:tc>
          <w:tcPr>
            <w:tcW w:w="3056" w:type="dxa"/>
            <w:shd w:val="clear" w:color="auto" w:fill="004C6E"/>
          </w:tcPr>
          <w:p w14:paraId="4F68E51D" w14:textId="72233605" w:rsidR="00BC17BA" w:rsidRPr="00A5360E" w:rsidRDefault="00BC17BA" w:rsidP="00AF25ED">
            <w:pPr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Maturity level</w:t>
            </w:r>
          </w:p>
        </w:tc>
        <w:tc>
          <w:tcPr>
            <w:tcW w:w="3056" w:type="dxa"/>
            <w:shd w:val="clear" w:color="auto" w:fill="004C6E"/>
          </w:tcPr>
          <w:p w14:paraId="06D63893" w14:textId="26C533E1" w:rsidR="00BC17BA" w:rsidRPr="00A5360E" w:rsidRDefault="00BC17BA" w:rsidP="00AF25ED">
            <w:pPr>
              <w:rPr>
                <w:b/>
                <w:bCs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Date of assessment</w:t>
            </w:r>
          </w:p>
        </w:tc>
      </w:tr>
      <w:tr w:rsidR="00BC17BA" w14:paraId="4160B02E" w14:textId="77777777" w:rsidTr="00512274">
        <w:tc>
          <w:tcPr>
            <w:tcW w:w="3056" w:type="dxa"/>
          </w:tcPr>
          <w:p w14:paraId="5F621226" w14:textId="6B274819" w:rsidR="00BC17BA" w:rsidRDefault="00BC17BA" w:rsidP="00C126FD">
            <w:pPr>
              <w:rPr>
                <w:b/>
                <w:lang w:val="en-US"/>
              </w:rPr>
            </w:pPr>
            <w:r w:rsidRPr="00486C47">
              <w:t>Consumer and patient representatives</w:t>
            </w:r>
          </w:p>
        </w:tc>
        <w:tc>
          <w:tcPr>
            <w:tcW w:w="3056" w:type="dxa"/>
          </w:tcPr>
          <w:p w14:paraId="1E581684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6C101E20" w14:textId="2E917C3E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5DCB96DC" w14:textId="77777777" w:rsidTr="00512274">
        <w:tc>
          <w:tcPr>
            <w:tcW w:w="3056" w:type="dxa"/>
          </w:tcPr>
          <w:p w14:paraId="3553A69C" w14:textId="5D05CAA9" w:rsidR="00BC17BA" w:rsidRDefault="00BC17BA" w:rsidP="00C126FD">
            <w:pPr>
              <w:rPr>
                <w:b/>
                <w:lang w:val="en-US"/>
              </w:rPr>
            </w:pPr>
            <w:r w:rsidRPr="00486C47">
              <w:t>Boards or equivalent</w:t>
            </w:r>
          </w:p>
        </w:tc>
        <w:tc>
          <w:tcPr>
            <w:tcW w:w="3056" w:type="dxa"/>
          </w:tcPr>
          <w:p w14:paraId="64FF3B44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4F71DA2C" w14:textId="65A0CDAC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53AD681F" w14:textId="77777777" w:rsidTr="00512274">
        <w:tc>
          <w:tcPr>
            <w:tcW w:w="3056" w:type="dxa"/>
          </w:tcPr>
          <w:p w14:paraId="66675DB2" w14:textId="423C9EAB" w:rsidR="00BC17BA" w:rsidRDefault="00BC17BA" w:rsidP="00C126FD">
            <w:pPr>
              <w:rPr>
                <w:b/>
                <w:lang w:val="en-US"/>
              </w:rPr>
            </w:pPr>
            <w:r w:rsidRPr="00486C47">
              <w:t>Executives or equivalent</w:t>
            </w:r>
          </w:p>
        </w:tc>
        <w:tc>
          <w:tcPr>
            <w:tcW w:w="3056" w:type="dxa"/>
          </w:tcPr>
          <w:p w14:paraId="285F287B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737B13A4" w14:textId="586EA93B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5C3D3FB9" w14:textId="77777777" w:rsidTr="00512274">
        <w:tc>
          <w:tcPr>
            <w:tcW w:w="3056" w:type="dxa"/>
          </w:tcPr>
          <w:p w14:paraId="29AE1C5B" w14:textId="2A9FE7D4" w:rsidR="00BC17BA" w:rsidRDefault="00BC17BA" w:rsidP="00C126FD">
            <w:pPr>
              <w:rPr>
                <w:b/>
                <w:lang w:val="en-US"/>
              </w:rPr>
            </w:pPr>
            <w:r w:rsidRPr="00486C47">
              <w:t>Managers and clinical leaders</w:t>
            </w:r>
          </w:p>
        </w:tc>
        <w:tc>
          <w:tcPr>
            <w:tcW w:w="3056" w:type="dxa"/>
          </w:tcPr>
          <w:p w14:paraId="3B34174D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05384F0C" w14:textId="55FF38D5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3E38E392" w14:textId="77777777" w:rsidTr="00512274">
        <w:tc>
          <w:tcPr>
            <w:tcW w:w="3056" w:type="dxa"/>
          </w:tcPr>
          <w:p w14:paraId="2A3ED549" w14:textId="538D8475" w:rsidR="00BC17BA" w:rsidRDefault="00BC17BA" w:rsidP="00C126FD">
            <w:pPr>
              <w:rPr>
                <w:b/>
                <w:lang w:val="en-US"/>
              </w:rPr>
            </w:pPr>
            <w:r w:rsidRPr="00486C47">
              <w:t xml:space="preserve">Clinicians </w:t>
            </w:r>
            <w:r w:rsidRPr="00486C47">
              <w:rPr>
                <w:rFonts w:cs="Calibri"/>
              </w:rPr>
              <w:t xml:space="preserve">‒ </w:t>
            </w:r>
            <w:r w:rsidRPr="00486C47">
              <w:t>includes the nursing, allied health and medical workforce</w:t>
            </w:r>
          </w:p>
        </w:tc>
        <w:tc>
          <w:tcPr>
            <w:tcW w:w="3056" w:type="dxa"/>
          </w:tcPr>
          <w:p w14:paraId="1C1E6B18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7251911C" w14:textId="6EF730F7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611DB8F0" w14:textId="77777777" w:rsidTr="00512274">
        <w:tc>
          <w:tcPr>
            <w:tcW w:w="3056" w:type="dxa"/>
          </w:tcPr>
          <w:p w14:paraId="277F3062" w14:textId="771F718A" w:rsidR="00BC17BA" w:rsidRDefault="00BC17BA" w:rsidP="00C126FD">
            <w:pPr>
              <w:rPr>
                <w:b/>
                <w:lang w:val="en-US"/>
              </w:rPr>
            </w:pPr>
            <w:r w:rsidRPr="00486C47">
              <w:t>Non-clinical staff</w:t>
            </w:r>
          </w:p>
        </w:tc>
        <w:tc>
          <w:tcPr>
            <w:tcW w:w="3056" w:type="dxa"/>
          </w:tcPr>
          <w:p w14:paraId="2704672F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3EE48DB9" w14:textId="2979216F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BC17BA" w14:paraId="30BF3EDF" w14:textId="77777777" w:rsidTr="00512274">
        <w:tc>
          <w:tcPr>
            <w:tcW w:w="3056" w:type="dxa"/>
          </w:tcPr>
          <w:p w14:paraId="740A3166" w14:textId="0C53B0B3" w:rsidR="00BC17BA" w:rsidRDefault="00BC17BA" w:rsidP="00C126FD">
            <w:pPr>
              <w:rPr>
                <w:b/>
                <w:lang w:val="en-US"/>
              </w:rPr>
            </w:pPr>
            <w:r w:rsidRPr="00486C47">
              <w:t>Consumer and patient representatives</w:t>
            </w:r>
          </w:p>
        </w:tc>
        <w:tc>
          <w:tcPr>
            <w:tcW w:w="3056" w:type="dxa"/>
          </w:tcPr>
          <w:p w14:paraId="7D90722D" w14:textId="77777777" w:rsidR="00BC17BA" w:rsidRDefault="00BC17BA" w:rsidP="00C126FD">
            <w:pPr>
              <w:rPr>
                <w:b/>
                <w:lang w:val="en-US"/>
              </w:rPr>
            </w:pPr>
          </w:p>
        </w:tc>
        <w:tc>
          <w:tcPr>
            <w:tcW w:w="3056" w:type="dxa"/>
          </w:tcPr>
          <w:p w14:paraId="56164E1B" w14:textId="68361354" w:rsidR="00BC17BA" w:rsidRDefault="00BC17BA" w:rsidP="00C126FD">
            <w:pPr>
              <w:rPr>
                <w:b/>
                <w:lang w:val="en-US"/>
              </w:rPr>
            </w:pPr>
          </w:p>
        </w:tc>
      </w:tr>
      <w:tr w:rsidR="00C126FD" w14:paraId="5237F816" w14:textId="77777777" w:rsidTr="00C126FD">
        <w:tc>
          <w:tcPr>
            <w:tcW w:w="9168" w:type="dxa"/>
            <w:gridSpan w:val="3"/>
            <w:shd w:val="clear" w:color="auto" w:fill="D8F4F8" w:themeFill="background2"/>
          </w:tcPr>
          <w:p w14:paraId="30268E90" w14:textId="26507C56" w:rsidR="00C126FD" w:rsidRPr="00C126FD" w:rsidRDefault="009F192E" w:rsidP="00E66533">
            <w:pPr>
              <w:rPr>
                <w:b/>
                <w:bCs/>
                <w:lang w:val="en-US"/>
              </w:rPr>
            </w:pPr>
            <w:r w:rsidRPr="00A5360E">
              <w:rPr>
                <w:b/>
                <w:bCs/>
                <w:lang w:val="en-US"/>
              </w:rPr>
              <w:t>Actions for aligning our clinical governance framework document with the national model</w:t>
            </w:r>
            <w:r w:rsidR="00386A1F" w:rsidRPr="00A5360E">
              <w:rPr>
                <w:b/>
                <w:bCs/>
                <w:lang w:val="en-US"/>
              </w:rPr>
              <w:t>:</w:t>
            </w:r>
          </w:p>
        </w:tc>
      </w:tr>
      <w:tr w:rsidR="009F192E" w14:paraId="0A527B2C" w14:textId="77777777" w:rsidTr="009F192E">
        <w:tc>
          <w:tcPr>
            <w:tcW w:w="9168" w:type="dxa"/>
            <w:gridSpan w:val="3"/>
          </w:tcPr>
          <w:p w14:paraId="08DFBC96" w14:textId="77777777" w:rsidR="009F192E" w:rsidRDefault="009F192E" w:rsidP="00E66533">
            <w:pPr>
              <w:rPr>
                <w:b/>
                <w:bCs/>
                <w:lang w:val="en-US"/>
              </w:rPr>
            </w:pPr>
          </w:p>
        </w:tc>
      </w:tr>
    </w:tbl>
    <w:p w14:paraId="1872AA11" w14:textId="77777777" w:rsidR="00E66533" w:rsidRDefault="00E66533" w:rsidP="00DE2927">
      <w:pPr>
        <w:rPr>
          <w:b/>
          <w:lang w:val="en-US"/>
        </w:rPr>
      </w:pPr>
    </w:p>
    <w:p w14:paraId="1E488B17" w14:textId="77777777" w:rsidR="007C1E08" w:rsidRDefault="007C1E08" w:rsidP="00DE2927">
      <w:pPr>
        <w:rPr>
          <w:b/>
          <w:lang w:val="en-US"/>
        </w:rPr>
      </w:pPr>
    </w:p>
    <w:p w14:paraId="55332186" w14:textId="2F053AC8" w:rsidR="00833988" w:rsidRDefault="002C79C2" w:rsidP="00833988">
      <w:pPr>
        <w:rPr>
          <w:lang w:val="en-US"/>
        </w:rPr>
      </w:pPr>
      <w:r>
        <w:rPr>
          <w:lang w:val="en-US"/>
        </w:rPr>
        <w:br w:type="page"/>
      </w:r>
    </w:p>
    <w:p w14:paraId="0738B748" w14:textId="34A59AF3" w:rsidR="000E567E" w:rsidRPr="00904237" w:rsidRDefault="00C323AA" w:rsidP="000E567E">
      <w:pPr>
        <w:pStyle w:val="Heading-form"/>
      </w:pPr>
      <w:r w:rsidRPr="00C323AA">
        <w:lastRenderedPageBreak/>
        <w:t>National model implementation: gaps in foundation good practice examples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344"/>
        <w:gridCol w:w="1452"/>
        <w:gridCol w:w="2798"/>
      </w:tblGrid>
      <w:tr w:rsidR="00D93A1A" w14:paraId="049692CD" w14:textId="77777777" w:rsidTr="00A85817">
        <w:tc>
          <w:tcPr>
            <w:tcW w:w="9178" w:type="dxa"/>
            <w:gridSpan w:val="4"/>
            <w:shd w:val="clear" w:color="auto" w:fill="D8F4F8" w:themeFill="background2"/>
          </w:tcPr>
          <w:p w14:paraId="265777AB" w14:textId="3A6A6B3D" w:rsidR="00D93A1A" w:rsidRPr="00C437BE" w:rsidRDefault="00D93A1A" w:rsidP="000E567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FOUNDATION:</w:t>
            </w:r>
          </w:p>
        </w:tc>
      </w:tr>
      <w:tr w:rsidR="000E567E" w14:paraId="750249B6" w14:textId="77777777" w:rsidTr="00EF5406">
        <w:tc>
          <w:tcPr>
            <w:tcW w:w="4586" w:type="dxa"/>
            <w:gridSpan w:val="2"/>
          </w:tcPr>
          <w:p w14:paraId="09D7DC53" w14:textId="17B74E9E" w:rsidR="000E567E" w:rsidRPr="00A5360E" w:rsidRDefault="00401670" w:rsidP="000E567E">
            <w:pPr>
              <w:rPr>
                <w:b/>
                <w:bCs/>
              </w:rPr>
            </w:pPr>
            <w:r w:rsidRPr="00A5360E">
              <w:rPr>
                <w:b/>
                <w:bCs/>
              </w:rPr>
              <w:t>Good practice example</w:t>
            </w:r>
          </w:p>
          <w:p w14:paraId="5FC93969" w14:textId="7C1A7111" w:rsidR="000E567E" w:rsidRDefault="00401670" w:rsidP="000E567E">
            <w:pPr>
              <w:rPr>
                <w:lang w:val="en-GB"/>
              </w:rPr>
            </w:pPr>
            <w:r w:rsidRPr="00A5360E">
              <w:t xml:space="preserve">Specify the good practice example (from the </w:t>
            </w:r>
            <w:r w:rsidR="008832BF" w:rsidRPr="00A5360E">
              <w:t xml:space="preserve">national </w:t>
            </w:r>
            <w:r w:rsidRPr="00A5360E">
              <w:t>model) where there is an identified practice gap in your organisation</w:t>
            </w:r>
            <w:r w:rsidR="00A5360E">
              <w:t>.</w:t>
            </w:r>
          </w:p>
        </w:tc>
        <w:tc>
          <w:tcPr>
            <w:tcW w:w="4592" w:type="dxa"/>
            <w:gridSpan w:val="2"/>
          </w:tcPr>
          <w:p w14:paraId="55C155B8" w14:textId="77777777" w:rsidR="000E567E" w:rsidRDefault="000E567E" w:rsidP="000E567E">
            <w:pPr>
              <w:rPr>
                <w:lang w:val="en-GB"/>
              </w:rPr>
            </w:pPr>
          </w:p>
        </w:tc>
      </w:tr>
      <w:tr w:rsidR="000E567E" w14:paraId="017C1A06" w14:textId="77777777" w:rsidTr="00EF5406">
        <w:tc>
          <w:tcPr>
            <w:tcW w:w="4586" w:type="dxa"/>
            <w:gridSpan w:val="2"/>
          </w:tcPr>
          <w:p w14:paraId="6A3826F8" w14:textId="34882F73" w:rsidR="000E567E" w:rsidRPr="00A5360E" w:rsidRDefault="00401670" w:rsidP="000E567E">
            <w:pPr>
              <w:rPr>
                <w:b/>
                <w:bCs/>
              </w:rPr>
            </w:pPr>
            <w:r w:rsidRPr="00A5360E">
              <w:rPr>
                <w:b/>
                <w:bCs/>
              </w:rPr>
              <w:t xml:space="preserve">Gap and </w:t>
            </w:r>
            <w:r w:rsidR="008832BF" w:rsidRPr="00A5360E">
              <w:rPr>
                <w:b/>
                <w:bCs/>
              </w:rPr>
              <w:t>c</w:t>
            </w:r>
            <w:r w:rsidR="000E567E" w:rsidRPr="00A5360E">
              <w:rPr>
                <w:b/>
                <w:bCs/>
              </w:rPr>
              <w:t>hange</w:t>
            </w:r>
            <w:r w:rsidRPr="00A5360E">
              <w:rPr>
                <w:b/>
                <w:bCs/>
              </w:rPr>
              <w:t>s required</w:t>
            </w:r>
          </w:p>
          <w:p w14:paraId="073BE4D2" w14:textId="4562F77F" w:rsidR="000E567E" w:rsidRPr="00A5360E" w:rsidRDefault="009F192E" w:rsidP="000E567E">
            <w:pPr>
              <w:spacing w:line="240" w:lineRule="auto"/>
            </w:pPr>
            <w:r w:rsidRPr="00A5360E">
              <w:t>What</w:t>
            </w:r>
            <w:r w:rsidR="00401670" w:rsidRPr="00A5360E">
              <w:t>’s the gap and what</w:t>
            </w:r>
            <w:r w:rsidRPr="00A5360E">
              <w:t xml:space="preserve"> type of change is required</w:t>
            </w:r>
            <w:r w:rsidR="00401670" w:rsidRPr="00A5360E">
              <w:t xml:space="preserve"> to close it</w:t>
            </w:r>
            <w:r w:rsidRPr="00A5360E">
              <w:t>?</w:t>
            </w:r>
          </w:p>
          <w:p w14:paraId="1FC5EEE9" w14:textId="77777777" w:rsidR="000E567E" w:rsidRPr="00A5360E" w:rsidRDefault="000E567E" w:rsidP="000E567E">
            <w:pPr>
              <w:spacing w:line="240" w:lineRule="auto"/>
            </w:pPr>
            <w:r w:rsidRPr="00A5360E">
              <w:rPr>
                <w:i/>
                <w:iCs/>
              </w:rPr>
              <w:t>Introduce</w:t>
            </w:r>
            <w:r w:rsidRPr="00A5360E">
              <w:t xml:space="preserve"> – Develop a new process </w:t>
            </w:r>
          </w:p>
          <w:p w14:paraId="076B10FA" w14:textId="77777777" w:rsidR="000E567E" w:rsidRPr="00A5360E" w:rsidRDefault="000E567E" w:rsidP="000E567E">
            <w:pPr>
              <w:spacing w:line="240" w:lineRule="auto"/>
            </w:pPr>
            <w:r w:rsidRPr="00A5360E">
              <w:rPr>
                <w:i/>
                <w:iCs/>
              </w:rPr>
              <w:t>Adapt</w:t>
            </w:r>
            <w:r w:rsidRPr="00A5360E">
              <w:t xml:space="preserve"> – Modify an existing process </w:t>
            </w:r>
          </w:p>
          <w:p w14:paraId="3177005E" w14:textId="2321D3F4" w:rsidR="000E567E" w:rsidRPr="00A5360E" w:rsidRDefault="00710352" w:rsidP="000E567E">
            <w:pPr>
              <w:spacing w:line="240" w:lineRule="auto"/>
            </w:pPr>
            <w:r w:rsidRPr="00A5360E">
              <w:t xml:space="preserve">What’s the </w:t>
            </w:r>
            <w:r w:rsidR="000E567E" w:rsidRPr="00A5360E">
              <w:t xml:space="preserve">scale of </w:t>
            </w:r>
            <w:r w:rsidRPr="00A5360E">
              <w:t xml:space="preserve">the </w:t>
            </w:r>
            <w:r w:rsidR="000E567E" w:rsidRPr="00A5360E">
              <w:t>change</w:t>
            </w:r>
            <w:r w:rsidRPr="00A5360E">
              <w:t>?</w:t>
            </w:r>
          </w:p>
          <w:p w14:paraId="3D55DCCE" w14:textId="1D46E649" w:rsidR="000E567E" w:rsidRPr="00A5360E" w:rsidRDefault="000E567E" w:rsidP="000E567E">
            <w:pPr>
              <w:spacing w:line="240" w:lineRule="auto"/>
            </w:pPr>
            <w:r w:rsidRPr="00A5360E">
              <w:rPr>
                <w:i/>
                <w:iCs/>
              </w:rPr>
              <w:t>Major change</w:t>
            </w:r>
            <w:r w:rsidRPr="00A5360E">
              <w:t xml:space="preserve"> – Requires </w:t>
            </w:r>
            <w:r w:rsidR="00710352" w:rsidRPr="00A5360E">
              <w:t xml:space="preserve">new, or </w:t>
            </w:r>
            <w:r w:rsidRPr="00A5360E">
              <w:t>changes to</w:t>
            </w:r>
            <w:r w:rsidR="00710352" w:rsidRPr="00A5360E">
              <w:t xml:space="preserve">, </w:t>
            </w:r>
            <w:r w:rsidRPr="00A5360E">
              <w:t xml:space="preserve">policy and practice </w:t>
            </w:r>
          </w:p>
          <w:p w14:paraId="73D2C21A" w14:textId="7B78F01D" w:rsidR="000E567E" w:rsidRPr="00A5360E" w:rsidRDefault="000E567E" w:rsidP="000E567E">
            <w:pPr>
              <w:rPr>
                <w:lang w:val="en-GB"/>
              </w:rPr>
            </w:pPr>
            <w:r w:rsidRPr="00A5360E">
              <w:rPr>
                <w:i/>
                <w:iCs/>
              </w:rPr>
              <w:t>Minor change</w:t>
            </w:r>
            <w:r w:rsidRPr="00A5360E">
              <w:t xml:space="preserve"> – Involves smaller updates, such as document revisions</w:t>
            </w:r>
            <w:r w:rsidR="00F62897" w:rsidRPr="00A5360E">
              <w:t xml:space="preserve"> </w:t>
            </w:r>
          </w:p>
        </w:tc>
        <w:tc>
          <w:tcPr>
            <w:tcW w:w="4592" w:type="dxa"/>
            <w:gridSpan w:val="2"/>
          </w:tcPr>
          <w:p w14:paraId="14DA697C" w14:textId="0BB468B6" w:rsidR="00401670" w:rsidRPr="00A5360E" w:rsidRDefault="00401670" w:rsidP="00172B9D">
            <w:pPr>
              <w:rPr>
                <w:b/>
                <w:bCs/>
                <w:lang w:val="en-GB"/>
              </w:rPr>
            </w:pPr>
            <w:r w:rsidRPr="00A5360E">
              <w:rPr>
                <w:b/>
                <w:bCs/>
                <w:lang w:val="en-GB"/>
              </w:rPr>
              <w:t>What’s the gap?</w:t>
            </w:r>
          </w:p>
          <w:p w14:paraId="40B8CEA0" w14:textId="0DFBEDB1" w:rsidR="00172B9D" w:rsidRPr="00A5360E" w:rsidRDefault="00172B9D" w:rsidP="00172B9D">
            <w:pPr>
              <w:rPr>
                <w:lang w:val="en-GB"/>
              </w:rPr>
            </w:pPr>
            <w:r w:rsidRPr="00A5360E">
              <w:rPr>
                <w:lang w:val="en-GB"/>
              </w:rPr>
              <w:t xml:space="preserve">Type of change: </w:t>
            </w:r>
          </w:p>
          <w:p w14:paraId="300F58BE" w14:textId="77777777" w:rsidR="000E567E" w:rsidRPr="00A5360E" w:rsidRDefault="00172B9D" w:rsidP="00172B9D">
            <w:pPr>
              <w:rPr>
                <w:lang w:val="en-GB"/>
              </w:rPr>
            </w:pPr>
            <w:r w:rsidRPr="00A5360E">
              <w:rPr>
                <w:lang w:val="en-GB"/>
              </w:rPr>
              <w:t>Scale of change:</w:t>
            </w:r>
          </w:p>
          <w:p w14:paraId="1F119B36" w14:textId="47291448" w:rsidR="00172B9D" w:rsidRDefault="00172B9D" w:rsidP="00172B9D">
            <w:pPr>
              <w:rPr>
                <w:lang w:val="en-GB"/>
              </w:rPr>
            </w:pPr>
          </w:p>
        </w:tc>
      </w:tr>
      <w:tr w:rsidR="000E567E" w14:paraId="0B8BF893" w14:textId="77777777" w:rsidTr="00EF5406">
        <w:tc>
          <w:tcPr>
            <w:tcW w:w="4586" w:type="dxa"/>
            <w:gridSpan w:val="2"/>
          </w:tcPr>
          <w:p w14:paraId="28D4DF83" w14:textId="77777777" w:rsidR="000E567E" w:rsidRPr="00A5360E" w:rsidRDefault="000E567E" w:rsidP="000E567E">
            <w:pPr>
              <w:rPr>
                <w:b/>
                <w:bCs/>
              </w:rPr>
            </w:pPr>
            <w:r w:rsidRPr="00A5360E">
              <w:rPr>
                <w:b/>
                <w:bCs/>
              </w:rPr>
              <w:t>Is the change high priority?</w:t>
            </w:r>
          </w:p>
          <w:p w14:paraId="10FEFC86" w14:textId="236D9112" w:rsidR="000E567E" w:rsidRPr="00A5360E" w:rsidRDefault="000E567E" w:rsidP="000E567E">
            <w:pPr>
              <w:rPr>
                <w:sz w:val="20"/>
                <w:szCs w:val="20"/>
                <w:lang w:val="en-GB"/>
              </w:rPr>
            </w:pPr>
            <w:r w:rsidRPr="00A5360E">
              <w:t>High</w:t>
            </w:r>
            <w:r w:rsidR="008832BF" w:rsidRPr="00A5360E">
              <w:t>-</w:t>
            </w:r>
            <w:r w:rsidRPr="00A5360E">
              <w:t>priority changes should be addressed in the first tranche of implementation changes</w:t>
            </w:r>
            <w:r w:rsidR="00D93A1A" w:rsidRPr="00A5360E">
              <w:t>. A high</w:t>
            </w:r>
            <w:r w:rsidR="00E15BCE" w:rsidRPr="00A5360E">
              <w:t>-</w:t>
            </w:r>
            <w:r w:rsidR="00D93A1A" w:rsidRPr="00A5360E">
              <w:t>priority change may be</w:t>
            </w:r>
            <w:r w:rsidRPr="00A5360E">
              <w:t xml:space="preserve"> </w:t>
            </w:r>
            <w:r w:rsidR="00710352" w:rsidRPr="00A5360E">
              <w:t xml:space="preserve">a major change, </w:t>
            </w:r>
            <w:r w:rsidRPr="00A5360E">
              <w:t>requir</w:t>
            </w:r>
            <w:r w:rsidR="00710352" w:rsidRPr="00A5360E">
              <w:t xml:space="preserve">ing </w:t>
            </w:r>
            <w:r w:rsidRPr="00A5360E">
              <w:t>substantial time and resources to address</w:t>
            </w:r>
            <w:r w:rsidR="00D93A1A" w:rsidRPr="00A5360E">
              <w:t>,</w:t>
            </w:r>
            <w:r w:rsidRPr="00A5360E">
              <w:t xml:space="preserve"> and/or pos</w:t>
            </w:r>
            <w:r w:rsidR="00EF5406" w:rsidRPr="00A5360E">
              <w:t>ing</w:t>
            </w:r>
            <w:r w:rsidRPr="00A5360E">
              <w:t xml:space="preserve"> a significant risk to consumer </w:t>
            </w:r>
            <w:r w:rsidR="00710352" w:rsidRPr="00A5360E">
              <w:t>and/</w:t>
            </w:r>
            <w:r w:rsidRPr="00A5360E">
              <w:t>or staff safety and wellbeing</w:t>
            </w:r>
            <w:r w:rsidR="00A5360E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592" w:type="dxa"/>
            <w:gridSpan w:val="2"/>
          </w:tcPr>
          <w:p w14:paraId="4F3DA912" w14:textId="77777777" w:rsidR="000E567E" w:rsidRDefault="000E567E" w:rsidP="000E567E">
            <w:pPr>
              <w:rPr>
                <w:lang w:val="en-GB"/>
              </w:rPr>
            </w:pPr>
          </w:p>
        </w:tc>
      </w:tr>
      <w:tr w:rsidR="000E567E" w14:paraId="2A74BED3" w14:textId="77777777" w:rsidTr="00EF5406">
        <w:tc>
          <w:tcPr>
            <w:tcW w:w="2835" w:type="dxa"/>
            <w:shd w:val="clear" w:color="auto" w:fill="D8F4F8" w:themeFill="background2"/>
          </w:tcPr>
          <w:p w14:paraId="13CBDB7F" w14:textId="5A979154" w:rsidR="000E567E" w:rsidRPr="000E567E" w:rsidRDefault="000E567E" w:rsidP="0020207F">
            <w:pPr>
              <w:rPr>
                <w:lang w:val="en-US"/>
              </w:rPr>
            </w:pPr>
            <w:r w:rsidRPr="000E567E">
              <w:rPr>
                <w:b/>
                <w:lang w:val="en-US"/>
              </w:rPr>
              <w:t>Actions to close gap/reduce risk</w:t>
            </w:r>
          </w:p>
        </w:tc>
        <w:tc>
          <w:tcPr>
            <w:tcW w:w="1751" w:type="dxa"/>
            <w:shd w:val="clear" w:color="auto" w:fill="D8F4F8" w:themeFill="background2"/>
          </w:tcPr>
          <w:p w14:paraId="0EB0648A" w14:textId="70278159" w:rsidR="000E567E" w:rsidRDefault="000E567E" w:rsidP="0020207F">
            <w:pPr>
              <w:rPr>
                <w:lang w:val="en-GB"/>
              </w:rPr>
            </w:pPr>
            <w:r w:rsidRPr="000E567E">
              <w:rPr>
                <w:b/>
                <w:lang w:val="en-US"/>
              </w:rPr>
              <w:t>Lead(s) and committees/working groups</w:t>
            </w:r>
          </w:p>
        </w:tc>
        <w:tc>
          <w:tcPr>
            <w:tcW w:w="1452" w:type="dxa"/>
            <w:shd w:val="clear" w:color="auto" w:fill="D8F4F8" w:themeFill="background2"/>
          </w:tcPr>
          <w:p w14:paraId="200DCDF6" w14:textId="03F15297" w:rsidR="000E567E" w:rsidRDefault="000E567E" w:rsidP="0020207F">
            <w:pPr>
              <w:rPr>
                <w:lang w:val="en-GB"/>
              </w:rPr>
            </w:pPr>
            <w:r w:rsidRPr="000E567E">
              <w:rPr>
                <w:b/>
                <w:lang w:val="en-US"/>
              </w:rPr>
              <w:t>Timeframes</w:t>
            </w:r>
          </w:p>
        </w:tc>
        <w:tc>
          <w:tcPr>
            <w:tcW w:w="3140" w:type="dxa"/>
            <w:shd w:val="clear" w:color="auto" w:fill="D8F4F8" w:themeFill="background2"/>
          </w:tcPr>
          <w:p w14:paraId="5CEF7E28" w14:textId="77777777" w:rsidR="000E567E" w:rsidRPr="000E567E" w:rsidRDefault="000E567E" w:rsidP="0020207F">
            <w:pPr>
              <w:rPr>
                <w:b/>
                <w:bCs/>
                <w:lang w:val="en-US"/>
              </w:rPr>
            </w:pPr>
            <w:r w:rsidRPr="000E567E">
              <w:rPr>
                <w:b/>
                <w:bCs/>
                <w:lang w:val="en-US"/>
              </w:rPr>
              <w:t>Progress</w:t>
            </w:r>
          </w:p>
          <w:p w14:paraId="6AC7B7EB" w14:textId="77777777" w:rsidR="000E567E" w:rsidRPr="00186216" w:rsidRDefault="000E567E" w:rsidP="0020207F">
            <w:pPr>
              <w:rPr>
                <w:lang w:val="en-US"/>
              </w:rPr>
            </w:pPr>
            <w:r w:rsidRPr="00186216">
              <w:rPr>
                <w:lang w:val="en-US"/>
              </w:rPr>
              <w:t>Green: on time</w:t>
            </w:r>
          </w:p>
          <w:p w14:paraId="0AE7A816" w14:textId="0ABB8B66" w:rsidR="000E567E" w:rsidRPr="00186216" w:rsidRDefault="000E567E" w:rsidP="0020207F">
            <w:pPr>
              <w:rPr>
                <w:lang w:val="en-US"/>
              </w:rPr>
            </w:pPr>
            <w:r w:rsidRPr="00186216">
              <w:rPr>
                <w:lang w:val="en-US"/>
              </w:rPr>
              <w:t xml:space="preserve">Amber: </w:t>
            </w:r>
            <w:r w:rsidR="00904237" w:rsidRPr="00186216">
              <w:rPr>
                <w:lang w:val="en-US"/>
              </w:rPr>
              <w:t>&lt; 1</w:t>
            </w:r>
            <w:r w:rsidRPr="00186216">
              <w:rPr>
                <w:lang w:val="en-US"/>
              </w:rPr>
              <w:t xml:space="preserve"> month behind schedule</w:t>
            </w:r>
          </w:p>
          <w:p w14:paraId="4CA32950" w14:textId="6AB1A5B3" w:rsidR="000E567E" w:rsidRDefault="000E567E" w:rsidP="0020207F">
            <w:pPr>
              <w:rPr>
                <w:lang w:val="en-GB"/>
              </w:rPr>
            </w:pPr>
            <w:r w:rsidRPr="00186216">
              <w:rPr>
                <w:lang w:val="en-US"/>
              </w:rPr>
              <w:t>Red:</w:t>
            </w:r>
            <w:r w:rsidRPr="00186216">
              <w:rPr>
                <w:b/>
                <w:bCs/>
                <w:lang w:val="en-US"/>
              </w:rPr>
              <w:t xml:space="preserve"> </w:t>
            </w:r>
            <w:r w:rsidR="00904237" w:rsidRPr="00186216">
              <w:rPr>
                <w:lang w:val="en-US"/>
              </w:rPr>
              <w:t>&gt; 1</w:t>
            </w:r>
            <w:r w:rsidRPr="00186216">
              <w:rPr>
                <w:lang w:val="en-US"/>
              </w:rPr>
              <w:t xml:space="preserve"> month behind schedule</w:t>
            </w:r>
          </w:p>
        </w:tc>
      </w:tr>
      <w:tr w:rsidR="000E567E" w14:paraId="4B01BF36" w14:textId="77777777" w:rsidTr="00EF5406">
        <w:tc>
          <w:tcPr>
            <w:tcW w:w="2835" w:type="dxa"/>
          </w:tcPr>
          <w:p w14:paraId="5BC9798B" w14:textId="3795070F" w:rsidR="000E567E" w:rsidRDefault="007E301B" w:rsidP="000E567E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1751" w:type="dxa"/>
          </w:tcPr>
          <w:p w14:paraId="5B48C1FB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1452" w:type="dxa"/>
          </w:tcPr>
          <w:p w14:paraId="11469706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3140" w:type="dxa"/>
          </w:tcPr>
          <w:p w14:paraId="5C1C76AD" w14:textId="77777777" w:rsidR="000E567E" w:rsidRDefault="000E567E" w:rsidP="000E567E">
            <w:pPr>
              <w:rPr>
                <w:lang w:val="en-GB"/>
              </w:rPr>
            </w:pPr>
          </w:p>
        </w:tc>
      </w:tr>
      <w:tr w:rsidR="000E567E" w14:paraId="231162B8" w14:textId="77777777" w:rsidTr="00EF5406">
        <w:tc>
          <w:tcPr>
            <w:tcW w:w="2835" w:type="dxa"/>
          </w:tcPr>
          <w:p w14:paraId="7DC862F5" w14:textId="109FBABF" w:rsidR="000E567E" w:rsidRDefault="007E301B" w:rsidP="000E567E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751" w:type="dxa"/>
          </w:tcPr>
          <w:p w14:paraId="0B8950E9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1452" w:type="dxa"/>
          </w:tcPr>
          <w:p w14:paraId="2DF1B085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3140" w:type="dxa"/>
          </w:tcPr>
          <w:p w14:paraId="2C0DA8CC" w14:textId="77777777" w:rsidR="000E567E" w:rsidRDefault="000E567E" w:rsidP="000E567E">
            <w:pPr>
              <w:rPr>
                <w:lang w:val="en-GB"/>
              </w:rPr>
            </w:pPr>
          </w:p>
        </w:tc>
      </w:tr>
      <w:tr w:rsidR="000E567E" w14:paraId="0A3DEE41" w14:textId="77777777" w:rsidTr="00EF5406">
        <w:tc>
          <w:tcPr>
            <w:tcW w:w="2835" w:type="dxa"/>
          </w:tcPr>
          <w:p w14:paraId="6D04E0B1" w14:textId="5DE0A3E2" w:rsidR="000E567E" w:rsidRDefault="007E301B" w:rsidP="000E567E">
            <w:pPr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1751" w:type="dxa"/>
          </w:tcPr>
          <w:p w14:paraId="6F2CDAD0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1452" w:type="dxa"/>
          </w:tcPr>
          <w:p w14:paraId="26D348C9" w14:textId="77777777" w:rsidR="000E567E" w:rsidRDefault="000E567E" w:rsidP="000E567E">
            <w:pPr>
              <w:rPr>
                <w:lang w:val="en-GB"/>
              </w:rPr>
            </w:pPr>
          </w:p>
        </w:tc>
        <w:tc>
          <w:tcPr>
            <w:tcW w:w="3140" w:type="dxa"/>
          </w:tcPr>
          <w:p w14:paraId="129C1E2A" w14:textId="77777777" w:rsidR="000E567E" w:rsidRDefault="000E567E" w:rsidP="000E567E">
            <w:pPr>
              <w:rPr>
                <w:lang w:val="en-GB"/>
              </w:rPr>
            </w:pPr>
          </w:p>
        </w:tc>
      </w:tr>
    </w:tbl>
    <w:p w14:paraId="677AFD68" w14:textId="6D137CBF" w:rsidR="00E66533" w:rsidRDefault="00E66533" w:rsidP="00E66533">
      <w:pPr>
        <w:pStyle w:val="Heading2"/>
      </w:pPr>
      <w:r>
        <w:lastRenderedPageBreak/>
        <w:t>Example</w:t>
      </w:r>
      <w:r w:rsidR="007E301B">
        <w:t xml:space="preserve"> </w:t>
      </w:r>
      <w:r>
        <w:t>implementation plan</w:t>
      </w:r>
    </w:p>
    <w:p w14:paraId="44CBFBCA" w14:textId="6BE6E8EC" w:rsidR="00172B9D" w:rsidRDefault="008832BF">
      <w:pPr>
        <w:rPr>
          <w:lang w:val="en-US"/>
        </w:rPr>
      </w:pPr>
      <w:r w:rsidRPr="00A5360E">
        <w:rPr>
          <w:lang w:val="en-US"/>
        </w:rPr>
        <w:t xml:space="preserve">Below is an </w:t>
      </w:r>
      <w:r w:rsidR="00EF5406" w:rsidRPr="00A5360E">
        <w:rPr>
          <w:lang w:val="en-US"/>
        </w:rPr>
        <w:t xml:space="preserve">example of a populated plan </w:t>
      </w:r>
      <w:r w:rsidR="00A93662" w:rsidRPr="00A5360E">
        <w:rPr>
          <w:lang w:val="en-US"/>
        </w:rPr>
        <w:t xml:space="preserve">for </w:t>
      </w:r>
      <w:r w:rsidRPr="00A5360E">
        <w:rPr>
          <w:lang w:val="en-US"/>
        </w:rPr>
        <w:t>a</w:t>
      </w:r>
      <w:r w:rsidR="00A93662" w:rsidRPr="00A5360E">
        <w:rPr>
          <w:lang w:val="en-US"/>
        </w:rPr>
        <w:t xml:space="preserve"> </w:t>
      </w:r>
      <w:r w:rsidR="00186216">
        <w:rPr>
          <w:lang w:val="en-US"/>
        </w:rPr>
        <w:t xml:space="preserve">gap in </w:t>
      </w:r>
      <w:r w:rsidR="00A93662" w:rsidRPr="00A5360E">
        <w:rPr>
          <w:lang w:val="en-US"/>
        </w:rPr>
        <w:t xml:space="preserve">best practice to illustrate how the structure could be used. </w:t>
      </w:r>
    </w:p>
    <w:p w14:paraId="4FE238F1" w14:textId="77777777" w:rsidR="00186216" w:rsidRDefault="00186216">
      <w:pPr>
        <w:rPr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81"/>
        <w:gridCol w:w="1452"/>
        <w:gridCol w:w="2210"/>
      </w:tblGrid>
      <w:tr w:rsidR="007E301B" w14:paraId="5891BB1A" w14:textId="77777777" w:rsidTr="001A1C93">
        <w:tc>
          <w:tcPr>
            <w:tcW w:w="9178" w:type="dxa"/>
            <w:gridSpan w:val="4"/>
            <w:shd w:val="clear" w:color="auto" w:fill="D8F4F8" w:themeFill="background2"/>
          </w:tcPr>
          <w:p w14:paraId="0F0BF3B9" w14:textId="6302030A" w:rsidR="007E301B" w:rsidRPr="00C437BE" w:rsidRDefault="007E301B" w:rsidP="007D44A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FOUNDATION:</w:t>
            </w:r>
            <w:r w:rsidRPr="0075293D">
              <w:rPr>
                <w:b/>
                <w:bCs/>
                <w:color w:val="004C6E"/>
                <w:lang w:val="en-US"/>
              </w:rPr>
              <w:t xml:space="preserve"> </w:t>
            </w:r>
            <w:r w:rsidRPr="00186216">
              <w:rPr>
                <w:b/>
                <w:bCs/>
                <w:lang w:val="en-US"/>
              </w:rPr>
              <w:t xml:space="preserve">Leading systems and </w:t>
            </w:r>
            <w:proofErr w:type="spellStart"/>
            <w:r w:rsidRPr="00186216">
              <w:rPr>
                <w:b/>
                <w:bCs/>
                <w:lang w:val="en-US"/>
              </w:rPr>
              <w:t>organisational</w:t>
            </w:r>
            <w:proofErr w:type="spellEnd"/>
            <w:r w:rsidRPr="00186216">
              <w:rPr>
                <w:b/>
                <w:bCs/>
                <w:lang w:val="en-US"/>
              </w:rPr>
              <w:t xml:space="preserve"> culture</w:t>
            </w:r>
          </w:p>
        </w:tc>
      </w:tr>
      <w:tr w:rsidR="00172B9D" w14:paraId="467DA281" w14:textId="77777777" w:rsidTr="00401670">
        <w:tc>
          <w:tcPr>
            <w:tcW w:w="5516" w:type="dxa"/>
            <w:gridSpan w:val="2"/>
          </w:tcPr>
          <w:p w14:paraId="3311173B" w14:textId="6010562F" w:rsidR="00172B9D" w:rsidRPr="00A5360E" w:rsidRDefault="00172B9D" w:rsidP="007D44A1">
            <w:pPr>
              <w:rPr>
                <w:b/>
                <w:bCs/>
              </w:rPr>
            </w:pPr>
            <w:r w:rsidRPr="00A5360E">
              <w:rPr>
                <w:b/>
                <w:bCs/>
              </w:rPr>
              <w:t>G</w:t>
            </w:r>
            <w:r w:rsidR="00591D99" w:rsidRPr="00A5360E">
              <w:rPr>
                <w:b/>
                <w:bCs/>
              </w:rPr>
              <w:t>ood practice example</w:t>
            </w:r>
          </w:p>
          <w:p w14:paraId="31B507B4" w14:textId="68EA39BD" w:rsidR="00172B9D" w:rsidRPr="00A5360E" w:rsidRDefault="00EF5406" w:rsidP="007D44A1">
            <w:pPr>
              <w:rPr>
                <w:lang w:val="en-GB"/>
              </w:rPr>
            </w:pPr>
            <w:r w:rsidRPr="00A5360E">
              <w:t xml:space="preserve">Specify the good practice example </w:t>
            </w:r>
            <w:r w:rsidR="00401670" w:rsidRPr="00A5360E">
              <w:t xml:space="preserve">(from the model) where there is an identified practice gap in your organisation </w:t>
            </w:r>
          </w:p>
        </w:tc>
        <w:tc>
          <w:tcPr>
            <w:tcW w:w="3662" w:type="dxa"/>
            <w:gridSpan w:val="2"/>
          </w:tcPr>
          <w:p w14:paraId="5A43F51A" w14:textId="39308FA1" w:rsidR="00401670" w:rsidRPr="00A5360E" w:rsidRDefault="00172B9D" w:rsidP="007D44A1">
            <w:pPr>
              <w:rPr>
                <w:b/>
                <w:bCs/>
                <w:lang w:val="en-US"/>
              </w:rPr>
            </w:pPr>
            <w:r w:rsidRPr="00A5360E">
              <w:rPr>
                <w:b/>
                <w:bCs/>
                <w:lang w:val="en-US"/>
              </w:rPr>
              <w:t xml:space="preserve">Good practice example 4 </w:t>
            </w:r>
          </w:p>
          <w:p w14:paraId="08F552FE" w14:textId="1254CCDD" w:rsidR="00172B9D" w:rsidRPr="00A5360E" w:rsidRDefault="00172B9D" w:rsidP="007D44A1">
            <w:pPr>
              <w:rPr>
                <w:lang w:val="en-US"/>
              </w:rPr>
            </w:pPr>
            <w:r w:rsidRPr="00A5360E">
              <w:t>The board, executive and committees establish the systems and organisational culture to achieve consistently high-quality care and provide adequate resources for collaboration and accountability.</w:t>
            </w:r>
          </w:p>
        </w:tc>
      </w:tr>
      <w:tr w:rsidR="00172B9D" w14:paraId="1CF71B52" w14:textId="77777777" w:rsidTr="00401670">
        <w:tc>
          <w:tcPr>
            <w:tcW w:w="5516" w:type="dxa"/>
            <w:gridSpan w:val="2"/>
          </w:tcPr>
          <w:p w14:paraId="7AF08385" w14:textId="03DF7051" w:rsidR="00401670" w:rsidRPr="00A5360E" w:rsidRDefault="00401670" w:rsidP="00401670">
            <w:pPr>
              <w:rPr>
                <w:b/>
                <w:bCs/>
              </w:rPr>
            </w:pPr>
            <w:r w:rsidRPr="00A5360E">
              <w:rPr>
                <w:b/>
                <w:bCs/>
              </w:rPr>
              <w:t xml:space="preserve">Gap and </w:t>
            </w:r>
            <w:r w:rsidR="008832BF" w:rsidRPr="00A5360E">
              <w:rPr>
                <w:b/>
                <w:bCs/>
              </w:rPr>
              <w:t>c</w:t>
            </w:r>
            <w:r w:rsidRPr="00A5360E">
              <w:rPr>
                <w:b/>
                <w:bCs/>
              </w:rPr>
              <w:t>hanges required</w:t>
            </w:r>
          </w:p>
          <w:p w14:paraId="77F28837" w14:textId="148287D2" w:rsidR="00401670" w:rsidRPr="00A5360E" w:rsidRDefault="00401670" w:rsidP="00401670">
            <w:pPr>
              <w:spacing w:line="240" w:lineRule="auto"/>
            </w:pPr>
            <w:r w:rsidRPr="00A5360E">
              <w:t>What’s the gap and what type of change is required to close it?</w:t>
            </w:r>
          </w:p>
          <w:p w14:paraId="5B161F97" w14:textId="77777777" w:rsidR="00EF5406" w:rsidRPr="00A5360E" w:rsidRDefault="00EF5406" w:rsidP="00EF5406">
            <w:pPr>
              <w:spacing w:line="240" w:lineRule="auto"/>
            </w:pPr>
            <w:r w:rsidRPr="00A5360E">
              <w:rPr>
                <w:i/>
                <w:iCs/>
              </w:rPr>
              <w:t>Introduce</w:t>
            </w:r>
            <w:r w:rsidRPr="00A5360E">
              <w:t xml:space="preserve"> – Develop a new process </w:t>
            </w:r>
          </w:p>
          <w:p w14:paraId="7AC6CA21" w14:textId="77777777" w:rsidR="00EF5406" w:rsidRPr="00A5360E" w:rsidRDefault="00EF5406" w:rsidP="00EF5406">
            <w:pPr>
              <w:spacing w:line="240" w:lineRule="auto"/>
            </w:pPr>
            <w:r w:rsidRPr="00A5360E">
              <w:rPr>
                <w:i/>
                <w:iCs/>
              </w:rPr>
              <w:t>Adapt</w:t>
            </w:r>
            <w:r w:rsidRPr="00A5360E">
              <w:t xml:space="preserve"> – Modify an existing process </w:t>
            </w:r>
          </w:p>
          <w:p w14:paraId="374551DE" w14:textId="0E32605E" w:rsidR="00EF5406" w:rsidRPr="00A5360E" w:rsidRDefault="00EF5406" w:rsidP="00EF5406">
            <w:pPr>
              <w:spacing w:line="240" w:lineRule="auto"/>
            </w:pPr>
            <w:r w:rsidRPr="00A5360E">
              <w:t>What’s the scale of the change?</w:t>
            </w:r>
          </w:p>
          <w:p w14:paraId="7962917B" w14:textId="77777777" w:rsidR="00EF5406" w:rsidRPr="00A5360E" w:rsidRDefault="00EF5406" w:rsidP="00EF5406">
            <w:pPr>
              <w:spacing w:line="240" w:lineRule="auto"/>
            </w:pPr>
            <w:r w:rsidRPr="00A5360E">
              <w:rPr>
                <w:i/>
                <w:iCs/>
              </w:rPr>
              <w:t>Major change</w:t>
            </w:r>
            <w:r w:rsidRPr="00A5360E">
              <w:t xml:space="preserve"> – Requires new, or changes to, policy and practice </w:t>
            </w:r>
          </w:p>
          <w:p w14:paraId="38F409BA" w14:textId="627116B9" w:rsidR="00172B9D" w:rsidRPr="00A5360E" w:rsidRDefault="00EF5406" w:rsidP="00EF5406">
            <w:pPr>
              <w:rPr>
                <w:lang w:val="en-GB"/>
              </w:rPr>
            </w:pPr>
            <w:r w:rsidRPr="00A5360E">
              <w:rPr>
                <w:i/>
                <w:iCs/>
              </w:rPr>
              <w:t>Minor change</w:t>
            </w:r>
            <w:r w:rsidRPr="00A5360E">
              <w:t xml:space="preserve"> – Involves smaller updates, such as document revisions </w:t>
            </w:r>
          </w:p>
        </w:tc>
        <w:tc>
          <w:tcPr>
            <w:tcW w:w="3662" w:type="dxa"/>
            <w:gridSpan w:val="2"/>
          </w:tcPr>
          <w:p w14:paraId="7C38A2B1" w14:textId="73A0376D" w:rsidR="00401670" w:rsidRPr="00A5360E" w:rsidRDefault="00401670" w:rsidP="00172B9D">
            <w:pPr>
              <w:rPr>
                <w:lang w:val="en-US"/>
              </w:rPr>
            </w:pPr>
            <w:r w:rsidRPr="00186216">
              <w:rPr>
                <w:b/>
                <w:bCs/>
                <w:lang w:val="en-US"/>
              </w:rPr>
              <w:t>What’s the gap?</w:t>
            </w:r>
            <w:r w:rsidRPr="00A5360E">
              <w:rPr>
                <w:lang w:val="en-US"/>
              </w:rPr>
              <w:t xml:space="preserve"> </w:t>
            </w:r>
            <w:r w:rsidR="008832BF" w:rsidRPr="00A5360E">
              <w:rPr>
                <w:lang w:val="en-US"/>
              </w:rPr>
              <w:br/>
            </w:r>
            <w:r w:rsidRPr="00A5360E">
              <w:rPr>
                <w:lang w:val="en-US"/>
              </w:rPr>
              <w:t xml:space="preserve">The board does not currently have a role in leading or monitoring </w:t>
            </w:r>
            <w:proofErr w:type="spellStart"/>
            <w:r w:rsidRPr="00A5360E">
              <w:rPr>
                <w:lang w:val="en-US"/>
              </w:rPr>
              <w:t>organisational</w:t>
            </w:r>
            <w:proofErr w:type="spellEnd"/>
            <w:r w:rsidRPr="00A5360E">
              <w:rPr>
                <w:lang w:val="en-US"/>
              </w:rPr>
              <w:t xml:space="preserve"> culture for high- quality care</w:t>
            </w:r>
            <w:r w:rsidR="00A5360E" w:rsidRPr="00A5360E">
              <w:rPr>
                <w:lang w:val="en-US"/>
              </w:rPr>
              <w:t>.</w:t>
            </w:r>
          </w:p>
          <w:p w14:paraId="37291310" w14:textId="16ACBF6E" w:rsidR="00172B9D" w:rsidRPr="00A5360E" w:rsidRDefault="00172B9D" w:rsidP="00172B9D">
            <w:pPr>
              <w:rPr>
                <w:lang w:val="en-US"/>
              </w:rPr>
            </w:pPr>
            <w:r w:rsidRPr="00A5360E">
              <w:rPr>
                <w:lang w:val="en-US"/>
              </w:rPr>
              <w:t xml:space="preserve">Type of change: Introduce </w:t>
            </w:r>
          </w:p>
          <w:p w14:paraId="08269902" w14:textId="3FA2223C" w:rsidR="00172B9D" w:rsidRPr="00A5360E" w:rsidRDefault="00172B9D" w:rsidP="00172B9D">
            <w:pPr>
              <w:rPr>
                <w:lang w:val="en-US"/>
              </w:rPr>
            </w:pPr>
            <w:r w:rsidRPr="00A5360E">
              <w:rPr>
                <w:lang w:val="en-US"/>
              </w:rPr>
              <w:t>Scale of change: Major</w:t>
            </w:r>
          </w:p>
          <w:p w14:paraId="0525FA11" w14:textId="5958FD7A" w:rsidR="00172B9D" w:rsidRPr="00A5360E" w:rsidRDefault="00172B9D" w:rsidP="00172B9D">
            <w:pPr>
              <w:rPr>
                <w:lang w:val="en-GB"/>
              </w:rPr>
            </w:pPr>
          </w:p>
        </w:tc>
      </w:tr>
      <w:tr w:rsidR="00172B9D" w14:paraId="35906FB7" w14:textId="77777777" w:rsidTr="00401670">
        <w:tc>
          <w:tcPr>
            <w:tcW w:w="5516" w:type="dxa"/>
            <w:gridSpan w:val="2"/>
          </w:tcPr>
          <w:p w14:paraId="4EDFD4A8" w14:textId="77777777" w:rsidR="00172B9D" w:rsidRPr="008034F8" w:rsidRDefault="00172B9D" w:rsidP="007D44A1">
            <w:pPr>
              <w:rPr>
                <w:b/>
                <w:bCs/>
                <w:color w:val="auto"/>
              </w:rPr>
            </w:pPr>
            <w:r w:rsidRPr="008034F8">
              <w:rPr>
                <w:b/>
                <w:bCs/>
                <w:color w:val="auto"/>
              </w:rPr>
              <w:t>Is the change high priority?</w:t>
            </w:r>
          </w:p>
          <w:p w14:paraId="7BEE0FE3" w14:textId="258C4619" w:rsidR="00172B9D" w:rsidRPr="008034F8" w:rsidRDefault="00EF5406" w:rsidP="00C83355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</w:rPr>
              <w:t>High</w:t>
            </w:r>
            <w:r w:rsidR="00186216" w:rsidRPr="008034F8">
              <w:rPr>
                <w:color w:val="auto"/>
              </w:rPr>
              <w:t>-</w:t>
            </w:r>
            <w:r w:rsidRPr="008034F8">
              <w:rPr>
                <w:color w:val="auto"/>
              </w:rPr>
              <w:t>priority changes should be</w:t>
            </w:r>
            <w:r w:rsidRPr="008034F8">
              <w:rPr>
                <w:b/>
                <w:bCs/>
                <w:color w:val="auto"/>
              </w:rPr>
              <w:t xml:space="preserve"> </w:t>
            </w:r>
            <w:r w:rsidRPr="008034F8">
              <w:rPr>
                <w:bCs/>
                <w:color w:val="auto"/>
                <w:lang w:val="en-US"/>
              </w:rPr>
              <w:t>addressed in the first tranche of implementation changes. A high</w:t>
            </w:r>
            <w:r w:rsidR="008832BF" w:rsidRPr="008034F8">
              <w:rPr>
                <w:bCs/>
                <w:color w:val="auto"/>
                <w:lang w:val="en-US"/>
              </w:rPr>
              <w:t>-</w:t>
            </w:r>
            <w:r w:rsidRPr="008034F8">
              <w:rPr>
                <w:bCs/>
                <w:color w:val="auto"/>
                <w:lang w:val="en-US"/>
              </w:rPr>
              <w:t>priority change may be a major change, requiring substantial time and resources to address, and/or posing a significant risk to consumer and/or staff safety and wellbeing</w:t>
            </w:r>
            <w:r w:rsidR="00A5360E" w:rsidRPr="008034F8">
              <w:rPr>
                <w:bCs/>
                <w:color w:val="auto"/>
                <w:lang w:val="en-US"/>
              </w:rPr>
              <w:t>.</w:t>
            </w:r>
          </w:p>
        </w:tc>
        <w:tc>
          <w:tcPr>
            <w:tcW w:w="3662" w:type="dxa"/>
            <w:gridSpan w:val="2"/>
          </w:tcPr>
          <w:p w14:paraId="169C033B" w14:textId="77777777" w:rsidR="00172B9D" w:rsidRPr="008034F8" w:rsidRDefault="00E66533" w:rsidP="007D44A1">
            <w:pPr>
              <w:rPr>
                <w:b/>
                <w:bCs/>
                <w:color w:val="auto"/>
                <w:lang w:val="en-US"/>
              </w:rPr>
            </w:pPr>
            <w:r w:rsidRPr="008034F8">
              <w:rPr>
                <w:b/>
                <w:bCs/>
                <w:color w:val="auto"/>
                <w:lang w:val="en-US"/>
              </w:rPr>
              <w:t xml:space="preserve">High: </w:t>
            </w:r>
            <w:r w:rsidR="00401670" w:rsidRPr="008034F8">
              <w:rPr>
                <w:b/>
                <w:bCs/>
                <w:color w:val="auto"/>
                <w:lang w:val="en-US"/>
              </w:rPr>
              <w:t>M</w:t>
            </w:r>
            <w:r w:rsidR="00EF5406" w:rsidRPr="008034F8">
              <w:rPr>
                <w:b/>
                <w:bCs/>
                <w:color w:val="auto"/>
                <w:lang w:val="en-US"/>
              </w:rPr>
              <w:t>ajor change</w:t>
            </w:r>
          </w:p>
          <w:p w14:paraId="76E47604" w14:textId="308D6FAD" w:rsidR="00E75455" w:rsidRPr="008034F8" w:rsidRDefault="008F2AE2" w:rsidP="007D44A1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  <w:lang w:val="en-GB"/>
              </w:rPr>
              <w:t xml:space="preserve">This is a significant </w:t>
            </w:r>
            <w:r w:rsidR="00F71A80" w:rsidRPr="008034F8">
              <w:rPr>
                <w:color w:val="auto"/>
                <w:lang w:val="en-GB"/>
              </w:rPr>
              <w:t xml:space="preserve">governance </w:t>
            </w:r>
            <w:r w:rsidRPr="008034F8">
              <w:rPr>
                <w:color w:val="auto"/>
                <w:lang w:val="en-GB"/>
              </w:rPr>
              <w:t>gap</w:t>
            </w:r>
            <w:r w:rsidR="008034F8">
              <w:rPr>
                <w:color w:val="auto"/>
                <w:lang w:val="en-GB"/>
              </w:rPr>
              <w:t xml:space="preserve"> </w:t>
            </w:r>
            <w:r w:rsidR="00F71A80" w:rsidRPr="008034F8">
              <w:rPr>
                <w:color w:val="auto"/>
                <w:lang w:val="en-GB"/>
              </w:rPr>
              <w:t xml:space="preserve">and will </w:t>
            </w:r>
            <w:r w:rsidR="002F0152" w:rsidRPr="008034F8">
              <w:rPr>
                <w:color w:val="auto"/>
                <w:lang w:val="en-GB"/>
              </w:rPr>
              <w:t>tak</w:t>
            </w:r>
            <w:r w:rsidR="00F71A80" w:rsidRPr="008034F8">
              <w:rPr>
                <w:color w:val="auto"/>
                <w:lang w:val="en-GB"/>
              </w:rPr>
              <w:t>e</w:t>
            </w:r>
            <w:r w:rsidR="002F0152" w:rsidRPr="008034F8">
              <w:rPr>
                <w:color w:val="auto"/>
                <w:lang w:val="en-GB"/>
              </w:rPr>
              <w:t xml:space="preserve"> </w:t>
            </w:r>
            <w:r w:rsidRPr="008034F8">
              <w:rPr>
                <w:color w:val="auto"/>
                <w:lang w:val="en-GB"/>
              </w:rPr>
              <w:t>a</w:t>
            </w:r>
            <w:r w:rsidR="008034F8">
              <w:rPr>
                <w:color w:val="auto"/>
                <w:lang w:val="en-GB"/>
              </w:rPr>
              <w:t>bout</w:t>
            </w:r>
            <w:r w:rsidRPr="008034F8">
              <w:rPr>
                <w:color w:val="auto"/>
                <w:lang w:val="en-GB"/>
              </w:rPr>
              <w:t xml:space="preserve"> 12 months to fully fill</w:t>
            </w:r>
            <w:r w:rsidR="00F71A80" w:rsidRPr="008034F8">
              <w:rPr>
                <w:color w:val="auto"/>
                <w:lang w:val="en-GB"/>
              </w:rPr>
              <w:t>:</w:t>
            </w:r>
            <w:r w:rsidRPr="008034F8">
              <w:rPr>
                <w:color w:val="auto"/>
                <w:lang w:val="en-GB"/>
              </w:rPr>
              <w:t xml:space="preserve"> </w:t>
            </w:r>
            <w:r w:rsidR="00F71A80" w:rsidRPr="008034F8">
              <w:rPr>
                <w:color w:val="auto"/>
                <w:lang w:val="en-GB"/>
              </w:rPr>
              <w:t>to</w:t>
            </w:r>
            <w:r w:rsidR="002F0152" w:rsidRPr="008034F8">
              <w:rPr>
                <w:color w:val="auto"/>
                <w:lang w:val="en-GB"/>
              </w:rPr>
              <w:t xml:space="preserve"> be </w:t>
            </w:r>
            <w:r w:rsidRPr="008034F8">
              <w:rPr>
                <w:color w:val="auto"/>
                <w:lang w:val="en-GB"/>
              </w:rPr>
              <w:t xml:space="preserve">addressed </w:t>
            </w:r>
            <w:r w:rsidR="00E75455" w:rsidRPr="008034F8">
              <w:rPr>
                <w:color w:val="auto"/>
                <w:lang w:val="en-GB"/>
              </w:rPr>
              <w:t>in the first tranche of changes</w:t>
            </w:r>
            <w:r w:rsidR="002F0152" w:rsidRPr="008034F8">
              <w:rPr>
                <w:color w:val="auto"/>
                <w:lang w:val="en-GB"/>
              </w:rPr>
              <w:t>.</w:t>
            </w:r>
          </w:p>
        </w:tc>
      </w:tr>
      <w:tr w:rsidR="00172B9D" w14:paraId="1EFD02E4" w14:textId="77777777" w:rsidTr="00401670">
        <w:tc>
          <w:tcPr>
            <w:tcW w:w="2835" w:type="dxa"/>
            <w:shd w:val="clear" w:color="auto" w:fill="D8F4F8" w:themeFill="background2"/>
          </w:tcPr>
          <w:p w14:paraId="011A877E" w14:textId="77777777" w:rsidR="00172B9D" w:rsidRPr="000E567E" w:rsidRDefault="00172B9D" w:rsidP="007D44A1">
            <w:pPr>
              <w:rPr>
                <w:lang w:val="en-US"/>
              </w:rPr>
            </w:pPr>
            <w:r w:rsidRPr="000E567E">
              <w:rPr>
                <w:b/>
                <w:lang w:val="en-US"/>
              </w:rPr>
              <w:t>Actions to close gap/reduce risk</w:t>
            </w:r>
          </w:p>
        </w:tc>
        <w:tc>
          <w:tcPr>
            <w:tcW w:w="2681" w:type="dxa"/>
            <w:shd w:val="clear" w:color="auto" w:fill="D8F4F8" w:themeFill="background2"/>
          </w:tcPr>
          <w:p w14:paraId="71CC8F3D" w14:textId="3C3FFC7C" w:rsidR="00172B9D" w:rsidRDefault="00172B9D" w:rsidP="007D44A1">
            <w:pPr>
              <w:rPr>
                <w:lang w:val="en-GB"/>
              </w:rPr>
            </w:pPr>
            <w:r w:rsidRPr="000E567E">
              <w:rPr>
                <w:b/>
                <w:lang w:val="en-US"/>
              </w:rPr>
              <w:t>Lead(s) and committees</w:t>
            </w:r>
            <w:r w:rsidR="00E10F82">
              <w:rPr>
                <w:b/>
                <w:lang w:val="en-US"/>
              </w:rPr>
              <w:t xml:space="preserve"> </w:t>
            </w:r>
            <w:r w:rsidRPr="000E567E">
              <w:rPr>
                <w:b/>
                <w:lang w:val="en-US"/>
              </w:rPr>
              <w:t>/</w:t>
            </w:r>
            <w:r w:rsidR="00E10F82">
              <w:rPr>
                <w:b/>
                <w:lang w:val="en-US"/>
              </w:rPr>
              <w:t xml:space="preserve"> </w:t>
            </w:r>
            <w:r w:rsidRPr="000E567E">
              <w:rPr>
                <w:b/>
                <w:lang w:val="en-US"/>
              </w:rPr>
              <w:t>working groups</w:t>
            </w:r>
          </w:p>
        </w:tc>
        <w:tc>
          <w:tcPr>
            <w:tcW w:w="1452" w:type="dxa"/>
            <w:shd w:val="clear" w:color="auto" w:fill="D8F4F8" w:themeFill="background2"/>
          </w:tcPr>
          <w:p w14:paraId="4FA00648" w14:textId="77777777" w:rsidR="00172B9D" w:rsidRDefault="00172B9D" w:rsidP="007D44A1">
            <w:pPr>
              <w:rPr>
                <w:lang w:val="en-GB"/>
              </w:rPr>
            </w:pPr>
            <w:r w:rsidRPr="000E567E">
              <w:rPr>
                <w:b/>
                <w:lang w:val="en-US"/>
              </w:rPr>
              <w:t>Timeframes</w:t>
            </w:r>
          </w:p>
        </w:tc>
        <w:tc>
          <w:tcPr>
            <w:tcW w:w="2210" w:type="dxa"/>
            <w:shd w:val="clear" w:color="auto" w:fill="D8F4F8" w:themeFill="background2"/>
          </w:tcPr>
          <w:p w14:paraId="491DC568" w14:textId="77777777" w:rsidR="00172B9D" w:rsidRPr="000E567E" w:rsidRDefault="00172B9D" w:rsidP="007D44A1">
            <w:pPr>
              <w:rPr>
                <w:b/>
                <w:bCs/>
                <w:lang w:val="en-US"/>
              </w:rPr>
            </w:pPr>
            <w:r w:rsidRPr="000E567E">
              <w:rPr>
                <w:b/>
                <w:bCs/>
                <w:lang w:val="en-US"/>
              </w:rPr>
              <w:t>Progress</w:t>
            </w:r>
          </w:p>
          <w:p w14:paraId="162B0B0A" w14:textId="77777777" w:rsidR="00172B9D" w:rsidRPr="00186216" w:rsidRDefault="00172B9D" w:rsidP="007D44A1">
            <w:pPr>
              <w:rPr>
                <w:lang w:val="en-US"/>
              </w:rPr>
            </w:pPr>
            <w:r w:rsidRPr="00186216">
              <w:rPr>
                <w:lang w:val="en-US"/>
              </w:rPr>
              <w:t>Green: on time</w:t>
            </w:r>
          </w:p>
          <w:p w14:paraId="0C533376" w14:textId="77777777" w:rsidR="00172B9D" w:rsidRPr="00186216" w:rsidRDefault="00172B9D" w:rsidP="007D44A1">
            <w:pPr>
              <w:rPr>
                <w:lang w:val="en-US"/>
              </w:rPr>
            </w:pPr>
            <w:r w:rsidRPr="00186216">
              <w:rPr>
                <w:lang w:val="en-US"/>
              </w:rPr>
              <w:t>Amber: up to a month behind schedule</w:t>
            </w:r>
          </w:p>
          <w:p w14:paraId="6EE9EB83" w14:textId="77777777" w:rsidR="00172B9D" w:rsidRDefault="00172B9D" w:rsidP="007D44A1">
            <w:pPr>
              <w:rPr>
                <w:lang w:val="en-GB"/>
              </w:rPr>
            </w:pPr>
            <w:r w:rsidRPr="00186216">
              <w:rPr>
                <w:lang w:val="en-US"/>
              </w:rPr>
              <w:t>Red:</w:t>
            </w:r>
            <w:r w:rsidRPr="00186216">
              <w:rPr>
                <w:b/>
                <w:bCs/>
                <w:lang w:val="en-US"/>
              </w:rPr>
              <w:t xml:space="preserve"> </w:t>
            </w:r>
            <w:r w:rsidRPr="00186216">
              <w:rPr>
                <w:lang w:val="en-US"/>
              </w:rPr>
              <w:t>more than a month behind schedule</w:t>
            </w:r>
          </w:p>
        </w:tc>
      </w:tr>
      <w:tr w:rsidR="00172B9D" w14:paraId="60F4EDB0" w14:textId="77777777" w:rsidTr="00401670">
        <w:tc>
          <w:tcPr>
            <w:tcW w:w="2835" w:type="dxa"/>
          </w:tcPr>
          <w:p w14:paraId="6B64B9DF" w14:textId="63016897" w:rsidR="00172B9D" w:rsidRPr="00A5360E" w:rsidRDefault="00EE1465" w:rsidP="007D44A1">
            <w:pPr>
              <w:rPr>
                <w:lang w:val="en-GB"/>
              </w:rPr>
            </w:pPr>
            <w:r w:rsidRPr="00A5360E">
              <w:rPr>
                <w:lang w:val="en-US"/>
              </w:rPr>
              <w:t>1.</w:t>
            </w:r>
            <w:r w:rsidR="00186216">
              <w:rPr>
                <w:lang w:val="en-US"/>
              </w:rPr>
              <w:t xml:space="preserve"> </w:t>
            </w:r>
            <w:r w:rsidR="00E66533" w:rsidRPr="00A5360E">
              <w:rPr>
                <w:lang w:val="en-US"/>
              </w:rPr>
              <w:t xml:space="preserve">Set up an education and discussion session on the </w:t>
            </w:r>
            <w:proofErr w:type="spellStart"/>
            <w:r w:rsidR="00E66533" w:rsidRPr="00A5360E">
              <w:rPr>
                <w:lang w:val="en-US"/>
              </w:rPr>
              <w:t>organisation’s</w:t>
            </w:r>
            <w:proofErr w:type="spellEnd"/>
            <w:r w:rsidR="00E66533" w:rsidRPr="00A5360E">
              <w:rPr>
                <w:lang w:val="en-US"/>
              </w:rPr>
              <w:t xml:space="preserve"> quality </w:t>
            </w:r>
            <w:r w:rsidR="00E66533" w:rsidRPr="00A5360E">
              <w:rPr>
                <w:lang w:val="en-US"/>
              </w:rPr>
              <w:lastRenderedPageBreak/>
              <w:t xml:space="preserve">culture to determine the </w:t>
            </w:r>
            <w:proofErr w:type="gramStart"/>
            <w:r w:rsidR="00E66533" w:rsidRPr="00A5360E">
              <w:rPr>
                <w:lang w:val="en-US"/>
              </w:rPr>
              <w:t>board</w:t>
            </w:r>
            <w:proofErr w:type="gramEnd"/>
            <w:r w:rsidR="00E66533" w:rsidRPr="00A5360E">
              <w:rPr>
                <w:lang w:val="en-US"/>
              </w:rPr>
              <w:t xml:space="preserve"> governance role, link culture development with the strategic plan and describe the culture of quality we want to</w:t>
            </w:r>
            <w:r w:rsidR="00186216">
              <w:rPr>
                <w:lang w:val="en-US"/>
              </w:rPr>
              <w:t xml:space="preserve"> achieve.</w:t>
            </w:r>
          </w:p>
        </w:tc>
        <w:tc>
          <w:tcPr>
            <w:tcW w:w="2681" w:type="dxa"/>
          </w:tcPr>
          <w:p w14:paraId="3A10E36B" w14:textId="5609F042" w:rsidR="00E66533" w:rsidRPr="00A5360E" w:rsidRDefault="00E66533" w:rsidP="00E66533">
            <w:pPr>
              <w:rPr>
                <w:lang w:val="en-US"/>
              </w:rPr>
            </w:pPr>
            <w:r w:rsidRPr="00A5360E">
              <w:rPr>
                <w:lang w:val="en-US"/>
              </w:rPr>
              <w:lastRenderedPageBreak/>
              <w:t xml:space="preserve">People and Culture Executive </w:t>
            </w:r>
          </w:p>
          <w:p w14:paraId="13DD7970" w14:textId="77777777" w:rsidR="00172B9D" w:rsidRDefault="00E66533" w:rsidP="00E66533">
            <w:pPr>
              <w:rPr>
                <w:lang w:val="en-US"/>
              </w:rPr>
            </w:pPr>
            <w:r w:rsidRPr="00A5360E">
              <w:rPr>
                <w:lang w:val="en-US"/>
              </w:rPr>
              <w:lastRenderedPageBreak/>
              <w:t>Board Quality and People Committee</w:t>
            </w:r>
          </w:p>
          <w:p w14:paraId="123B8013" w14:textId="7ADA7794" w:rsidR="00F31225" w:rsidRPr="00A5360E" w:rsidRDefault="00F31225" w:rsidP="00E66533">
            <w:pPr>
              <w:rPr>
                <w:lang w:val="en-GB"/>
              </w:rPr>
            </w:pPr>
            <w:r>
              <w:rPr>
                <w:lang w:val="en-US"/>
              </w:rPr>
              <w:t>Full board</w:t>
            </w:r>
          </w:p>
        </w:tc>
        <w:tc>
          <w:tcPr>
            <w:tcW w:w="1452" w:type="dxa"/>
          </w:tcPr>
          <w:p w14:paraId="24349F75" w14:textId="4E518F0F" w:rsidR="00E66533" w:rsidRPr="008F2AE2" w:rsidRDefault="00E66533" w:rsidP="00E66533">
            <w:pPr>
              <w:rPr>
                <w:rFonts w:cs="Cordia New"/>
                <w:color w:val="EE0000"/>
              </w:rPr>
            </w:pPr>
            <w:r w:rsidRPr="00A5360E">
              <w:rPr>
                <w:rFonts w:cs="Cordia New"/>
              </w:rPr>
              <w:lastRenderedPageBreak/>
              <w:t xml:space="preserve">FY Quarter </w:t>
            </w:r>
            <w:r w:rsidRPr="008034F8">
              <w:rPr>
                <w:rFonts w:cs="Cordia New"/>
                <w:color w:val="auto"/>
              </w:rPr>
              <w:t>1</w:t>
            </w:r>
            <w:r w:rsidR="008F2AE2" w:rsidRPr="008034F8">
              <w:rPr>
                <w:rFonts w:cs="Cordia New"/>
                <w:color w:val="auto"/>
              </w:rPr>
              <w:t xml:space="preserve">: August </w:t>
            </w:r>
            <w:r w:rsidR="00F31225">
              <w:rPr>
                <w:rFonts w:cs="Cordia New"/>
                <w:color w:val="auto"/>
              </w:rPr>
              <w:lastRenderedPageBreak/>
              <w:t xml:space="preserve">board </w:t>
            </w:r>
            <w:r w:rsidR="008F2AE2" w:rsidRPr="008034F8">
              <w:rPr>
                <w:rFonts w:cs="Cordia New"/>
                <w:color w:val="auto"/>
              </w:rPr>
              <w:t>meeting</w:t>
            </w:r>
          </w:p>
          <w:p w14:paraId="0FAD0723" w14:textId="77777777" w:rsidR="00172B9D" w:rsidRPr="00A5360E" w:rsidRDefault="00172B9D" w:rsidP="007D44A1">
            <w:pPr>
              <w:rPr>
                <w:lang w:val="en-GB"/>
              </w:rPr>
            </w:pPr>
          </w:p>
        </w:tc>
        <w:tc>
          <w:tcPr>
            <w:tcW w:w="2210" w:type="dxa"/>
          </w:tcPr>
          <w:p w14:paraId="06855D7E" w14:textId="0D0C51E6" w:rsidR="00172B9D" w:rsidRPr="00A5360E" w:rsidRDefault="00EF5406" w:rsidP="007D44A1">
            <w:pPr>
              <w:rPr>
                <w:lang w:val="en-GB"/>
              </w:rPr>
            </w:pPr>
            <w:r w:rsidRPr="00A5360E">
              <w:rPr>
                <w:lang w:val="en-GB"/>
              </w:rPr>
              <w:lastRenderedPageBreak/>
              <w:t>Green</w:t>
            </w:r>
          </w:p>
          <w:p w14:paraId="1C1839EB" w14:textId="77777777" w:rsidR="00E66533" w:rsidRPr="00A5360E" w:rsidRDefault="00E66533" w:rsidP="00E66533">
            <w:pPr>
              <w:rPr>
                <w:lang w:val="en-GB"/>
              </w:rPr>
            </w:pPr>
          </w:p>
          <w:p w14:paraId="7BF77FF6" w14:textId="77777777" w:rsidR="00E66533" w:rsidRPr="00A5360E" w:rsidRDefault="00E66533" w:rsidP="00E66533">
            <w:pPr>
              <w:jc w:val="center"/>
              <w:rPr>
                <w:lang w:val="en-GB"/>
              </w:rPr>
            </w:pPr>
          </w:p>
        </w:tc>
      </w:tr>
      <w:tr w:rsidR="00172B9D" w14:paraId="43CBAF1D" w14:textId="77777777" w:rsidTr="00401670">
        <w:tc>
          <w:tcPr>
            <w:tcW w:w="2835" w:type="dxa"/>
          </w:tcPr>
          <w:p w14:paraId="2F4F5361" w14:textId="48164FCF" w:rsidR="00172B9D" w:rsidRPr="00A5360E" w:rsidRDefault="00EE1465" w:rsidP="007D44A1">
            <w:pPr>
              <w:rPr>
                <w:lang w:val="en-GB"/>
              </w:rPr>
            </w:pPr>
            <w:r w:rsidRPr="00A5360E">
              <w:rPr>
                <w:lang w:val="en-US"/>
              </w:rPr>
              <w:lastRenderedPageBreak/>
              <w:t>2.</w:t>
            </w:r>
            <w:r w:rsidR="00186216">
              <w:rPr>
                <w:lang w:val="en-US"/>
              </w:rPr>
              <w:t xml:space="preserve"> </w:t>
            </w:r>
            <w:r w:rsidR="00E66533" w:rsidRPr="00A5360E">
              <w:rPr>
                <w:lang w:val="en-US"/>
              </w:rPr>
              <w:t>Adapt the current operational plan for quality culture development to integrate the board role and aspirations</w:t>
            </w:r>
            <w:r w:rsidR="00186216">
              <w:rPr>
                <w:lang w:val="en-US"/>
              </w:rPr>
              <w:t>.</w:t>
            </w:r>
          </w:p>
        </w:tc>
        <w:tc>
          <w:tcPr>
            <w:tcW w:w="2681" w:type="dxa"/>
          </w:tcPr>
          <w:p w14:paraId="0F2DCFBE" w14:textId="5652EAD1" w:rsidR="00E66533" w:rsidRPr="00A5360E" w:rsidRDefault="00E66533" w:rsidP="00E66533">
            <w:pPr>
              <w:rPr>
                <w:lang w:val="en-US"/>
              </w:rPr>
            </w:pPr>
            <w:r w:rsidRPr="00A5360E">
              <w:rPr>
                <w:lang w:val="en-US"/>
              </w:rPr>
              <w:t xml:space="preserve">People and Culture Executive </w:t>
            </w:r>
          </w:p>
          <w:p w14:paraId="113E6CEF" w14:textId="6A115039" w:rsidR="00172B9D" w:rsidRPr="00A5360E" w:rsidRDefault="00401670" w:rsidP="00E66533">
            <w:pPr>
              <w:rPr>
                <w:lang w:val="en-GB"/>
              </w:rPr>
            </w:pPr>
            <w:r w:rsidRPr="00A5360E">
              <w:rPr>
                <w:lang w:val="en-US"/>
              </w:rPr>
              <w:t>Clinical Governance Director</w:t>
            </w:r>
          </w:p>
        </w:tc>
        <w:tc>
          <w:tcPr>
            <w:tcW w:w="1452" w:type="dxa"/>
          </w:tcPr>
          <w:p w14:paraId="71CE0247" w14:textId="77777777" w:rsidR="00E66533" w:rsidRPr="00A5360E" w:rsidRDefault="00E66533" w:rsidP="00E66533">
            <w:pPr>
              <w:rPr>
                <w:rFonts w:cs="Cordia New"/>
              </w:rPr>
            </w:pPr>
            <w:r w:rsidRPr="00A5360E">
              <w:rPr>
                <w:rFonts w:cs="Cordia New"/>
              </w:rPr>
              <w:t>FY Quarter 1</w:t>
            </w:r>
          </w:p>
          <w:p w14:paraId="22E5C53F" w14:textId="77777777" w:rsidR="00172B9D" w:rsidRPr="00A5360E" w:rsidRDefault="00172B9D" w:rsidP="007D44A1">
            <w:pPr>
              <w:rPr>
                <w:lang w:val="en-GB"/>
              </w:rPr>
            </w:pPr>
          </w:p>
        </w:tc>
        <w:tc>
          <w:tcPr>
            <w:tcW w:w="2210" w:type="dxa"/>
          </w:tcPr>
          <w:p w14:paraId="63CCD31B" w14:textId="6F755475" w:rsidR="00172B9D" w:rsidRPr="00A5360E" w:rsidRDefault="00EF5406" w:rsidP="007D44A1">
            <w:pPr>
              <w:rPr>
                <w:lang w:val="en-GB"/>
              </w:rPr>
            </w:pPr>
            <w:r w:rsidRPr="00A5360E">
              <w:rPr>
                <w:lang w:val="en-GB"/>
              </w:rPr>
              <w:t>Amber</w:t>
            </w:r>
          </w:p>
        </w:tc>
      </w:tr>
      <w:tr w:rsidR="00172B9D" w14:paraId="60F1B589" w14:textId="77777777" w:rsidTr="00401670">
        <w:tc>
          <w:tcPr>
            <w:tcW w:w="2835" w:type="dxa"/>
          </w:tcPr>
          <w:p w14:paraId="7809D27C" w14:textId="43194651" w:rsidR="00172B9D" w:rsidRPr="008034F8" w:rsidRDefault="00591D99" w:rsidP="007D44A1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  <w:lang w:val="en-US"/>
              </w:rPr>
              <w:t>3.</w:t>
            </w:r>
            <w:r w:rsidR="00186216" w:rsidRPr="008034F8">
              <w:rPr>
                <w:color w:val="auto"/>
                <w:lang w:val="en-US"/>
              </w:rPr>
              <w:t xml:space="preserve"> </w:t>
            </w:r>
            <w:r w:rsidR="00EF5406" w:rsidRPr="008034F8">
              <w:rPr>
                <w:color w:val="auto"/>
                <w:lang w:val="en-US"/>
              </w:rPr>
              <w:t xml:space="preserve">Integrate culture reporting into the Quality and People Committee agenda and </w:t>
            </w:r>
            <w:r w:rsidR="008F2AE2" w:rsidRPr="008034F8">
              <w:rPr>
                <w:color w:val="auto"/>
                <w:lang w:val="en-US"/>
              </w:rPr>
              <w:t xml:space="preserve">create a board report from the </w:t>
            </w:r>
            <w:r w:rsidR="00EF5406" w:rsidRPr="008034F8">
              <w:rPr>
                <w:color w:val="auto"/>
                <w:lang w:val="en-US"/>
              </w:rPr>
              <w:t xml:space="preserve">culture report </w:t>
            </w:r>
            <w:r w:rsidR="008F2AE2" w:rsidRPr="008034F8">
              <w:rPr>
                <w:color w:val="auto"/>
                <w:lang w:val="en-US"/>
              </w:rPr>
              <w:t xml:space="preserve">currently reported to the executive </w:t>
            </w:r>
          </w:p>
        </w:tc>
        <w:tc>
          <w:tcPr>
            <w:tcW w:w="2681" w:type="dxa"/>
          </w:tcPr>
          <w:p w14:paraId="2C4258AE" w14:textId="460741C5" w:rsidR="00E66533" w:rsidRPr="008034F8" w:rsidRDefault="00E66533" w:rsidP="00E66533">
            <w:pPr>
              <w:rPr>
                <w:color w:val="auto"/>
                <w:lang w:val="en-US"/>
              </w:rPr>
            </w:pPr>
            <w:r w:rsidRPr="008034F8">
              <w:rPr>
                <w:color w:val="auto"/>
                <w:lang w:val="en-US"/>
              </w:rPr>
              <w:t xml:space="preserve">People and Culture Executive </w:t>
            </w:r>
          </w:p>
          <w:p w14:paraId="2BDCCEEB" w14:textId="0850DA90" w:rsidR="00172B9D" w:rsidRPr="008034F8" w:rsidRDefault="00E66533" w:rsidP="00E66533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  <w:lang w:val="en-US"/>
              </w:rPr>
              <w:t>Board Quality and People Committee</w:t>
            </w:r>
          </w:p>
        </w:tc>
        <w:tc>
          <w:tcPr>
            <w:tcW w:w="1452" w:type="dxa"/>
          </w:tcPr>
          <w:p w14:paraId="50FAC830" w14:textId="555E34A1" w:rsidR="00172B9D" w:rsidRPr="00F31225" w:rsidRDefault="00E66533" w:rsidP="007D44A1">
            <w:pPr>
              <w:rPr>
                <w:rFonts w:cs="Cordia New"/>
                <w:color w:val="auto"/>
              </w:rPr>
            </w:pPr>
            <w:r w:rsidRPr="008034F8">
              <w:rPr>
                <w:rFonts w:cs="Cordia New"/>
                <w:color w:val="auto"/>
              </w:rPr>
              <w:t xml:space="preserve">FY Quarter 2, October </w:t>
            </w:r>
            <w:r w:rsidR="00F31225">
              <w:rPr>
                <w:rFonts w:cs="Cordia New"/>
                <w:color w:val="auto"/>
              </w:rPr>
              <w:t>committee</w:t>
            </w:r>
            <w:r w:rsidR="00F31225">
              <w:rPr>
                <w:rFonts w:cs="Cordia New"/>
                <w:color w:val="auto"/>
              </w:rPr>
              <w:br/>
            </w:r>
            <w:r w:rsidRPr="008034F8">
              <w:rPr>
                <w:rFonts w:cs="Cordia New"/>
                <w:color w:val="auto"/>
              </w:rPr>
              <w:t>meeting</w:t>
            </w:r>
          </w:p>
        </w:tc>
        <w:tc>
          <w:tcPr>
            <w:tcW w:w="2210" w:type="dxa"/>
          </w:tcPr>
          <w:p w14:paraId="3FDEC9D5" w14:textId="296A903C" w:rsidR="00172B9D" w:rsidRPr="008034F8" w:rsidRDefault="008F2AE2" w:rsidP="007D44A1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  <w:lang w:val="en-GB"/>
              </w:rPr>
              <w:t>Green</w:t>
            </w:r>
          </w:p>
        </w:tc>
      </w:tr>
      <w:tr w:rsidR="008F2AE2" w14:paraId="41E178CA" w14:textId="77777777" w:rsidTr="00401670">
        <w:tc>
          <w:tcPr>
            <w:tcW w:w="2835" w:type="dxa"/>
          </w:tcPr>
          <w:p w14:paraId="0CB1C201" w14:textId="7DF14113" w:rsidR="008F2AE2" w:rsidRPr="008034F8" w:rsidRDefault="008F2AE2" w:rsidP="007D44A1">
            <w:pPr>
              <w:rPr>
                <w:color w:val="auto"/>
                <w:lang w:val="en-US"/>
              </w:rPr>
            </w:pPr>
            <w:r w:rsidRPr="008034F8">
              <w:rPr>
                <w:color w:val="auto"/>
                <w:lang w:val="en-US"/>
              </w:rPr>
              <w:t xml:space="preserve">4. Evaluate progress with </w:t>
            </w:r>
            <w:r w:rsidR="002F0152" w:rsidRPr="008034F8">
              <w:rPr>
                <w:color w:val="auto"/>
                <w:lang w:val="en-US"/>
              </w:rPr>
              <w:t xml:space="preserve">board </w:t>
            </w:r>
            <w:r w:rsidRPr="008034F8">
              <w:rPr>
                <w:color w:val="auto"/>
                <w:lang w:val="en-US"/>
              </w:rPr>
              <w:t xml:space="preserve">quality culture oversight </w:t>
            </w:r>
          </w:p>
        </w:tc>
        <w:tc>
          <w:tcPr>
            <w:tcW w:w="2681" w:type="dxa"/>
          </w:tcPr>
          <w:p w14:paraId="32552EEC" w14:textId="77777777" w:rsidR="008F2AE2" w:rsidRPr="008034F8" w:rsidRDefault="008F2AE2" w:rsidP="008F2AE2">
            <w:pPr>
              <w:rPr>
                <w:color w:val="auto"/>
                <w:lang w:val="en-US"/>
              </w:rPr>
            </w:pPr>
            <w:r w:rsidRPr="008034F8">
              <w:rPr>
                <w:color w:val="auto"/>
                <w:lang w:val="en-US"/>
              </w:rPr>
              <w:t xml:space="preserve">People and Culture Executive </w:t>
            </w:r>
          </w:p>
          <w:p w14:paraId="1A6C48C1" w14:textId="2BCC9DE3" w:rsidR="008F2AE2" w:rsidRPr="008034F8" w:rsidRDefault="008F2AE2" w:rsidP="00E66533">
            <w:pPr>
              <w:rPr>
                <w:color w:val="auto"/>
                <w:lang w:val="en-US"/>
              </w:rPr>
            </w:pPr>
            <w:r w:rsidRPr="008034F8">
              <w:rPr>
                <w:color w:val="auto"/>
                <w:lang w:val="en-US"/>
              </w:rPr>
              <w:t xml:space="preserve">Full </w:t>
            </w:r>
            <w:r w:rsidR="00910F5A">
              <w:rPr>
                <w:color w:val="auto"/>
                <w:lang w:val="en-US"/>
              </w:rPr>
              <w:t>b</w:t>
            </w:r>
            <w:r w:rsidRPr="008034F8">
              <w:rPr>
                <w:color w:val="auto"/>
                <w:lang w:val="en-US"/>
              </w:rPr>
              <w:t>oard</w:t>
            </w:r>
          </w:p>
        </w:tc>
        <w:tc>
          <w:tcPr>
            <w:tcW w:w="1452" w:type="dxa"/>
          </w:tcPr>
          <w:p w14:paraId="472FC3EB" w14:textId="7CAC09D0" w:rsidR="008F2AE2" w:rsidRPr="008034F8" w:rsidRDefault="008F2AE2" w:rsidP="007D44A1">
            <w:pPr>
              <w:rPr>
                <w:rFonts w:cs="Cordia New"/>
                <w:color w:val="auto"/>
              </w:rPr>
            </w:pPr>
            <w:r w:rsidRPr="008034F8">
              <w:rPr>
                <w:rFonts w:cs="Cordia New"/>
                <w:color w:val="auto"/>
              </w:rPr>
              <w:t xml:space="preserve">FY Quarter 4, April </w:t>
            </w:r>
            <w:r w:rsidR="00F31225">
              <w:rPr>
                <w:rFonts w:cs="Cordia New"/>
                <w:color w:val="auto"/>
              </w:rPr>
              <w:t xml:space="preserve">board </w:t>
            </w:r>
            <w:r w:rsidRPr="008034F8">
              <w:rPr>
                <w:rFonts w:cs="Cordia New"/>
                <w:color w:val="auto"/>
              </w:rPr>
              <w:t>meeting</w:t>
            </w:r>
          </w:p>
        </w:tc>
        <w:tc>
          <w:tcPr>
            <w:tcW w:w="2210" w:type="dxa"/>
          </w:tcPr>
          <w:p w14:paraId="0E7BE3DE" w14:textId="0136CB98" w:rsidR="008F2AE2" w:rsidRPr="008034F8" w:rsidRDefault="008F2AE2" w:rsidP="007D44A1">
            <w:pPr>
              <w:rPr>
                <w:color w:val="auto"/>
                <w:lang w:val="en-GB"/>
              </w:rPr>
            </w:pPr>
            <w:r w:rsidRPr="008034F8">
              <w:rPr>
                <w:color w:val="auto"/>
                <w:lang w:val="en-GB"/>
              </w:rPr>
              <w:t xml:space="preserve">To </w:t>
            </w:r>
            <w:r w:rsidR="008034F8">
              <w:rPr>
                <w:color w:val="auto"/>
                <w:lang w:val="en-GB"/>
              </w:rPr>
              <w:t>start</w:t>
            </w:r>
            <w:r w:rsidRPr="008034F8">
              <w:rPr>
                <w:color w:val="auto"/>
                <w:lang w:val="en-GB"/>
              </w:rPr>
              <w:t xml:space="preserve"> in November</w:t>
            </w:r>
          </w:p>
        </w:tc>
      </w:tr>
    </w:tbl>
    <w:p w14:paraId="57B2BC52" w14:textId="26499165" w:rsidR="002C79C2" w:rsidRPr="00E77E13" w:rsidRDefault="000E567E" w:rsidP="00E77E13">
      <w:pPr>
        <w:rPr>
          <w:rFonts w:asciiTheme="majorHAnsi" w:hAnsiTheme="majorHAnsi"/>
          <w:bCs/>
          <w:sz w:val="30"/>
          <w:szCs w:val="44"/>
          <w:lang w:val="en-GB"/>
        </w:rPr>
      </w:pPr>
      <w:r>
        <w:br w:type="page"/>
      </w:r>
    </w:p>
    <w:p w14:paraId="3C6F1BBE" w14:textId="62A5E900" w:rsidR="00C126FD" w:rsidRPr="00C126FD" w:rsidRDefault="00B034ED" w:rsidP="00C126FD">
      <w:pPr>
        <w:pStyle w:val="Heading-form"/>
      </w:pPr>
      <w:r w:rsidRPr="002C79C2">
        <w:lastRenderedPageBreak/>
        <w:t xml:space="preserve">National model implementation: tracking and reporting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C126FD" w14:paraId="328B4459" w14:textId="77777777" w:rsidTr="00DA2A97">
        <w:tc>
          <w:tcPr>
            <w:tcW w:w="9168" w:type="dxa"/>
            <w:gridSpan w:val="2"/>
            <w:shd w:val="clear" w:color="auto" w:fill="D8F4F8" w:themeFill="background2"/>
          </w:tcPr>
          <w:p w14:paraId="4E050B31" w14:textId="5AFD4F8F" w:rsidR="00C126FD" w:rsidRPr="00C126FD" w:rsidRDefault="00C126FD" w:rsidP="00C126FD">
            <w:pPr>
              <w:pStyle w:val="ListParagraph"/>
              <w:numPr>
                <w:ilvl w:val="0"/>
                <w:numId w:val="42"/>
              </w:numPr>
              <w:rPr>
                <w:b/>
                <w:bCs/>
                <w:lang w:val="en-US"/>
              </w:rPr>
            </w:pPr>
            <w:r w:rsidRPr="00186216">
              <w:rPr>
                <w:b/>
                <w:bCs/>
              </w:rPr>
              <w:t xml:space="preserve">Implementation </w:t>
            </w:r>
            <w:r w:rsidR="0035479B" w:rsidRPr="00186216">
              <w:rPr>
                <w:b/>
                <w:bCs/>
              </w:rPr>
              <w:t>r</w:t>
            </w:r>
            <w:r w:rsidRPr="00186216">
              <w:rPr>
                <w:b/>
                <w:bCs/>
              </w:rPr>
              <w:t xml:space="preserve">oles and </w:t>
            </w:r>
            <w:r>
              <w:rPr>
                <w:b/>
                <w:bCs/>
              </w:rPr>
              <w:t>reporting</w:t>
            </w:r>
          </w:p>
        </w:tc>
      </w:tr>
      <w:tr w:rsidR="00C126FD" w14:paraId="3B77B422" w14:textId="77777777" w:rsidTr="00C126FD">
        <w:tc>
          <w:tcPr>
            <w:tcW w:w="4584" w:type="dxa"/>
          </w:tcPr>
          <w:p w14:paraId="23C9D33D" w14:textId="01F1C03A" w:rsidR="00C126FD" w:rsidRPr="00C126FD" w:rsidRDefault="00C126FD" w:rsidP="00C126FD">
            <w:pPr>
              <w:rPr>
                <w:lang w:val="en-US"/>
              </w:rPr>
            </w:pPr>
            <w:r w:rsidRPr="00C126FD">
              <w:rPr>
                <w:lang w:val="en-US"/>
              </w:rPr>
              <w:t>Who is responsible for tracking and reporting on implementation progress?</w:t>
            </w:r>
          </w:p>
        </w:tc>
        <w:tc>
          <w:tcPr>
            <w:tcW w:w="4584" w:type="dxa"/>
          </w:tcPr>
          <w:p w14:paraId="10B99AE3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1A7570F6" w14:textId="77777777" w:rsidTr="00C126FD">
        <w:tc>
          <w:tcPr>
            <w:tcW w:w="4584" w:type="dxa"/>
          </w:tcPr>
          <w:p w14:paraId="7A4642A2" w14:textId="0F73BE39" w:rsidR="00C126FD" w:rsidRPr="00C126FD" w:rsidRDefault="00C126FD" w:rsidP="00C126FD">
            <w:pPr>
              <w:rPr>
                <w:lang w:val="en-US"/>
              </w:rPr>
            </w:pPr>
            <w:r w:rsidRPr="00C126FD">
              <w:rPr>
                <w:lang w:val="en-US"/>
              </w:rPr>
              <w:t xml:space="preserve">What do key workforce groups and committees need to know about </w:t>
            </w:r>
            <w:proofErr w:type="gramStart"/>
            <w:r w:rsidRPr="00C126FD">
              <w:rPr>
                <w:lang w:val="en-US"/>
              </w:rPr>
              <w:t>implementation</w:t>
            </w:r>
            <w:proofErr w:type="gramEnd"/>
            <w:r w:rsidRPr="00C126FD">
              <w:rPr>
                <w:lang w:val="en-US"/>
              </w:rPr>
              <w:t xml:space="preserve"> progress and impact?</w:t>
            </w:r>
          </w:p>
        </w:tc>
        <w:tc>
          <w:tcPr>
            <w:tcW w:w="4584" w:type="dxa"/>
          </w:tcPr>
          <w:p w14:paraId="74772939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5F643FE1" w14:textId="77777777" w:rsidTr="00C126FD">
        <w:tc>
          <w:tcPr>
            <w:tcW w:w="4584" w:type="dxa"/>
          </w:tcPr>
          <w:p w14:paraId="267B4D95" w14:textId="08CBDF89" w:rsidR="00C126FD" w:rsidRPr="00C126FD" w:rsidRDefault="00C126FD" w:rsidP="00C126FD">
            <w:pPr>
              <w:rPr>
                <w:lang w:val="en-US"/>
              </w:rPr>
            </w:pPr>
            <w:r w:rsidRPr="00C126FD">
              <w:rPr>
                <w:lang w:val="en-US"/>
              </w:rPr>
              <w:t>How will the information be shared?</w:t>
            </w:r>
          </w:p>
        </w:tc>
        <w:tc>
          <w:tcPr>
            <w:tcW w:w="4584" w:type="dxa"/>
          </w:tcPr>
          <w:p w14:paraId="635C1A27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659DD2E6" w14:textId="77777777" w:rsidTr="00C126FD">
        <w:tc>
          <w:tcPr>
            <w:tcW w:w="4584" w:type="dxa"/>
          </w:tcPr>
          <w:p w14:paraId="2EADBCC3" w14:textId="1B48B214" w:rsidR="00C126FD" w:rsidRPr="00C126FD" w:rsidRDefault="00C126FD" w:rsidP="00C126FD">
            <w:pPr>
              <w:rPr>
                <w:lang w:val="en-US"/>
              </w:rPr>
            </w:pPr>
            <w:r w:rsidRPr="00C126FD">
              <w:rPr>
                <w:lang w:val="en-US"/>
              </w:rPr>
              <w:t>How will feedback on implementation be actioned?</w:t>
            </w:r>
          </w:p>
        </w:tc>
        <w:tc>
          <w:tcPr>
            <w:tcW w:w="4584" w:type="dxa"/>
          </w:tcPr>
          <w:p w14:paraId="5A2F5A08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7FCE0B11" w14:textId="77777777" w:rsidTr="00C126FD">
        <w:tc>
          <w:tcPr>
            <w:tcW w:w="9168" w:type="dxa"/>
            <w:gridSpan w:val="2"/>
            <w:shd w:val="clear" w:color="auto" w:fill="D8F4F8" w:themeFill="background2"/>
          </w:tcPr>
          <w:p w14:paraId="4FDA2BC5" w14:textId="4CC60DCD" w:rsidR="00C126FD" w:rsidRPr="00C126FD" w:rsidRDefault="00C126FD" w:rsidP="00C126FD">
            <w:pPr>
              <w:pStyle w:val="ListParagraph"/>
              <w:numPr>
                <w:ilvl w:val="0"/>
                <w:numId w:val="42"/>
              </w:numPr>
              <w:rPr>
                <w:b/>
                <w:bCs/>
                <w:lang w:val="en-US"/>
              </w:rPr>
            </w:pPr>
            <w:r w:rsidRPr="00C126FD">
              <w:rPr>
                <w:b/>
                <w:bCs/>
                <w:lang w:val="en-US"/>
              </w:rPr>
              <w:t xml:space="preserve">Example measures </w:t>
            </w:r>
            <w:r w:rsidR="0035479B">
              <w:rPr>
                <w:b/>
                <w:bCs/>
                <w:lang w:val="en-US"/>
              </w:rPr>
              <w:t xml:space="preserve">of progress and </w:t>
            </w:r>
            <w:r w:rsidR="0035479B" w:rsidRPr="00186216">
              <w:rPr>
                <w:b/>
                <w:bCs/>
                <w:lang w:val="en-US"/>
              </w:rPr>
              <w:t>impact (add your own as required)</w:t>
            </w:r>
          </w:p>
        </w:tc>
      </w:tr>
      <w:tr w:rsidR="00C126FD" w14:paraId="5C32FA67" w14:textId="77777777" w:rsidTr="00C126FD">
        <w:tc>
          <w:tcPr>
            <w:tcW w:w="9168" w:type="dxa"/>
            <w:gridSpan w:val="2"/>
            <w:shd w:val="clear" w:color="auto" w:fill="004C6E"/>
          </w:tcPr>
          <w:p w14:paraId="3C31C3D8" w14:textId="34986C90" w:rsidR="00C126FD" w:rsidRPr="00C126FD" w:rsidRDefault="00C126FD" w:rsidP="00C126FD">
            <w:pPr>
              <w:rPr>
                <w:color w:val="FFFFFF" w:themeColor="background1"/>
                <w:lang w:val="en-US"/>
              </w:rPr>
            </w:pPr>
            <w:r w:rsidRPr="00C126FD">
              <w:rPr>
                <w:b/>
                <w:bCs/>
                <w:color w:val="FFFFFF" w:themeColor="background1"/>
                <w:lang w:val="en-US"/>
              </w:rPr>
              <w:t>Implementation progress (</w:t>
            </w:r>
            <w:r w:rsidR="00186216">
              <w:rPr>
                <w:b/>
                <w:bCs/>
                <w:color w:val="FFFFFF" w:themeColor="background1"/>
                <w:lang w:val="en-US"/>
              </w:rPr>
              <w:t>a</w:t>
            </w:r>
            <w:r w:rsidRPr="00C126FD">
              <w:rPr>
                <w:b/>
                <w:bCs/>
                <w:color w:val="FFFFFF" w:themeColor="background1"/>
                <w:lang w:val="en-US"/>
              </w:rPr>
              <w:t>re we doing what we said we would do?)</w:t>
            </w:r>
          </w:p>
        </w:tc>
      </w:tr>
      <w:tr w:rsidR="00C126FD" w14:paraId="011045C6" w14:textId="77777777" w:rsidTr="00C126FD">
        <w:tc>
          <w:tcPr>
            <w:tcW w:w="4584" w:type="dxa"/>
          </w:tcPr>
          <w:p w14:paraId="1E8B7799" w14:textId="101FAE62" w:rsidR="00C126FD" w:rsidRDefault="00C126FD" w:rsidP="00C126FD">
            <w:pPr>
              <w:rPr>
                <w:lang w:val="en-US"/>
              </w:rPr>
            </w:pPr>
            <w:r w:rsidRPr="005F40FA">
              <w:rPr>
                <w:lang w:val="en-US"/>
              </w:rPr>
              <w:t xml:space="preserve">% of implementation key actions started/completed on time. </w:t>
            </w:r>
          </w:p>
        </w:tc>
        <w:tc>
          <w:tcPr>
            <w:tcW w:w="4584" w:type="dxa"/>
          </w:tcPr>
          <w:p w14:paraId="6777FC20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59011D56" w14:textId="77777777" w:rsidTr="00C126FD">
        <w:tc>
          <w:tcPr>
            <w:tcW w:w="4584" w:type="dxa"/>
          </w:tcPr>
          <w:p w14:paraId="685170DA" w14:textId="2A71A8AA" w:rsidR="00C126FD" w:rsidRDefault="00C126FD" w:rsidP="00C126FD">
            <w:pPr>
              <w:rPr>
                <w:lang w:val="en-US"/>
              </w:rPr>
            </w:pPr>
            <w:r w:rsidRPr="005F40FA">
              <w:rPr>
                <w:lang w:val="en-US"/>
              </w:rPr>
              <w:t>Frequency and timeliness of clinical governance implementation reports to executive and governing body committees.</w:t>
            </w:r>
          </w:p>
        </w:tc>
        <w:tc>
          <w:tcPr>
            <w:tcW w:w="4584" w:type="dxa"/>
          </w:tcPr>
          <w:p w14:paraId="176356AE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38FEE5C0" w14:textId="77777777" w:rsidTr="00C126FD">
        <w:tc>
          <w:tcPr>
            <w:tcW w:w="4584" w:type="dxa"/>
          </w:tcPr>
          <w:p w14:paraId="1ACF5B10" w14:textId="53345A7B" w:rsidR="00C126FD" w:rsidRDefault="00C126FD" w:rsidP="00C126FD">
            <w:pPr>
              <w:rPr>
                <w:lang w:val="en-US"/>
              </w:rPr>
            </w:pPr>
            <w:r w:rsidRPr="005F40FA">
              <w:rPr>
                <w:lang w:val="en-US"/>
              </w:rPr>
              <w:t>% risks and barriers to progress escalated through reporting, with remediation actions enacted</w:t>
            </w:r>
            <w:r w:rsidR="00EA3E1D" w:rsidRPr="00EA3E1D">
              <w:rPr>
                <w:color w:val="EE0000"/>
                <w:lang w:val="en-US"/>
              </w:rPr>
              <w:t>.</w:t>
            </w:r>
            <w:r w:rsidRPr="00EA3E1D">
              <w:rPr>
                <w:color w:val="EE0000"/>
                <w:lang w:val="en-US"/>
              </w:rPr>
              <w:t xml:space="preserve"> </w:t>
            </w:r>
          </w:p>
        </w:tc>
        <w:tc>
          <w:tcPr>
            <w:tcW w:w="4584" w:type="dxa"/>
          </w:tcPr>
          <w:p w14:paraId="1FE54117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3B6FE706" w14:textId="77777777" w:rsidTr="00313147">
        <w:tc>
          <w:tcPr>
            <w:tcW w:w="9168" w:type="dxa"/>
            <w:gridSpan w:val="2"/>
            <w:shd w:val="clear" w:color="auto" w:fill="004C6E"/>
          </w:tcPr>
          <w:p w14:paraId="04368A9A" w14:textId="49D820BD" w:rsidR="00C126FD" w:rsidRPr="00C126FD" w:rsidRDefault="00C126FD" w:rsidP="00B034ED">
            <w:pPr>
              <w:rPr>
                <w:b/>
                <w:bCs/>
                <w:color w:val="FFFFFF" w:themeColor="background1"/>
                <w:lang w:val="en-US"/>
              </w:rPr>
            </w:pPr>
            <w:r w:rsidRPr="00C126FD">
              <w:rPr>
                <w:b/>
                <w:bCs/>
                <w:color w:val="FFFFFF" w:themeColor="background1"/>
                <w:lang w:val="en-US"/>
              </w:rPr>
              <w:t xml:space="preserve">Implementation outputs and impact (is it making a difference for patients and </w:t>
            </w:r>
            <w:r w:rsidR="008832BF">
              <w:rPr>
                <w:b/>
                <w:bCs/>
                <w:color w:val="FFFFFF" w:themeColor="background1"/>
                <w:lang w:val="en-US"/>
              </w:rPr>
              <w:t>the workforce</w:t>
            </w:r>
            <w:r w:rsidRPr="00C126FD">
              <w:rPr>
                <w:b/>
                <w:bCs/>
                <w:color w:val="FFFFFF" w:themeColor="background1"/>
                <w:lang w:val="en-US"/>
              </w:rPr>
              <w:t>?)</w:t>
            </w:r>
          </w:p>
        </w:tc>
      </w:tr>
      <w:tr w:rsidR="00C126FD" w14:paraId="4C5A8603" w14:textId="77777777" w:rsidTr="00C126FD">
        <w:tc>
          <w:tcPr>
            <w:tcW w:w="4584" w:type="dxa"/>
          </w:tcPr>
          <w:p w14:paraId="02548DF6" w14:textId="2F6D7140" w:rsidR="00C126FD" w:rsidRDefault="00C126FD" w:rsidP="00C126FD">
            <w:pPr>
              <w:rPr>
                <w:lang w:val="en-US"/>
              </w:rPr>
            </w:pPr>
            <w:r w:rsidRPr="00266B11">
              <w:rPr>
                <w:rFonts w:eastAsia="Times New Roman" w:cs="Calibri"/>
                <w:lang w:eastAsia="en-AU"/>
              </w:rPr>
              <w:t>Increased consumer and workforce understanding of what high-quality care looks like, their role in achieving it and how clinical governance supports their role.</w:t>
            </w:r>
          </w:p>
        </w:tc>
        <w:tc>
          <w:tcPr>
            <w:tcW w:w="4584" w:type="dxa"/>
          </w:tcPr>
          <w:p w14:paraId="00D6D29D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5F3BADD7" w14:textId="77777777" w:rsidTr="00C126FD">
        <w:tc>
          <w:tcPr>
            <w:tcW w:w="4584" w:type="dxa"/>
          </w:tcPr>
          <w:p w14:paraId="47D3FBAC" w14:textId="149E606C" w:rsidR="00C126FD" w:rsidRDefault="00C126FD" w:rsidP="00C126FD">
            <w:pPr>
              <w:rPr>
                <w:lang w:val="en-US"/>
              </w:rPr>
            </w:pPr>
            <w:r w:rsidRPr="00266B11">
              <w:rPr>
                <w:rFonts w:eastAsia="Times New Roman" w:cs="Calibri"/>
                <w:lang w:eastAsia="en-AU"/>
              </w:rPr>
              <w:t>Workforce and patient satisfaction with the impact of clinical governance model implementation.</w:t>
            </w:r>
          </w:p>
        </w:tc>
        <w:tc>
          <w:tcPr>
            <w:tcW w:w="4584" w:type="dxa"/>
          </w:tcPr>
          <w:p w14:paraId="2A6AD35F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7CBF6462" w14:textId="77777777" w:rsidTr="00C126FD">
        <w:tc>
          <w:tcPr>
            <w:tcW w:w="4584" w:type="dxa"/>
          </w:tcPr>
          <w:p w14:paraId="0F88F224" w14:textId="1AE5BD3E" w:rsidR="00C126FD" w:rsidRDefault="00C126FD" w:rsidP="00C126FD">
            <w:pPr>
              <w:rPr>
                <w:lang w:val="en-US"/>
              </w:rPr>
            </w:pPr>
            <w:r w:rsidRPr="00266B11">
              <w:rPr>
                <w:rFonts w:eastAsia="Times New Roman" w:cs="Calibri"/>
                <w:lang w:eastAsia="en-AU"/>
              </w:rPr>
              <w:t>Evidence of committee decisions that reference the national model.</w:t>
            </w:r>
          </w:p>
        </w:tc>
        <w:tc>
          <w:tcPr>
            <w:tcW w:w="4584" w:type="dxa"/>
          </w:tcPr>
          <w:p w14:paraId="13BE0B2C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147C4611" w14:textId="77777777" w:rsidTr="00C126FD">
        <w:tc>
          <w:tcPr>
            <w:tcW w:w="4584" w:type="dxa"/>
          </w:tcPr>
          <w:p w14:paraId="557AF5CB" w14:textId="14C0419E" w:rsidR="00C126FD" w:rsidRDefault="00C126FD" w:rsidP="00C126FD">
            <w:pPr>
              <w:rPr>
                <w:lang w:val="en-US"/>
              </w:rPr>
            </w:pPr>
            <w:r w:rsidRPr="00266B11">
              <w:rPr>
                <w:rFonts w:eastAsia="Times New Roman" w:cs="Calibri"/>
                <w:lang w:eastAsia="en-AU"/>
              </w:rPr>
              <w:t xml:space="preserve">Increasing clinical governance maturity within the foundations </w:t>
            </w:r>
          </w:p>
        </w:tc>
        <w:tc>
          <w:tcPr>
            <w:tcW w:w="4584" w:type="dxa"/>
          </w:tcPr>
          <w:p w14:paraId="69343FB1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585AE336" w14:textId="77777777" w:rsidTr="00C126FD">
        <w:tc>
          <w:tcPr>
            <w:tcW w:w="4584" w:type="dxa"/>
          </w:tcPr>
          <w:p w14:paraId="7E98A8B4" w14:textId="05ABE7FF" w:rsidR="00C126FD" w:rsidRPr="00C126FD" w:rsidRDefault="00C126FD" w:rsidP="00C126FD">
            <w:pPr>
              <w:rPr>
                <w:rFonts w:eastAsia="Times New Roman" w:cs="Calibri"/>
                <w:lang w:val="en-US" w:eastAsia="en-AU"/>
              </w:rPr>
            </w:pPr>
            <w:r w:rsidRPr="00266B11">
              <w:rPr>
                <w:rFonts w:eastAsia="Times New Roman" w:cs="Calibri"/>
                <w:lang w:eastAsia="en-AU"/>
              </w:rPr>
              <w:lastRenderedPageBreak/>
              <w:t xml:space="preserve">Other </w:t>
            </w:r>
            <w:r w:rsidRPr="00C126FD">
              <w:rPr>
                <w:rFonts w:eastAsia="Times New Roman" w:cs="Calibri"/>
                <w:lang w:val="en-US" w:eastAsia="en-AU"/>
              </w:rPr>
              <w:t>impacts as listed within each step in the implementation guide.</w:t>
            </w:r>
          </w:p>
        </w:tc>
        <w:tc>
          <w:tcPr>
            <w:tcW w:w="4584" w:type="dxa"/>
          </w:tcPr>
          <w:p w14:paraId="418CF9E0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00F9BB0C" w14:textId="77777777" w:rsidTr="00C126FD">
        <w:tc>
          <w:tcPr>
            <w:tcW w:w="9168" w:type="dxa"/>
            <w:gridSpan w:val="2"/>
            <w:shd w:val="clear" w:color="auto" w:fill="004C6E"/>
          </w:tcPr>
          <w:p w14:paraId="00636A82" w14:textId="06E2B416" w:rsidR="00C126FD" w:rsidRPr="00C126FD" w:rsidRDefault="00C126FD" w:rsidP="00B034ED">
            <w:pPr>
              <w:rPr>
                <w:b/>
                <w:bCs/>
                <w:color w:val="FFFFFF" w:themeColor="background1"/>
                <w:lang w:val="en-US"/>
              </w:rPr>
            </w:pPr>
            <w:r w:rsidRPr="00C126FD">
              <w:rPr>
                <w:b/>
                <w:bCs/>
                <w:color w:val="FFFFFF" w:themeColor="background1"/>
                <w:lang w:val="en-US"/>
              </w:rPr>
              <w:t>Longer-term changes as seen in routinely collected or newly developed care quality or experience indicators (</w:t>
            </w:r>
            <w:r w:rsidR="000F5F6F">
              <w:rPr>
                <w:b/>
                <w:bCs/>
                <w:color w:val="FFFFFF" w:themeColor="background1"/>
                <w:lang w:val="en-US"/>
              </w:rPr>
              <w:t>a</w:t>
            </w:r>
            <w:r w:rsidRPr="00C126FD">
              <w:rPr>
                <w:b/>
                <w:bCs/>
                <w:color w:val="FFFFFF" w:themeColor="background1"/>
                <w:lang w:val="en-US"/>
              </w:rPr>
              <w:t>re we achieving consistently high-quality care?)</w:t>
            </w:r>
          </w:p>
        </w:tc>
      </w:tr>
      <w:tr w:rsidR="00C126FD" w14:paraId="50B2BC3A" w14:textId="77777777" w:rsidTr="00C126FD">
        <w:tc>
          <w:tcPr>
            <w:tcW w:w="4584" w:type="dxa"/>
          </w:tcPr>
          <w:p w14:paraId="4AC0F3CA" w14:textId="21C815DA" w:rsidR="00C126FD" w:rsidRDefault="00C126FD" w:rsidP="00C126FD">
            <w:pPr>
              <w:rPr>
                <w:lang w:val="en-US"/>
              </w:rPr>
            </w:pPr>
            <w:r w:rsidRPr="005A5642">
              <w:rPr>
                <w:rFonts w:eastAsia="Times New Roman" w:cs="Calibri"/>
                <w:lang w:eastAsia="en-AU"/>
              </w:rPr>
              <w:t xml:space="preserve">Increased compliance with good practice examples in each foundation that support high-quality care. </w:t>
            </w:r>
          </w:p>
        </w:tc>
        <w:tc>
          <w:tcPr>
            <w:tcW w:w="4584" w:type="dxa"/>
          </w:tcPr>
          <w:p w14:paraId="67555BE1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257513EB" w14:textId="77777777" w:rsidTr="00C126FD">
        <w:tc>
          <w:tcPr>
            <w:tcW w:w="4584" w:type="dxa"/>
          </w:tcPr>
          <w:p w14:paraId="23EEB8B6" w14:textId="13FAFDF3" w:rsidR="00C126FD" w:rsidRDefault="00C126FD" w:rsidP="00C126FD">
            <w:pPr>
              <w:rPr>
                <w:lang w:val="en-US"/>
              </w:rPr>
            </w:pPr>
            <w:r w:rsidRPr="005A5642">
              <w:rPr>
                <w:rFonts w:eastAsia="Times New Roman" w:cs="Calibri"/>
                <w:lang w:eastAsia="en-AU"/>
              </w:rPr>
              <w:t>Measurable improvements in care quality (such as risk reduction, fewer complications, less unwarranted variation in care, improved outcomes, and greater workforce and patient satisfaction with care quality).</w:t>
            </w:r>
          </w:p>
        </w:tc>
        <w:tc>
          <w:tcPr>
            <w:tcW w:w="4584" w:type="dxa"/>
          </w:tcPr>
          <w:p w14:paraId="1830DC03" w14:textId="77777777" w:rsidR="00C126FD" w:rsidRDefault="00C126FD" w:rsidP="00C126FD">
            <w:pPr>
              <w:rPr>
                <w:lang w:val="en-US"/>
              </w:rPr>
            </w:pPr>
          </w:p>
        </w:tc>
      </w:tr>
      <w:tr w:rsidR="00C126FD" w14:paraId="54A5BE80" w14:textId="77777777" w:rsidTr="00C126FD">
        <w:tc>
          <w:tcPr>
            <w:tcW w:w="4584" w:type="dxa"/>
          </w:tcPr>
          <w:p w14:paraId="02199951" w14:textId="1EED1E22" w:rsidR="00C126FD" w:rsidRDefault="00C126FD" w:rsidP="00C126FD">
            <w:pPr>
              <w:rPr>
                <w:lang w:val="en-US"/>
              </w:rPr>
            </w:pPr>
            <w:r w:rsidRPr="005A5642">
              <w:rPr>
                <w:rFonts w:eastAsia="Times New Roman" w:cs="Calibri"/>
                <w:lang w:eastAsia="en-AU"/>
              </w:rPr>
              <w:t>A more balanced approach to improving care that considers and shows improvement in all domains of high-quality care as described in the national model.</w:t>
            </w:r>
          </w:p>
        </w:tc>
        <w:tc>
          <w:tcPr>
            <w:tcW w:w="4584" w:type="dxa"/>
          </w:tcPr>
          <w:p w14:paraId="2B1B62B0" w14:textId="77777777" w:rsidR="00C126FD" w:rsidRDefault="00C126FD" w:rsidP="00C126FD">
            <w:pPr>
              <w:rPr>
                <w:lang w:val="en-US"/>
              </w:rPr>
            </w:pPr>
          </w:p>
        </w:tc>
      </w:tr>
    </w:tbl>
    <w:p w14:paraId="3A377094" w14:textId="77777777" w:rsidR="00C126FD" w:rsidRDefault="00C126FD" w:rsidP="00B034ED">
      <w:pPr>
        <w:rPr>
          <w:lang w:val="en-US"/>
        </w:rPr>
      </w:pPr>
    </w:p>
    <w:bookmarkEnd w:id="1"/>
    <w:p w14:paraId="465D360D" w14:textId="77777777" w:rsidR="00D93522" w:rsidRDefault="00D93522" w:rsidP="00456453">
      <w:pPr>
        <w:spacing w:after="480"/>
        <w:rPr>
          <w:color w:val="FF0000"/>
        </w:rPr>
      </w:pPr>
    </w:p>
    <w:p w14:paraId="01323850" w14:textId="77777777" w:rsidR="00C126FD" w:rsidRDefault="00C126FD" w:rsidP="00456453">
      <w:pPr>
        <w:spacing w:after="480"/>
        <w:rPr>
          <w:color w:val="FF0000"/>
        </w:rPr>
      </w:pPr>
    </w:p>
    <w:p w14:paraId="68BD4AC7" w14:textId="77777777" w:rsidR="00C126FD" w:rsidRDefault="00C126FD" w:rsidP="00456453">
      <w:pPr>
        <w:spacing w:after="480"/>
        <w:rPr>
          <w:color w:val="FF0000"/>
        </w:rPr>
      </w:pPr>
    </w:p>
    <w:p w14:paraId="177C20F1" w14:textId="77777777" w:rsidR="00C126FD" w:rsidRDefault="00C126FD" w:rsidP="00456453">
      <w:pPr>
        <w:spacing w:after="480"/>
        <w:rPr>
          <w:color w:val="FF0000"/>
        </w:rPr>
      </w:pPr>
    </w:p>
    <w:p w14:paraId="7973A387" w14:textId="77777777" w:rsidR="00D93522" w:rsidRDefault="00D93522" w:rsidP="00456453">
      <w:pPr>
        <w:spacing w:after="480"/>
        <w:rPr>
          <w:color w:val="FF0000"/>
        </w:rPr>
      </w:pPr>
    </w:p>
    <w:p w14:paraId="3C4C20C3" w14:textId="77777777" w:rsidR="00D93522" w:rsidRDefault="00D93522" w:rsidP="00456453">
      <w:pPr>
        <w:spacing w:after="480"/>
        <w:rPr>
          <w:color w:val="FF0000"/>
        </w:rPr>
      </w:pPr>
    </w:p>
    <w:p w14:paraId="27B2188A" w14:textId="77777777" w:rsidR="00E77E13" w:rsidRDefault="00E77E13" w:rsidP="00456453">
      <w:pPr>
        <w:spacing w:after="480"/>
        <w:rPr>
          <w:color w:val="FF0000"/>
        </w:rPr>
      </w:pPr>
    </w:p>
    <w:p w14:paraId="7EB2083B" w14:textId="77777777" w:rsidR="00E77E13" w:rsidRDefault="00E77E13" w:rsidP="00456453">
      <w:pPr>
        <w:spacing w:after="480"/>
        <w:rPr>
          <w:color w:val="FF0000"/>
        </w:rPr>
      </w:pPr>
    </w:p>
    <w:p w14:paraId="0F363E6B" w14:textId="77777777" w:rsidR="00E77E13" w:rsidRDefault="00E77E13" w:rsidP="00456453">
      <w:pPr>
        <w:spacing w:after="480"/>
        <w:rPr>
          <w:color w:val="FF0000"/>
        </w:rPr>
      </w:pPr>
    </w:p>
    <w:p w14:paraId="24696469" w14:textId="77777777" w:rsidR="00D93522" w:rsidRPr="00F54926" w:rsidRDefault="00D93522" w:rsidP="00456453">
      <w:pPr>
        <w:spacing w:after="480"/>
        <w:rPr>
          <w:color w:val="FF0000"/>
        </w:rPr>
      </w:pPr>
    </w:p>
    <w:p w14:paraId="03403B9B" w14:textId="77777777" w:rsidR="002A0B58" w:rsidRDefault="004C5153" w:rsidP="004C5153">
      <w:r>
        <w:rPr>
          <w:noProof/>
          <w:lang w:val="en-GB"/>
        </w:rPr>
        <w:drawing>
          <wp:inline distT="0" distB="0" distL="0" distR="0" wp14:anchorId="59FF772A" wp14:editId="23234907">
            <wp:extent cx="576073" cy="201168"/>
            <wp:effectExtent l="0" t="0" r="0" b="8890"/>
            <wp:docPr id="1636521559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3590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B5CC9" w14:textId="77777777" w:rsidR="00235529" w:rsidRPr="003B1CB8" w:rsidRDefault="006B31AD" w:rsidP="004E2765">
      <w:pPr>
        <w:rPr>
          <w:color w:val="EE0000"/>
        </w:rPr>
      </w:pPr>
      <w:r w:rsidRPr="00D93522">
        <w:t xml:space="preserve">© Australian Commission on Safety and Quality in Health Care </w:t>
      </w:r>
      <w:r w:rsidR="00CC6B46" w:rsidRPr="00D93522">
        <w:t>2026</w:t>
      </w:r>
    </w:p>
    <w:sectPr w:rsidR="00235529" w:rsidRPr="003B1CB8" w:rsidSect="007C1E0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0" w:h="16820" w:code="9"/>
      <w:pgMar w:top="1418" w:right="1361" w:bottom="1361" w:left="1361" w:header="624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4B9D" w14:textId="77777777" w:rsidR="00091A90" w:rsidRDefault="00091A90" w:rsidP="001D0AFC">
      <w:r>
        <w:separator/>
      </w:r>
    </w:p>
    <w:p w14:paraId="598C8486" w14:textId="77777777" w:rsidR="00091A90" w:rsidRDefault="00091A90"/>
    <w:p w14:paraId="7EC4F53F" w14:textId="77777777" w:rsidR="00091A90" w:rsidRDefault="00091A90"/>
    <w:p w14:paraId="650179A8" w14:textId="77777777" w:rsidR="00091A90" w:rsidRDefault="00091A90"/>
  </w:endnote>
  <w:endnote w:type="continuationSeparator" w:id="0">
    <w:p w14:paraId="4922E2E4" w14:textId="77777777" w:rsidR="00091A90" w:rsidRDefault="00091A90" w:rsidP="001D0AFC">
      <w:r>
        <w:continuationSeparator/>
      </w:r>
    </w:p>
    <w:p w14:paraId="5A671287" w14:textId="77777777" w:rsidR="00091A90" w:rsidRDefault="00091A90"/>
    <w:p w14:paraId="3F3EACBE" w14:textId="77777777" w:rsidR="00091A90" w:rsidRDefault="00091A90"/>
    <w:p w14:paraId="6275DDD9" w14:textId="77777777" w:rsidR="00091A90" w:rsidRDefault="00091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56D7" w14:textId="431FC2A9" w:rsidR="00225999" w:rsidRDefault="002259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47BB4DF" wp14:editId="07E6C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8948236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364AC" w14:textId="156A17D8" w:rsidR="00225999" w:rsidRPr="00225999" w:rsidRDefault="00225999" w:rsidP="002259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59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BB4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75F364AC" w14:textId="156A17D8" w:rsidR="00225999" w:rsidRPr="00225999" w:rsidRDefault="00225999" w:rsidP="002259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2599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C605" w14:textId="4A5B232D" w:rsidR="00F67850" w:rsidRDefault="00F67850" w:rsidP="00F67850">
    <w:pPr>
      <w:pStyle w:val="Footer"/>
      <w:ind w:left="284"/>
    </w:pPr>
    <w:r w:rsidRPr="00CC6B46">
      <w:rPr>
        <w:noProof/>
      </w:rPr>
      <w:drawing>
        <wp:anchor distT="0" distB="0" distL="114300" distR="114300" simplePos="0" relativeHeight="251664384" behindDoc="0" locked="0" layoutInCell="1" allowOverlap="1" wp14:anchorId="3D3DE669" wp14:editId="112C707C">
          <wp:simplePos x="0" y="0"/>
          <wp:positionH relativeFrom="column">
            <wp:posOffset>0</wp:posOffset>
          </wp:positionH>
          <wp:positionV relativeFrom="paragraph">
            <wp:posOffset>-20320</wp:posOffset>
          </wp:positionV>
          <wp:extent cx="138430" cy="179705"/>
          <wp:effectExtent l="0" t="0" r="0" b="0"/>
          <wp:wrapNone/>
          <wp:docPr id="1549726849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2494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DE0" w:rsidRPr="00A27DE0">
      <w:rPr>
        <w:b/>
        <w:bCs/>
      </w:rPr>
      <w:t xml:space="preserve"> </w:t>
    </w:r>
    <w:r w:rsidR="00A27DE0">
      <w:rPr>
        <w:b/>
        <w:bCs/>
      </w:rPr>
      <w:t>Implementation plan structure</w:t>
    </w:r>
    <w:r w:rsidR="00585D86">
      <w:t xml:space="preserve"> </w:t>
    </w:r>
    <w:r w:rsidR="0005038D" w:rsidRPr="0005038D">
      <w:t>National Model for Clinical Governance implementation to</w:t>
    </w:r>
    <w:r w:rsidR="00CC6B46">
      <w:t>ol</w:t>
    </w:r>
    <w:r w:rsidR="00A27DE0">
      <w:rPr>
        <w:color w:val="FF0000"/>
      </w:rPr>
      <w:tab/>
    </w:r>
    <w:r w:rsidRPr="00F67850">
      <w:rPr>
        <w:b/>
        <w:bCs/>
      </w:rPr>
      <w:fldChar w:fldCharType="begin"/>
    </w:r>
    <w:r w:rsidRPr="00F67850">
      <w:rPr>
        <w:b/>
        <w:bCs/>
      </w:rPr>
      <w:instrText xml:space="preserve"> PAGE   \* MERGEFORMAT </w:instrText>
    </w:r>
    <w:r w:rsidRPr="00F67850">
      <w:rPr>
        <w:b/>
        <w:bCs/>
      </w:rPr>
      <w:fldChar w:fldCharType="separate"/>
    </w:r>
    <w:r w:rsidRPr="00F67850">
      <w:rPr>
        <w:b/>
        <w:bCs/>
      </w:rPr>
      <w:t>1</w:t>
    </w:r>
    <w:r w:rsidRPr="00F67850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627" w14:textId="717781B2" w:rsidR="00F67850" w:rsidRPr="0005038D" w:rsidRDefault="00F67850">
    <w:pPr>
      <w:pStyle w:val="Footer"/>
      <w:rPr>
        <w:b/>
        <w:bCs/>
      </w:rPr>
    </w:pPr>
    <w:r w:rsidRPr="00F54926"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62F93E0C" wp14:editId="343F15A3">
          <wp:simplePos x="0" y="0"/>
          <wp:positionH relativeFrom="column">
            <wp:posOffset>-135890</wp:posOffset>
          </wp:positionH>
          <wp:positionV relativeFrom="paragraph">
            <wp:posOffset>-26035</wp:posOffset>
          </wp:positionV>
          <wp:extent cx="138430" cy="179705"/>
          <wp:effectExtent l="0" t="0" r="0" b="0"/>
          <wp:wrapNone/>
          <wp:docPr id="471555160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2494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926">
      <w:rPr>
        <w:color w:val="FF0000"/>
      </w:rPr>
      <w:t xml:space="preserve"> </w:t>
    </w:r>
    <w:r w:rsidR="00A27DE0">
      <w:rPr>
        <w:b/>
        <w:bCs/>
      </w:rPr>
      <w:t>Implementation plan structure</w:t>
    </w:r>
    <w:r w:rsidR="0005038D">
      <w:t xml:space="preserve"> </w:t>
    </w:r>
    <w:r w:rsidR="0005038D" w:rsidRPr="0005038D">
      <w:t>2026 National Model for Clinical Governance implementation tool</w:t>
    </w:r>
    <w:r w:rsidRPr="00F54926">
      <w:rPr>
        <w:color w:val="FF0000"/>
      </w:rPr>
      <w:t xml:space="preserve"> </w:t>
    </w:r>
    <w:r w:rsidRPr="00F67850">
      <w:tab/>
    </w:r>
    <w:r w:rsidRPr="00F67850">
      <w:rPr>
        <w:b/>
        <w:bCs/>
      </w:rPr>
      <w:fldChar w:fldCharType="begin"/>
    </w:r>
    <w:r w:rsidRPr="00F67850">
      <w:rPr>
        <w:b/>
        <w:bCs/>
      </w:rPr>
      <w:instrText xml:space="preserve"> PAGE   \* MERGEFORMAT </w:instrText>
    </w:r>
    <w:r w:rsidRPr="00F67850">
      <w:rPr>
        <w:b/>
        <w:bCs/>
      </w:rPr>
      <w:fldChar w:fldCharType="separate"/>
    </w:r>
    <w:r w:rsidRPr="00F67850">
      <w:rPr>
        <w:b/>
        <w:bCs/>
        <w:noProof/>
      </w:rPr>
      <w:t>1</w:t>
    </w:r>
    <w:r w:rsidRPr="00F6785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8067" w14:textId="77777777" w:rsidR="00091A90" w:rsidRDefault="00091A90" w:rsidP="001D0AFC">
      <w:r>
        <w:separator/>
      </w:r>
    </w:p>
    <w:p w14:paraId="564ACD74" w14:textId="77777777" w:rsidR="00091A90" w:rsidRDefault="00091A90"/>
  </w:footnote>
  <w:footnote w:type="continuationSeparator" w:id="0">
    <w:p w14:paraId="5EC77592" w14:textId="77777777" w:rsidR="00091A90" w:rsidRDefault="00091A90" w:rsidP="001D0AFC">
      <w:r>
        <w:continuationSeparator/>
      </w:r>
    </w:p>
    <w:p w14:paraId="24F6453F" w14:textId="77777777" w:rsidR="00091A90" w:rsidRDefault="00091A90"/>
  </w:footnote>
  <w:footnote w:type="continuationNotice" w:id="1">
    <w:p w14:paraId="0F9F61DF" w14:textId="77777777" w:rsidR="00091A90" w:rsidRDefault="00091A90">
      <w:pPr>
        <w:spacing w:before="0" w:after="0"/>
      </w:pPr>
    </w:p>
    <w:p w14:paraId="707A5856" w14:textId="77777777" w:rsidR="00091A90" w:rsidRDefault="00091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E676" w14:textId="5382B8DB" w:rsidR="00225999" w:rsidRDefault="002259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8FA9800" wp14:editId="30D59E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21285149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5A45A" w14:textId="5E3EF972" w:rsidR="00225999" w:rsidRPr="00225999" w:rsidRDefault="00225999" w:rsidP="002259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59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A98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69C5A45A" w14:textId="5E3EF972" w:rsidR="00225999" w:rsidRPr="00225999" w:rsidRDefault="00225999" w:rsidP="002259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2599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51C" w14:textId="66D08463" w:rsidR="00904237" w:rsidRDefault="002259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8C87D02" wp14:editId="0393CA3D">
              <wp:simplePos x="904875" y="4000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3463423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C6C60" w14:textId="42064949" w:rsidR="00225999" w:rsidRPr="00225999" w:rsidRDefault="00225999" w:rsidP="002259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259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87D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5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 filled="f" stroked="f">
              <v:textbox style="mso-fit-shape-to-text:t" inset="0,15pt,0,0">
                <w:txbxContent>
                  <w:p w14:paraId="0DEC6C60" w14:textId="42064949" w:rsidR="00225999" w:rsidRPr="00225999" w:rsidRDefault="00225999" w:rsidP="002259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2599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828CC6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04C6E" w:themeColor="accent1"/>
      </w:rPr>
    </w:lvl>
  </w:abstractNum>
  <w:abstractNum w:abstractNumId="2" w15:restartNumberingAfterBreak="0">
    <w:nsid w:val="031C6CD5"/>
    <w:multiLevelType w:val="hybridMultilevel"/>
    <w:tmpl w:val="54803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7320"/>
    <w:multiLevelType w:val="hybridMultilevel"/>
    <w:tmpl w:val="3EFE1632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56F7A"/>
    <w:multiLevelType w:val="hybridMultilevel"/>
    <w:tmpl w:val="0436D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5F9D"/>
    <w:multiLevelType w:val="multilevel"/>
    <w:tmpl w:val="B95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C544A"/>
    <w:multiLevelType w:val="hybridMultilevel"/>
    <w:tmpl w:val="E9A895B2"/>
    <w:lvl w:ilvl="0" w:tplc="467C9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124BB"/>
    <w:multiLevelType w:val="hybridMultilevel"/>
    <w:tmpl w:val="70A6072C"/>
    <w:lvl w:ilvl="0" w:tplc="A7560F40">
      <w:start w:val="1"/>
      <w:numFmt w:val="upperLetter"/>
      <w:pStyle w:val="Maturityscalehead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612E3"/>
    <w:multiLevelType w:val="hybridMultilevel"/>
    <w:tmpl w:val="358467D6"/>
    <w:lvl w:ilvl="0" w:tplc="7E18FF00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6190"/>
    <w:multiLevelType w:val="hybridMultilevel"/>
    <w:tmpl w:val="DFC8935A"/>
    <w:lvl w:ilvl="0" w:tplc="46A46EFA">
      <w:start w:val="1"/>
      <w:numFmt w:val="upperLetter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7491F"/>
    <w:multiLevelType w:val="hybridMultilevel"/>
    <w:tmpl w:val="66123714"/>
    <w:lvl w:ilvl="0" w:tplc="7B6AF10C">
      <w:start w:val="1"/>
      <w:numFmt w:val="decimal"/>
      <w:pStyle w:val="TableCaption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18A"/>
    <w:multiLevelType w:val="hybridMultilevel"/>
    <w:tmpl w:val="5AF49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A3E69"/>
    <w:multiLevelType w:val="hybridMultilevel"/>
    <w:tmpl w:val="D7BA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86A48"/>
    <w:multiLevelType w:val="hybridMultilevel"/>
    <w:tmpl w:val="67D26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15" w15:restartNumberingAfterBreak="0">
    <w:nsid w:val="29C941E1"/>
    <w:multiLevelType w:val="hybridMultilevel"/>
    <w:tmpl w:val="223246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27832"/>
    <w:multiLevelType w:val="hybridMultilevel"/>
    <w:tmpl w:val="C172E5DE"/>
    <w:lvl w:ilvl="0" w:tplc="0DBA0386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2184D"/>
    <w:multiLevelType w:val="multilevel"/>
    <w:tmpl w:val="ED9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F90B3E"/>
    <w:multiLevelType w:val="hybridMultilevel"/>
    <w:tmpl w:val="3B78EC20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D11297"/>
    <w:multiLevelType w:val="hybridMultilevel"/>
    <w:tmpl w:val="7EF026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468D"/>
    <w:multiLevelType w:val="multilevel"/>
    <w:tmpl w:val="A00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90116"/>
    <w:multiLevelType w:val="hybridMultilevel"/>
    <w:tmpl w:val="99C233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F0305"/>
    <w:multiLevelType w:val="hybridMultilevel"/>
    <w:tmpl w:val="1DFE1BE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E146FC"/>
    <w:multiLevelType w:val="hybridMultilevel"/>
    <w:tmpl w:val="DBC6C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24E1C"/>
    <w:multiLevelType w:val="hybridMultilevel"/>
    <w:tmpl w:val="978C7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2A97"/>
    <w:multiLevelType w:val="hybridMultilevel"/>
    <w:tmpl w:val="54803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F9F"/>
    <w:multiLevelType w:val="hybridMultilevel"/>
    <w:tmpl w:val="C1461266"/>
    <w:lvl w:ilvl="0" w:tplc="FFFFFFFF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A6C5D"/>
    <w:multiLevelType w:val="hybridMultilevel"/>
    <w:tmpl w:val="C5D89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4FFF"/>
    <w:multiLevelType w:val="hybridMultilevel"/>
    <w:tmpl w:val="3B323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723"/>
    <w:multiLevelType w:val="multilevel"/>
    <w:tmpl w:val="11DA52A8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7090B84"/>
    <w:multiLevelType w:val="hybridMultilevel"/>
    <w:tmpl w:val="BABEB92E"/>
    <w:lvl w:ilvl="0" w:tplc="04E63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32" w15:restartNumberingAfterBreak="0">
    <w:nsid w:val="6B8A6676"/>
    <w:multiLevelType w:val="hybridMultilevel"/>
    <w:tmpl w:val="67C0B4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51EB3"/>
    <w:multiLevelType w:val="hybridMultilevel"/>
    <w:tmpl w:val="BF5A8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5E6E7A"/>
    <w:multiLevelType w:val="hybridMultilevel"/>
    <w:tmpl w:val="0126877A"/>
    <w:lvl w:ilvl="0" w:tplc="F57299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56533"/>
    <w:multiLevelType w:val="multilevel"/>
    <w:tmpl w:val="502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A7768"/>
    <w:multiLevelType w:val="multilevel"/>
    <w:tmpl w:val="5CCE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7E4D88"/>
    <w:multiLevelType w:val="multilevel"/>
    <w:tmpl w:val="790ACF8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38" w15:restartNumberingAfterBreak="0">
    <w:nsid w:val="79212E33"/>
    <w:multiLevelType w:val="hybridMultilevel"/>
    <w:tmpl w:val="54803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70E6F"/>
    <w:multiLevelType w:val="hybridMultilevel"/>
    <w:tmpl w:val="2264AA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3040">
    <w:abstractNumId w:val="14"/>
  </w:num>
  <w:num w:numId="2" w16cid:durableId="1741051169">
    <w:abstractNumId w:val="37"/>
  </w:num>
  <w:num w:numId="3" w16cid:durableId="1155560808">
    <w:abstractNumId w:val="29"/>
  </w:num>
  <w:num w:numId="4" w16cid:durableId="1231190212">
    <w:abstractNumId w:val="31"/>
  </w:num>
  <w:num w:numId="5" w16cid:durableId="147982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369280">
    <w:abstractNumId w:val="10"/>
  </w:num>
  <w:num w:numId="7" w16cid:durableId="171460208">
    <w:abstractNumId w:val="37"/>
  </w:num>
  <w:num w:numId="8" w16cid:durableId="1279488499">
    <w:abstractNumId w:val="1"/>
  </w:num>
  <w:num w:numId="9" w16cid:durableId="985281359">
    <w:abstractNumId w:val="16"/>
  </w:num>
  <w:num w:numId="10" w16cid:durableId="1181889900">
    <w:abstractNumId w:val="18"/>
  </w:num>
  <w:num w:numId="11" w16cid:durableId="274872066">
    <w:abstractNumId w:val="6"/>
  </w:num>
  <w:num w:numId="12" w16cid:durableId="547911452">
    <w:abstractNumId w:val="6"/>
    <w:lvlOverride w:ilvl="0">
      <w:startOverride w:val="1"/>
    </w:lvlOverride>
  </w:num>
  <w:num w:numId="13" w16cid:durableId="1162819846">
    <w:abstractNumId w:val="21"/>
  </w:num>
  <w:num w:numId="14" w16cid:durableId="36900879">
    <w:abstractNumId w:val="7"/>
  </w:num>
  <w:num w:numId="15" w16cid:durableId="350566994">
    <w:abstractNumId w:val="15"/>
  </w:num>
  <w:num w:numId="16" w16cid:durableId="1729453618">
    <w:abstractNumId w:val="23"/>
  </w:num>
  <w:num w:numId="17" w16cid:durableId="225654803">
    <w:abstractNumId w:val="12"/>
  </w:num>
  <w:num w:numId="18" w16cid:durableId="537007806">
    <w:abstractNumId w:val="13"/>
  </w:num>
  <w:num w:numId="19" w16cid:durableId="837886617">
    <w:abstractNumId w:val="33"/>
  </w:num>
  <w:num w:numId="20" w16cid:durableId="607078782">
    <w:abstractNumId w:val="3"/>
  </w:num>
  <w:num w:numId="21" w16cid:durableId="2097315149">
    <w:abstractNumId w:val="24"/>
  </w:num>
  <w:num w:numId="22" w16cid:durableId="1597396682">
    <w:abstractNumId w:val="19"/>
  </w:num>
  <w:num w:numId="23" w16cid:durableId="1424453285">
    <w:abstractNumId w:val="30"/>
  </w:num>
  <w:num w:numId="24" w16cid:durableId="7417048">
    <w:abstractNumId w:val="11"/>
  </w:num>
  <w:num w:numId="25" w16cid:durableId="1072237736">
    <w:abstractNumId w:val="32"/>
  </w:num>
  <w:num w:numId="26" w16cid:durableId="866797091">
    <w:abstractNumId w:val="9"/>
  </w:num>
  <w:num w:numId="27" w16cid:durableId="715471292">
    <w:abstractNumId w:val="17"/>
  </w:num>
  <w:num w:numId="28" w16cid:durableId="760565065">
    <w:abstractNumId w:val="0"/>
  </w:num>
  <w:num w:numId="29" w16cid:durableId="365644411">
    <w:abstractNumId w:val="35"/>
  </w:num>
  <w:num w:numId="30" w16cid:durableId="1160270924">
    <w:abstractNumId w:val="5"/>
  </w:num>
  <w:num w:numId="31" w16cid:durableId="1889954041">
    <w:abstractNumId w:val="20"/>
  </w:num>
  <w:num w:numId="32" w16cid:durableId="1776440643">
    <w:abstractNumId w:val="26"/>
  </w:num>
  <w:num w:numId="33" w16cid:durableId="955212696">
    <w:abstractNumId w:val="39"/>
  </w:num>
  <w:num w:numId="34" w16cid:durableId="1004867293">
    <w:abstractNumId w:val="28"/>
  </w:num>
  <w:num w:numId="35" w16cid:durableId="449931438">
    <w:abstractNumId w:val="2"/>
  </w:num>
  <w:num w:numId="36" w16cid:durableId="201286175">
    <w:abstractNumId w:val="25"/>
  </w:num>
  <w:num w:numId="37" w16cid:durableId="839588451">
    <w:abstractNumId w:val="36"/>
  </w:num>
  <w:num w:numId="38" w16cid:durableId="597829832">
    <w:abstractNumId w:val="38"/>
  </w:num>
  <w:num w:numId="39" w16cid:durableId="1821073109">
    <w:abstractNumId w:val="22"/>
  </w:num>
  <w:num w:numId="40" w16cid:durableId="915474772">
    <w:abstractNumId w:val="4"/>
  </w:num>
  <w:num w:numId="41" w16cid:durableId="1519154316">
    <w:abstractNumId w:val="34"/>
  </w:num>
  <w:num w:numId="42" w16cid:durableId="2083595495">
    <w:abstractNumId w:val="27"/>
  </w:num>
  <w:num w:numId="43" w16cid:durableId="182042239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54463C"/>
    <w:rsid w:val="000072FD"/>
    <w:rsid w:val="00011EBE"/>
    <w:rsid w:val="000121BA"/>
    <w:rsid w:val="000136A5"/>
    <w:rsid w:val="00013E33"/>
    <w:rsid w:val="00015555"/>
    <w:rsid w:val="0001627D"/>
    <w:rsid w:val="000164A5"/>
    <w:rsid w:val="00020CF3"/>
    <w:rsid w:val="0002234B"/>
    <w:rsid w:val="0002312A"/>
    <w:rsid w:val="000237BA"/>
    <w:rsid w:val="00024813"/>
    <w:rsid w:val="0002528E"/>
    <w:rsid w:val="00026E4C"/>
    <w:rsid w:val="0003148E"/>
    <w:rsid w:val="00032388"/>
    <w:rsid w:val="00033439"/>
    <w:rsid w:val="00034043"/>
    <w:rsid w:val="0003501D"/>
    <w:rsid w:val="000369EA"/>
    <w:rsid w:val="00036C75"/>
    <w:rsid w:val="00036FE5"/>
    <w:rsid w:val="00037DE5"/>
    <w:rsid w:val="00040FE9"/>
    <w:rsid w:val="00041055"/>
    <w:rsid w:val="00041141"/>
    <w:rsid w:val="00046136"/>
    <w:rsid w:val="0005038D"/>
    <w:rsid w:val="00056BC0"/>
    <w:rsid w:val="000575C7"/>
    <w:rsid w:val="000608BB"/>
    <w:rsid w:val="00061B61"/>
    <w:rsid w:val="000635BC"/>
    <w:rsid w:val="0006369F"/>
    <w:rsid w:val="00064283"/>
    <w:rsid w:val="0006584D"/>
    <w:rsid w:val="00065887"/>
    <w:rsid w:val="000658B5"/>
    <w:rsid w:val="00065F7E"/>
    <w:rsid w:val="000672B7"/>
    <w:rsid w:val="00067E58"/>
    <w:rsid w:val="0007075E"/>
    <w:rsid w:val="000723BC"/>
    <w:rsid w:val="000760F4"/>
    <w:rsid w:val="0007639B"/>
    <w:rsid w:val="00080037"/>
    <w:rsid w:val="00081BFA"/>
    <w:rsid w:val="00083A58"/>
    <w:rsid w:val="00083FD2"/>
    <w:rsid w:val="0008584C"/>
    <w:rsid w:val="00085B39"/>
    <w:rsid w:val="000872A3"/>
    <w:rsid w:val="00087834"/>
    <w:rsid w:val="00091A80"/>
    <w:rsid w:val="00091A90"/>
    <w:rsid w:val="00093BC8"/>
    <w:rsid w:val="00095151"/>
    <w:rsid w:val="00096866"/>
    <w:rsid w:val="00096B50"/>
    <w:rsid w:val="0009790D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572"/>
    <w:rsid w:val="000A5B5A"/>
    <w:rsid w:val="000A639C"/>
    <w:rsid w:val="000A66C9"/>
    <w:rsid w:val="000B19D3"/>
    <w:rsid w:val="000B3106"/>
    <w:rsid w:val="000B3336"/>
    <w:rsid w:val="000B40C2"/>
    <w:rsid w:val="000B4363"/>
    <w:rsid w:val="000B5598"/>
    <w:rsid w:val="000B5729"/>
    <w:rsid w:val="000C0CA6"/>
    <w:rsid w:val="000C1065"/>
    <w:rsid w:val="000C1B92"/>
    <w:rsid w:val="000C30E5"/>
    <w:rsid w:val="000C4291"/>
    <w:rsid w:val="000C5879"/>
    <w:rsid w:val="000C64D8"/>
    <w:rsid w:val="000D19FF"/>
    <w:rsid w:val="000D22A8"/>
    <w:rsid w:val="000D6DFA"/>
    <w:rsid w:val="000D793D"/>
    <w:rsid w:val="000D7D92"/>
    <w:rsid w:val="000D7F92"/>
    <w:rsid w:val="000E0F11"/>
    <w:rsid w:val="000E1A19"/>
    <w:rsid w:val="000E552A"/>
    <w:rsid w:val="000E567E"/>
    <w:rsid w:val="000E76FA"/>
    <w:rsid w:val="000F0CAD"/>
    <w:rsid w:val="000F2461"/>
    <w:rsid w:val="000F2EDC"/>
    <w:rsid w:val="000F58A7"/>
    <w:rsid w:val="000F5A29"/>
    <w:rsid w:val="000F5CB5"/>
    <w:rsid w:val="000F5F6F"/>
    <w:rsid w:val="000F6463"/>
    <w:rsid w:val="000F6579"/>
    <w:rsid w:val="000F7990"/>
    <w:rsid w:val="00100584"/>
    <w:rsid w:val="001010A9"/>
    <w:rsid w:val="00101254"/>
    <w:rsid w:val="00103B28"/>
    <w:rsid w:val="0010640F"/>
    <w:rsid w:val="00106589"/>
    <w:rsid w:val="00106F60"/>
    <w:rsid w:val="00110139"/>
    <w:rsid w:val="00112DF1"/>
    <w:rsid w:val="0011366C"/>
    <w:rsid w:val="00113EA9"/>
    <w:rsid w:val="001141D0"/>
    <w:rsid w:val="001152B8"/>
    <w:rsid w:val="0011571F"/>
    <w:rsid w:val="00115C82"/>
    <w:rsid w:val="001175CB"/>
    <w:rsid w:val="00117894"/>
    <w:rsid w:val="001178D7"/>
    <w:rsid w:val="00120530"/>
    <w:rsid w:val="0012062F"/>
    <w:rsid w:val="00120E3D"/>
    <w:rsid w:val="001239E7"/>
    <w:rsid w:val="0012449A"/>
    <w:rsid w:val="001279BB"/>
    <w:rsid w:val="00133783"/>
    <w:rsid w:val="001338BA"/>
    <w:rsid w:val="00136806"/>
    <w:rsid w:val="001368BE"/>
    <w:rsid w:val="00136B50"/>
    <w:rsid w:val="00137CBE"/>
    <w:rsid w:val="001425A7"/>
    <w:rsid w:val="001432FE"/>
    <w:rsid w:val="00143D93"/>
    <w:rsid w:val="00144282"/>
    <w:rsid w:val="00144E74"/>
    <w:rsid w:val="001457C0"/>
    <w:rsid w:val="001523A3"/>
    <w:rsid w:val="00152AC1"/>
    <w:rsid w:val="00153AEF"/>
    <w:rsid w:val="001547CB"/>
    <w:rsid w:val="00154C1A"/>
    <w:rsid w:val="00156042"/>
    <w:rsid w:val="001567DD"/>
    <w:rsid w:val="00157AB6"/>
    <w:rsid w:val="00157CE7"/>
    <w:rsid w:val="00161769"/>
    <w:rsid w:val="00165F83"/>
    <w:rsid w:val="001714D3"/>
    <w:rsid w:val="00172B9D"/>
    <w:rsid w:val="0017356E"/>
    <w:rsid w:val="00173BD7"/>
    <w:rsid w:val="0017403A"/>
    <w:rsid w:val="00174708"/>
    <w:rsid w:val="0017501F"/>
    <w:rsid w:val="00181A23"/>
    <w:rsid w:val="00182D27"/>
    <w:rsid w:val="00184B29"/>
    <w:rsid w:val="00186216"/>
    <w:rsid w:val="0018654C"/>
    <w:rsid w:val="00187C93"/>
    <w:rsid w:val="00191178"/>
    <w:rsid w:val="00191513"/>
    <w:rsid w:val="00191B8E"/>
    <w:rsid w:val="00191CC2"/>
    <w:rsid w:val="00192329"/>
    <w:rsid w:val="00193699"/>
    <w:rsid w:val="00196C59"/>
    <w:rsid w:val="00197290"/>
    <w:rsid w:val="0019759D"/>
    <w:rsid w:val="00197ADC"/>
    <w:rsid w:val="00197E66"/>
    <w:rsid w:val="001A03FE"/>
    <w:rsid w:val="001A0E88"/>
    <w:rsid w:val="001A14E0"/>
    <w:rsid w:val="001A2B7F"/>
    <w:rsid w:val="001A3D99"/>
    <w:rsid w:val="001A41EB"/>
    <w:rsid w:val="001A4611"/>
    <w:rsid w:val="001A50A3"/>
    <w:rsid w:val="001A5727"/>
    <w:rsid w:val="001A599E"/>
    <w:rsid w:val="001A5F23"/>
    <w:rsid w:val="001A7D74"/>
    <w:rsid w:val="001B23B8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51AF"/>
    <w:rsid w:val="001D6126"/>
    <w:rsid w:val="001D6E4A"/>
    <w:rsid w:val="001D7528"/>
    <w:rsid w:val="001D76E4"/>
    <w:rsid w:val="001E3A54"/>
    <w:rsid w:val="001E41E5"/>
    <w:rsid w:val="001E49C9"/>
    <w:rsid w:val="001E5108"/>
    <w:rsid w:val="001E5F8E"/>
    <w:rsid w:val="001F06CA"/>
    <w:rsid w:val="001F1430"/>
    <w:rsid w:val="001F25C8"/>
    <w:rsid w:val="001F379A"/>
    <w:rsid w:val="001F3C12"/>
    <w:rsid w:val="001F40EE"/>
    <w:rsid w:val="00200A33"/>
    <w:rsid w:val="0020207F"/>
    <w:rsid w:val="00202C71"/>
    <w:rsid w:val="00202F7F"/>
    <w:rsid w:val="002043E0"/>
    <w:rsid w:val="00204539"/>
    <w:rsid w:val="00207CBE"/>
    <w:rsid w:val="00210409"/>
    <w:rsid w:val="00210E8D"/>
    <w:rsid w:val="0021123A"/>
    <w:rsid w:val="0021134B"/>
    <w:rsid w:val="00216854"/>
    <w:rsid w:val="00217D19"/>
    <w:rsid w:val="0022009C"/>
    <w:rsid w:val="00220E2C"/>
    <w:rsid w:val="00223F37"/>
    <w:rsid w:val="00225999"/>
    <w:rsid w:val="00226249"/>
    <w:rsid w:val="00227027"/>
    <w:rsid w:val="00227152"/>
    <w:rsid w:val="00227974"/>
    <w:rsid w:val="002307E1"/>
    <w:rsid w:val="0023112F"/>
    <w:rsid w:val="002320CE"/>
    <w:rsid w:val="00233385"/>
    <w:rsid w:val="002333C5"/>
    <w:rsid w:val="00234564"/>
    <w:rsid w:val="002349BF"/>
    <w:rsid w:val="0023510C"/>
    <w:rsid w:val="00235529"/>
    <w:rsid w:val="00236950"/>
    <w:rsid w:val="002415D4"/>
    <w:rsid w:val="00242034"/>
    <w:rsid w:val="002422FD"/>
    <w:rsid w:val="00243F6A"/>
    <w:rsid w:val="00244887"/>
    <w:rsid w:val="00244E46"/>
    <w:rsid w:val="002468CF"/>
    <w:rsid w:val="00253E2B"/>
    <w:rsid w:val="002567F9"/>
    <w:rsid w:val="002574B2"/>
    <w:rsid w:val="00257A55"/>
    <w:rsid w:val="00260209"/>
    <w:rsid w:val="00262769"/>
    <w:rsid w:val="002632B7"/>
    <w:rsid w:val="00264464"/>
    <w:rsid w:val="0026489B"/>
    <w:rsid w:val="00264F4D"/>
    <w:rsid w:val="00266F99"/>
    <w:rsid w:val="002674EC"/>
    <w:rsid w:val="0027084B"/>
    <w:rsid w:val="00272AAC"/>
    <w:rsid w:val="00274521"/>
    <w:rsid w:val="00275504"/>
    <w:rsid w:val="0027686A"/>
    <w:rsid w:val="002776FA"/>
    <w:rsid w:val="00277E47"/>
    <w:rsid w:val="0028070D"/>
    <w:rsid w:val="0028675D"/>
    <w:rsid w:val="002871D8"/>
    <w:rsid w:val="00291082"/>
    <w:rsid w:val="002917C6"/>
    <w:rsid w:val="002934C0"/>
    <w:rsid w:val="00295234"/>
    <w:rsid w:val="00296ADC"/>
    <w:rsid w:val="00297CB5"/>
    <w:rsid w:val="002A02B1"/>
    <w:rsid w:val="002A0B58"/>
    <w:rsid w:val="002A1211"/>
    <w:rsid w:val="002A12DA"/>
    <w:rsid w:val="002A1929"/>
    <w:rsid w:val="002A1BC8"/>
    <w:rsid w:val="002A467A"/>
    <w:rsid w:val="002A50AE"/>
    <w:rsid w:val="002A521B"/>
    <w:rsid w:val="002A66E5"/>
    <w:rsid w:val="002A7087"/>
    <w:rsid w:val="002B1417"/>
    <w:rsid w:val="002B161A"/>
    <w:rsid w:val="002B16A7"/>
    <w:rsid w:val="002B3C79"/>
    <w:rsid w:val="002B5C37"/>
    <w:rsid w:val="002B5D25"/>
    <w:rsid w:val="002C0BE4"/>
    <w:rsid w:val="002C0BEF"/>
    <w:rsid w:val="002C147F"/>
    <w:rsid w:val="002C1A6F"/>
    <w:rsid w:val="002C1E4B"/>
    <w:rsid w:val="002C2769"/>
    <w:rsid w:val="002C2E1B"/>
    <w:rsid w:val="002C3AFC"/>
    <w:rsid w:val="002C4209"/>
    <w:rsid w:val="002C58C6"/>
    <w:rsid w:val="002C79C2"/>
    <w:rsid w:val="002D291F"/>
    <w:rsid w:val="002D2EF5"/>
    <w:rsid w:val="002D374F"/>
    <w:rsid w:val="002D4F2A"/>
    <w:rsid w:val="002D521E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152"/>
    <w:rsid w:val="002F0E89"/>
    <w:rsid w:val="002F208B"/>
    <w:rsid w:val="002F2993"/>
    <w:rsid w:val="002F428D"/>
    <w:rsid w:val="002F4488"/>
    <w:rsid w:val="002F52F7"/>
    <w:rsid w:val="002F5514"/>
    <w:rsid w:val="002F61E2"/>
    <w:rsid w:val="002F6F32"/>
    <w:rsid w:val="003004FA"/>
    <w:rsid w:val="00303CD4"/>
    <w:rsid w:val="0030578E"/>
    <w:rsid w:val="00305A60"/>
    <w:rsid w:val="0030669E"/>
    <w:rsid w:val="0030795C"/>
    <w:rsid w:val="0031173C"/>
    <w:rsid w:val="00313F81"/>
    <w:rsid w:val="00314BB5"/>
    <w:rsid w:val="00320667"/>
    <w:rsid w:val="00321BD4"/>
    <w:rsid w:val="003233EA"/>
    <w:rsid w:val="00325A41"/>
    <w:rsid w:val="00327466"/>
    <w:rsid w:val="003300BD"/>
    <w:rsid w:val="003336E5"/>
    <w:rsid w:val="00333BFF"/>
    <w:rsid w:val="0033405E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47C5A"/>
    <w:rsid w:val="00350D05"/>
    <w:rsid w:val="00351CED"/>
    <w:rsid w:val="0035330E"/>
    <w:rsid w:val="00353DC5"/>
    <w:rsid w:val="0035479B"/>
    <w:rsid w:val="00356324"/>
    <w:rsid w:val="00357355"/>
    <w:rsid w:val="003606B1"/>
    <w:rsid w:val="0036434E"/>
    <w:rsid w:val="00375370"/>
    <w:rsid w:val="00380A76"/>
    <w:rsid w:val="00380AA5"/>
    <w:rsid w:val="0038259F"/>
    <w:rsid w:val="00384233"/>
    <w:rsid w:val="003845DF"/>
    <w:rsid w:val="00386A1F"/>
    <w:rsid w:val="00387AAC"/>
    <w:rsid w:val="003900A1"/>
    <w:rsid w:val="00396874"/>
    <w:rsid w:val="00397A3B"/>
    <w:rsid w:val="003A0533"/>
    <w:rsid w:val="003A0B97"/>
    <w:rsid w:val="003A528E"/>
    <w:rsid w:val="003A5810"/>
    <w:rsid w:val="003A5F1D"/>
    <w:rsid w:val="003A67D8"/>
    <w:rsid w:val="003A68CB"/>
    <w:rsid w:val="003B1CB8"/>
    <w:rsid w:val="003B3D1A"/>
    <w:rsid w:val="003B4928"/>
    <w:rsid w:val="003B551F"/>
    <w:rsid w:val="003B5606"/>
    <w:rsid w:val="003B5C68"/>
    <w:rsid w:val="003C1731"/>
    <w:rsid w:val="003C17BB"/>
    <w:rsid w:val="003C27E2"/>
    <w:rsid w:val="003C3C35"/>
    <w:rsid w:val="003C3CC4"/>
    <w:rsid w:val="003C469B"/>
    <w:rsid w:val="003C51C8"/>
    <w:rsid w:val="003D0D9C"/>
    <w:rsid w:val="003D1077"/>
    <w:rsid w:val="003D1411"/>
    <w:rsid w:val="003D1716"/>
    <w:rsid w:val="003D17FB"/>
    <w:rsid w:val="003D2652"/>
    <w:rsid w:val="003D2B5A"/>
    <w:rsid w:val="003D3E58"/>
    <w:rsid w:val="003D5D9E"/>
    <w:rsid w:val="003D70C7"/>
    <w:rsid w:val="003E010D"/>
    <w:rsid w:val="003E0987"/>
    <w:rsid w:val="003E0E97"/>
    <w:rsid w:val="003E0F3F"/>
    <w:rsid w:val="003E14DC"/>
    <w:rsid w:val="003E19F9"/>
    <w:rsid w:val="003E1AC6"/>
    <w:rsid w:val="003E37B6"/>
    <w:rsid w:val="003E3CF0"/>
    <w:rsid w:val="003E4D00"/>
    <w:rsid w:val="003E5359"/>
    <w:rsid w:val="003E7795"/>
    <w:rsid w:val="003F0176"/>
    <w:rsid w:val="003F038E"/>
    <w:rsid w:val="003F0791"/>
    <w:rsid w:val="003F0DE2"/>
    <w:rsid w:val="003F422C"/>
    <w:rsid w:val="003F4615"/>
    <w:rsid w:val="003F4678"/>
    <w:rsid w:val="003F5B8F"/>
    <w:rsid w:val="003F6013"/>
    <w:rsid w:val="004003DB"/>
    <w:rsid w:val="00401670"/>
    <w:rsid w:val="00401788"/>
    <w:rsid w:val="00402F1C"/>
    <w:rsid w:val="00403816"/>
    <w:rsid w:val="00407E7F"/>
    <w:rsid w:val="00410032"/>
    <w:rsid w:val="00411636"/>
    <w:rsid w:val="00411B7D"/>
    <w:rsid w:val="004133BD"/>
    <w:rsid w:val="00413526"/>
    <w:rsid w:val="00414086"/>
    <w:rsid w:val="00416267"/>
    <w:rsid w:val="00416788"/>
    <w:rsid w:val="0042039D"/>
    <w:rsid w:val="00421E99"/>
    <w:rsid w:val="004223ED"/>
    <w:rsid w:val="00422879"/>
    <w:rsid w:val="00424406"/>
    <w:rsid w:val="004252F4"/>
    <w:rsid w:val="004256A8"/>
    <w:rsid w:val="0042574E"/>
    <w:rsid w:val="00425C5C"/>
    <w:rsid w:val="004265BE"/>
    <w:rsid w:val="0043024A"/>
    <w:rsid w:val="00431975"/>
    <w:rsid w:val="00433093"/>
    <w:rsid w:val="004339D6"/>
    <w:rsid w:val="00435303"/>
    <w:rsid w:val="004378E6"/>
    <w:rsid w:val="0044217F"/>
    <w:rsid w:val="0044369F"/>
    <w:rsid w:val="00444B74"/>
    <w:rsid w:val="00447F86"/>
    <w:rsid w:val="00450AEF"/>
    <w:rsid w:val="004537F0"/>
    <w:rsid w:val="0045454F"/>
    <w:rsid w:val="0045567D"/>
    <w:rsid w:val="00456453"/>
    <w:rsid w:val="00460084"/>
    <w:rsid w:val="00461495"/>
    <w:rsid w:val="004622D6"/>
    <w:rsid w:val="004624F7"/>
    <w:rsid w:val="00462C1E"/>
    <w:rsid w:val="004642D9"/>
    <w:rsid w:val="004649C0"/>
    <w:rsid w:val="00466AF8"/>
    <w:rsid w:val="0046795B"/>
    <w:rsid w:val="00467B74"/>
    <w:rsid w:val="00467CE7"/>
    <w:rsid w:val="0047130C"/>
    <w:rsid w:val="00474309"/>
    <w:rsid w:val="004752DD"/>
    <w:rsid w:val="004753EA"/>
    <w:rsid w:val="004779BF"/>
    <w:rsid w:val="00495969"/>
    <w:rsid w:val="00496CCB"/>
    <w:rsid w:val="00497959"/>
    <w:rsid w:val="004A0ED4"/>
    <w:rsid w:val="004A1736"/>
    <w:rsid w:val="004A1BC5"/>
    <w:rsid w:val="004A23B8"/>
    <w:rsid w:val="004A3278"/>
    <w:rsid w:val="004A4311"/>
    <w:rsid w:val="004A4B45"/>
    <w:rsid w:val="004A58E5"/>
    <w:rsid w:val="004A6A7C"/>
    <w:rsid w:val="004A6D7F"/>
    <w:rsid w:val="004A766A"/>
    <w:rsid w:val="004A7DA8"/>
    <w:rsid w:val="004B17FB"/>
    <w:rsid w:val="004B3359"/>
    <w:rsid w:val="004B38F6"/>
    <w:rsid w:val="004B6574"/>
    <w:rsid w:val="004C26DA"/>
    <w:rsid w:val="004C2CBD"/>
    <w:rsid w:val="004C2D38"/>
    <w:rsid w:val="004C359D"/>
    <w:rsid w:val="004C47F5"/>
    <w:rsid w:val="004C5153"/>
    <w:rsid w:val="004C6084"/>
    <w:rsid w:val="004C6C62"/>
    <w:rsid w:val="004D0DC8"/>
    <w:rsid w:val="004D1D34"/>
    <w:rsid w:val="004D1FE3"/>
    <w:rsid w:val="004D3380"/>
    <w:rsid w:val="004D4228"/>
    <w:rsid w:val="004D7430"/>
    <w:rsid w:val="004E06CD"/>
    <w:rsid w:val="004E0750"/>
    <w:rsid w:val="004E142F"/>
    <w:rsid w:val="004E169F"/>
    <w:rsid w:val="004E18F2"/>
    <w:rsid w:val="004E2765"/>
    <w:rsid w:val="004E3720"/>
    <w:rsid w:val="004E38D4"/>
    <w:rsid w:val="004E3A4E"/>
    <w:rsid w:val="004E42A4"/>
    <w:rsid w:val="004E5861"/>
    <w:rsid w:val="004E5EEB"/>
    <w:rsid w:val="004E6D42"/>
    <w:rsid w:val="004F16FA"/>
    <w:rsid w:val="004F6546"/>
    <w:rsid w:val="004F7FB6"/>
    <w:rsid w:val="00500B52"/>
    <w:rsid w:val="005035EB"/>
    <w:rsid w:val="00504AE4"/>
    <w:rsid w:val="00505381"/>
    <w:rsid w:val="005062D4"/>
    <w:rsid w:val="0050706D"/>
    <w:rsid w:val="0050710B"/>
    <w:rsid w:val="005071B9"/>
    <w:rsid w:val="00507868"/>
    <w:rsid w:val="00507D3A"/>
    <w:rsid w:val="00507DED"/>
    <w:rsid w:val="00510A99"/>
    <w:rsid w:val="00512BE7"/>
    <w:rsid w:val="005138A5"/>
    <w:rsid w:val="005138DF"/>
    <w:rsid w:val="00514BAA"/>
    <w:rsid w:val="00514C92"/>
    <w:rsid w:val="0051558C"/>
    <w:rsid w:val="00520281"/>
    <w:rsid w:val="005209B1"/>
    <w:rsid w:val="00521C5A"/>
    <w:rsid w:val="00521CCB"/>
    <w:rsid w:val="005234AB"/>
    <w:rsid w:val="005266C3"/>
    <w:rsid w:val="00527D0A"/>
    <w:rsid w:val="005316C5"/>
    <w:rsid w:val="0053171E"/>
    <w:rsid w:val="00536075"/>
    <w:rsid w:val="00537ECB"/>
    <w:rsid w:val="005410C1"/>
    <w:rsid w:val="0054463C"/>
    <w:rsid w:val="005447E3"/>
    <w:rsid w:val="005508A6"/>
    <w:rsid w:val="00550B1A"/>
    <w:rsid w:val="005511C1"/>
    <w:rsid w:val="005516A9"/>
    <w:rsid w:val="005517D8"/>
    <w:rsid w:val="005518D2"/>
    <w:rsid w:val="00551EB0"/>
    <w:rsid w:val="005520BC"/>
    <w:rsid w:val="005527C8"/>
    <w:rsid w:val="00552F86"/>
    <w:rsid w:val="00553137"/>
    <w:rsid w:val="005532C6"/>
    <w:rsid w:val="005559C1"/>
    <w:rsid w:val="0055601C"/>
    <w:rsid w:val="00562DF0"/>
    <w:rsid w:val="005634B4"/>
    <w:rsid w:val="0056463F"/>
    <w:rsid w:val="005646CD"/>
    <w:rsid w:val="0056489B"/>
    <w:rsid w:val="00566964"/>
    <w:rsid w:val="00570151"/>
    <w:rsid w:val="005743DF"/>
    <w:rsid w:val="00582037"/>
    <w:rsid w:val="00583BF3"/>
    <w:rsid w:val="00584EA0"/>
    <w:rsid w:val="00585314"/>
    <w:rsid w:val="00585D1B"/>
    <w:rsid w:val="00585D86"/>
    <w:rsid w:val="00585D96"/>
    <w:rsid w:val="00585FC6"/>
    <w:rsid w:val="00586756"/>
    <w:rsid w:val="00586A68"/>
    <w:rsid w:val="005876CE"/>
    <w:rsid w:val="005901FB"/>
    <w:rsid w:val="00590269"/>
    <w:rsid w:val="005915AE"/>
    <w:rsid w:val="005916CE"/>
    <w:rsid w:val="00591C2D"/>
    <w:rsid w:val="00591D99"/>
    <w:rsid w:val="00591F03"/>
    <w:rsid w:val="00591FA1"/>
    <w:rsid w:val="0059331F"/>
    <w:rsid w:val="00593C4E"/>
    <w:rsid w:val="005943E4"/>
    <w:rsid w:val="00594996"/>
    <w:rsid w:val="00595909"/>
    <w:rsid w:val="005A094A"/>
    <w:rsid w:val="005A142A"/>
    <w:rsid w:val="005A22A5"/>
    <w:rsid w:val="005A35A0"/>
    <w:rsid w:val="005A647D"/>
    <w:rsid w:val="005B158F"/>
    <w:rsid w:val="005B1BD1"/>
    <w:rsid w:val="005B2791"/>
    <w:rsid w:val="005B3A1A"/>
    <w:rsid w:val="005B4808"/>
    <w:rsid w:val="005B5231"/>
    <w:rsid w:val="005B5D7E"/>
    <w:rsid w:val="005C317B"/>
    <w:rsid w:val="005C3BCC"/>
    <w:rsid w:val="005C3C53"/>
    <w:rsid w:val="005C3D26"/>
    <w:rsid w:val="005C4A36"/>
    <w:rsid w:val="005C76E3"/>
    <w:rsid w:val="005D07C8"/>
    <w:rsid w:val="005D1997"/>
    <w:rsid w:val="005D2781"/>
    <w:rsid w:val="005D32BE"/>
    <w:rsid w:val="005D65FE"/>
    <w:rsid w:val="005D7DCC"/>
    <w:rsid w:val="005E2210"/>
    <w:rsid w:val="005E3C4D"/>
    <w:rsid w:val="005E3E4E"/>
    <w:rsid w:val="005F08D9"/>
    <w:rsid w:val="005F2A25"/>
    <w:rsid w:val="005F36C3"/>
    <w:rsid w:val="005F4740"/>
    <w:rsid w:val="005F56D4"/>
    <w:rsid w:val="005F59AA"/>
    <w:rsid w:val="00602858"/>
    <w:rsid w:val="0060327D"/>
    <w:rsid w:val="00603D3A"/>
    <w:rsid w:val="00606ED1"/>
    <w:rsid w:val="0060777F"/>
    <w:rsid w:val="00607D8E"/>
    <w:rsid w:val="00610149"/>
    <w:rsid w:val="00610317"/>
    <w:rsid w:val="0061259C"/>
    <w:rsid w:val="0061353B"/>
    <w:rsid w:val="006154ED"/>
    <w:rsid w:val="00616063"/>
    <w:rsid w:val="0061628F"/>
    <w:rsid w:val="00616A8F"/>
    <w:rsid w:val="0062006A"/>
    <w:rsid w:val="00620692"/>
    <w:rsid w:val="00621DAE"/>
    <w:rsid w:val="00622A8D"/>
    <w:rsid w:val="0062348C"/>
    <w:rsid w:val="00630D66"/>
    <w:rsid w:val="006330DA"/>
    <w:rsid w:val="006367D6"/>
    <w:rsid w:val="00640006"/>
    <w:rsid w:val="0064041E"/>
    <w:rsid w:val="00640B02"/>
    <w:rsid w:val="00644F41"/>
    <w:rsid w:val="006454C7"/>
    <w:rsid w:val="006458A1"/>
    <w:rsid w:val="00645C23"/>
    <w:rsid w:val="0064638E"/>
    <w:rsid w:val="00647F38"/>
    <w:rsid w:val="00652176"/>
    <w:rsid w:val="00654DB0"/>
    <w:rsid w:val="00656D2E"/>
    <w:rsid w:val="0065754D"/>
    <w:rsid w:val="00662B82"/>
    <w:rsid w:val="00663A07"/>
    <w:rsid w:val="00663EB2"/>
    <w:rsid w:val="00663FD5"/>
    <w:rsid w:val="00664625"/>
    <w:rsid w:val="00665855"/>
    <w:rsid w:val="00665F53"/>
    <w:rsid w:val="006666F0"/>
    <w:rsid w:val="00667BCE"/>
    <w:rsid w:val="00671AAF"/>
    <w:rsid w:val="00675850"/>
    <w:rsid w:val="00675E61"/>
    <w:rsid w:val="006761D1"/>
    <w:rsid w:val="00681672"/>
    <w:rsid w:val="006818CB"/>
    <w:rsid w:val="00681922"/>
    <w:rsid w:val="00681DC4"/>
    <w:rsid w:val="00682690"/>
    <w:rsid w:val="0068320D"/>
    <w:rsid w:val="00684B22"/>
    <w:rsid w:val="006850E8"/>
    <w:rsid w:val="00686747"/>
    <w:rsid w:val="00687FC3"/>
    <w:rsid w:val="006909B3"/>
    <w:rsid w:val="006910B9"/>
    <w:rsid w:val="00691B1E"/>
    <w:rsid w:val="00693793"/>
    <w:rsid w:val="00693A71"/>
    <w:rsid w:val="006A0D5B"/>
    <w:rsid w:val="006A1F86"/>
    <w:rsid w:val="006A261D"/>
    <w:rsid w:val="006A35DD"/>
    <w:rsid w:val="006A3CDA"/>
    <w:rsid w:val="006A3D01"/>
    <w:rsid w:val="006A794A"/>
    <w:rsid w:val="006A7FC2"/>
    <w:rsid w:val="006B0B35"/>
    <w:rsid w:val="006B0C33"/>
    <w:rsid w:val="006B1240"/>
    <w:rsid w:val="006B31AD"/>
    <w:rsid w:val="006B3A4B"/>
    <w:rsid w:val="006B4175"/>
    <w:rsid w:val="006B6CB3"/>
    <w:rsid w:val="006B7C51"/>
    <w:rsid w:val="006C065B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2526"/>
    <w:rsid w:val="006D41CA"/>
    <w:rsid w:val="006D6392"/>
    <w:rsid w:val="006D7A2A"/>
    <w:rsid w:val="006E0022"/>
    <w:rsid w:val="006E281A"/>
    <w:rsid w:val="006E546F"/>
    <w:rsid w:val="006E5981"/>
    <w:rsid w:val="006E6195"/>
    <w:rsid w:val="006E777C"/>
    <w:rsid w:val="006E7EA8"/>
    <w:rsid w:val="006F0D69"/>
    <w:rsid w:val="006F169C"/>
    <w:rsid w:val="006F297E"/>
    <w:rsid w:val="006F4252"/>
    <w:rsid w:val="006F50F5"/>
    <w:rsid w:val="006F5C6F"/>
    <w:rsid w:val="006F7CB3"/>
    <w:rsid w:val="00702092"/>
    <w:rsid w:val="007023B2"/>
    <w:rsid w:val="00703F06"/>
    <w:rsid w:val="007070DC"/>
    <w:rsid w:val="0070784B"/>
    <w:rsid w:val="00707B0F"/>
    <w:rsid w:val="00710352"/>
    <w:rsid w:val="007105DD"/>
    <w:rsid w:val="00710AEE"/>
    <w:rsid w:val="00711370"/>
    <w:rsid w:val="00713ADF"/>
    <w:rsid w:val="0071463A"/>
    <w:rsid w:val="00716958"/>
    <w:rsid w:val="00722E45"/>
    <w:rsid w:val="0072344E"/>
    <w:rsid w:val="00724799"/>
    <w:rsid w:val="00732F33"/>
    <w:rsid w:val="00733BB6"/>
    <w:rsid w:val="00734448"/>
    <w:rsid w:val="00734589"/>
    <w:rsid w:val="007345C6"/>
    <w:rsid w:val="0073698E"/>
    <w:rsid w:val="007369FD"/>
    <w:rsid w:val="00740F95"/>
    <w:rsid w:val="00741CB1"/>
    <w:rsid w:val="007426C6"/>
    <w:rsid w:val="00742A2A"/>
    <w:rsid w:val="00742D15"/>
    <w:rsid w:val="00743223"/>
    <w:rsid w:val="00743C51"/>
    <w:rsid w:val="00743F2B"/>
    <w:rsid w:val="007454B9"/>
    <w:rsid w:val="00745590"/>
    <w:rsid w:val="007467E3"/>
    <w:rsid w:val="00747CE0"/>
    <w:rsid w:val="00751B97"/>
    <w:rsid w:val="0075293D"/>
    <w:rsid w:val="00752D37"/>
    <w:rsid w:val="007531C4"/>
    <w:rsid w:val="00754945"/>
    <w:rsid w:val="00755A69"/>
    <w:rsid w:val="00755EF9"/>
    <w:rsid w:val="00756E38"/>
    <w:rsid w:val="007577DB"/>
    <w:rsid w:val="00757C04"/>
    <w:rsid w:val="00760E66"/>
    <w:rsid w:val="00762818"/>
    <w:rsid w:val="00763211"/>
    <w:rsid w:val="007641A7"/>
    <w:rsid w:val="0076540B"/>
    <w:rsid w:val="00772BCA"/>
    <w:rsid w:val="0077317E"/>
    <w:rsid w:val="007738AD"/>
    <w:rsid w:val="0077668B"/>
    <w:rsid w:val="007776CE"/>
    <w:rsid w:val="00780046"/>
    <w:rsid w:val="00780A83"/>
    <w:rsid w:val="007819DD"/>
    <w:rsid w:val="00781D4D"/>
    <w:rsid w:val="007946B2"/>
    <w:rsid w:val="00794B20"/>
    <w:rsid w:val="00796DE6"/>
    <w:rsid w:val="007A049D"/>
    <w:rsid w:val="007A63DD"/>
    <w:rsid w:val="007B03B8"/>
    <w:rsid w:val="007B20FE"/>
    <w:rsid w:val="007B3904"/>
    <w:rsid w:val="007B4C52"/>
    <w:rsid w:val="007B5FB6"/>
    <w:rsid w:val="007B730B"/>
    <w:rsid w:val="007C0D01"/>
    <w:rsid w:val="007C13F1"/>
    <w:rsid w:val="007C1E08"/>
    <w:rsid w:val="007C5286"/>
    <w:rsid w:val="007C5B4F"/>
    <w:rsid w:val="007C5FAE"/>
    <w:rsid w:val="007C68A4"/>
    <w:rsid w:val="007C703F"/>
    <w:rsid w:val="007D0359"/>
    <w:rsid w:val="007D1CC1"/>
    <w:rsid w:val="007D6E6F"/>
    <w:rsid w:val="007E2BEB"/>
    <w:rsid w:val="007E301B"/>
    <w:rsid w:val="007E6C0C"/>
    <w:rsid w:val="007F1006"/>
    <w:rsid w:val="007F549A"/>
    <w:rsid w:val="007F6088"/>
    <w:rsid w:val="007F7683"/>
    <w:rsid w:val="007F7F9B"/>
    <w:rsid w:val="0080000F"/>
    <w:rsid w:val="00800F49"/>
    <w:rsid w:val="00801905"/>
    <w:rsid w:val="00802574"/>
    <w:rsid w:val="00803042"/>
    <w:rsid w:val="008034F8"/>
    <w:rsid w:val="00803AB0"/>
    <w:rsid w:val="00803B4C"/>
    <w:rsid w:val="008042FB"/>
    <w:rsid w:val="008043C0"/>
    <w:rsid w:val="008044C2"/>
    <w:rsid w:val="00806A1D"/>
    <w:rsid w:val="00807516"/>
    <w:rsid w:val="0080756E"/>
    <w:rsid w:val="008075E5"/>
    <w:rsid w:val="00807B89"/>
    <w:rsid w:val="008106C1"/>
    <w:rsid w:val="00810F2C"/>
    <w:rsid w:val="008118AD"/>
    <w:rsid w:val="00812778"/>
    <w:rsid w:val="00812C75"/>
    <w:rsid w:val="0081390A"/>
    <w:rsid w:val="00813D71"/>
    <w:rsid w:val="00814EB6"/>
    <w:rsid w:val="00814EEE"/>
    <w:rsid w:val="00815B59"/>
    <w:rsid w:val="00823B41"/>
    <w:rsid w:val="0082499B"/>
    <w:rsid w:val="008254F9"/>
    <w:rsid w:val="00825F78"/>
    <w:rsid w:val="00826D89"/>
    <w:rsid w:val="0082700C"/>
    <w:rsid w:val="00827A37"/>
    <w:rsid w:val="00831354"/>
    <w:rsid w:val="00831855"/>
    <w:rsid w:val="008326EB"/>
    <w:rsid w:val="008327AB"/>
    <w:rsid w:val="00833988"/>
    <w:rsid w:val="00834459"/>
    <w:rsid w:val="00835736"/>
    <w:rsid w:val="00835D56"/>
    <w:rsid w:val="00837C66"/>
    <w:rsid w:val="008450BF"/>
    <w:rsid w:val="00847DD4"/>
    <w:rsid w:val="00851256"/>
    <w:rsid w:val="008520E2"/>
    <w:rsid w:val="00853537"/>
    <w:rsid w:val="008556A8"/>
    <w:rsid w:val="00857DFF"/>
    <w:rsid w:val="008603FF"/>
    <w:rsid w:val="008629B7"/>
    <w:rsid w:val="00862D9B"/>
    <w:rsid w:val="0086323A"/>
    <w:rsid w:val="00863D5A"/>
    <w:rsid w:val="00864F9E"/>
    <w:rsid w:val="00866078"/>
    <w:rsid w:val="00867C7F"/>
    <w:rsid w:val="00867FD1"/>
    <w:rsid w:val="008720F3"/>
    <w:rsid w:val="0087248E"/>
    <w:rsid w:val="00872DBB"/>
    <w:rsid w:val="00873EEA"/>
    <w:rsid w:val="00875B30"/>
    <w:rsid w:val="00876962"/>
    <w:rsid w:val="0087799B"/>
    <w:rsid w:val="00880FAF"/>
    <w:rsid w:val="008832BF"/>
    <w:rsid w:val="008877E5"/>
    <w:rsid w:val="0088797B"/>
    <w:rsid w:val="00890E25"/>
    <w:rsid w:val="00893ACF"/>
    <w:rsid w:val="00894509"/>
    <w:rsid w:val="008969F7"/>
    <w:rsid w:val="00896BFF"/>
    <w:rsid w:val="008A04A2"/>
    <w:rsid w:val="008A1F47"/>
    <w:rsid w:val="008A3F11"/>
    <w:rsid w:val="008A4885"/>
    <w:rsid w:val="008A6F64"/>
    <w:rsid w:val="008B0557"/>
    <w:rsid w:val="008B4110"/>
    <w:rsid w:val="008B41E5"/>
    <w:rsid w:val="008B4594"/>
    <w:rsid w:val="008B513E"/>
    <w:rsid w:val="008B591A"/>
    <w:rsid w:val="008B6BA7"/>
    <w:rsid w:val="008B74D3"/>
    <w:rsid w:val="008B7872"/>
    <w:rsid w:val="008B7E31"/>
    <w:rsid w:val="008C20AC"/>
    <w:rsid w:val="008C2AF7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4B25"/>
    <w:rsid w:val="008E6310"/>
    <w:rsid w:val="008E76B2"/>
    <w:rsid w:val="008E78D4"/>
    <w:rsid w:val="008F22DF"/>
    <w:rsid w:val="008F2AE2"/>
    <w:rsid w:val="008F348D"/>
    <w:rsid w:val="008F6414"/>
    <w:rsid w:val="008F6559"/>
    <w:rsid w:val="008F68E6"/>
    <w:rsid w:val="008F7ED4"/>
    <w:rsid w:val="00904237"/>
    <w:rsid w:val="009042B2"/>
    <w:rsid w:val="009059A0"/>
    <w:rsid w:val="00905EE7"/>
    <w:rsid w:val="00907414"/>
    <w:rsid w:val="00907D31"/>
    <w:rsid w:val="00910F5A"/>
    <w:rsid w:val="009128B1"/>
    <w:rsid w:val="009148B4"/>
    <w:rsid w:val="009173AC"/>
    <w:rsid w:val="00917DA2"/>
    <w:rsid w:val="009205AF"/>
    <w:rsid w:val="009247BA"/>
    <w:rsid w:val="00927F7D"/>
    <w:rsid w:val="00930132"/>
    <w:rsid w:val="00930D4E"/>
    <w:rsid w:val="00932857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480D"/>
    <w:rsid w:val="00954883"/>
    <w:rsid w:val="00957C0B"/>
    <w:rsid w:val="00960F35"/>
    <w:rsid w:val="00962401"/>
    <w:rsid w:val="009643B7"/>
    <w:rsid w:val="0096683E"/>
    <w:rsid w:val="009673AA"/>
    <w:rsid w:val="009720E5"/>
    <w:rsid w:val="00975401"/>
    <w:rsid w:val="0097559E"/>
    <w:rsid w:val="009805D1"/>
    <w:rsid w:val="00983A0C"/>
    <w:rsid w:val="0098562A"/>
    <w:rsid w:val="00985941"/>
    <w:rsid w:val="009875F1"/>
    <w:rsid w:val="009928C3"/>
    <w:rsid w:val="009939C2"/>
    <w:rsid w:val="009949CF"/>
    <w:rsid w:val="009951D1"/>
    <w:rsid w:val="00996579"/>
    <w:rsid w:val="009967DA"/>
    <w:rsid w:val="00996A28"/>
    <w:rsid w:val="00996CEC"/>
    <w:rsid w:val="009A1343"/>
    <w:rsid w:val="009A244B"/>
    <w:rsid w:val="009A29FA"/>
    <w:rsid w:val="009A3301"/>
    <w:rsid w:val="009A4CF8"/>
    <w:rsid w:val="009A5260"/>
    <w:rsid w:val="009A7E7C"/>
    <w:rsid w:val="009B08C9"/>
    <w:rsid w:val="009B1C03"/>
    <w:rsid w:val="009B2762"/>
    <w:rsid w:val="009B2BD5"/>
    <w:rsid w:val="009C0C46"/>
    <w:rsid w:val="009C6862"/>
    <w:rsid w:val="009C69D1"/>
    <w:rsid w:val="009C7467"/>
    <w:rsid w:val="009D04F8"/>
    <w:rsid w:val="009D13BE"/>
    <w:rsid w:val="009D18FC"/>
    <w:rsid w:val="009D27F9"/>
    <w:rsid w:val="009D5542"/>
    <w:rsid w:val="009D5614"/>
    <w:rsid w:val="009D6BAB"/>
    <w:rsid w:val="009D7365"/>
    <w:rsid w:val="009E0D5D"/>
    <w:rsid w:val="009E0DBB"/>
    <w:rsid w:val="009E3ABE"/>
    <w:rsid w:val="009E5530"/>
    <w:rsid w:val="009F1238"/>
    <w:rsid w:val="009F1578"/>
    <w:rsid w:val="009F192E"/>
    <w:rsid w:val="009F3EB9"/>
    <w:rsid w:val="009F4403"/>
    <w:rsid w:val="009F6856"/>
    <w:rsid w:val="00A002B2"/>
    <w:rsid w:val="00A0390D"/>
    <w:rsid w:val="00A040B2"/>
    <w:rsid w:val="00A05877"/>
    <w:rsid w:val="00A05B14"/>
    <w:rsid w:val="00A05CB3"/>
    <w:rsid w:val="00A10C8D"/>
    <w:rsid w:val="00A11010"/>
    <w:rsid w:val="00A121BE"/>
    <w:rsid w:val="00A124BD"/>
    <w:rsid w:val="00A14CC5"/>
    <w:rsid w:val="00A1740D"/>
    <w:rsid w:val="00A2102A"/>
    <w:rsid w:val="00A21250"/>
    <w:rsid w:val="00A22106"/>
    <w:rsid w:val="00A228F1"/>
    <w:rsid w:val="00A237CC"/>
    <w:rsid w:val="00A239E9"/>
    <w:rsid w:val="00A24150"/>
    <w:rsid w:val="00A24E7E"/>
    <w:rsid w:val="00A263AC"/>
    <w:rsid w:val="00A26AB3"/>
    <w:rsid w:val="00A26FDC"/>
    <w:rsid w:val="00A27DE0"/>
    <w:rsid w:val="00A30469"/>
    <w:rsid w:val="00A305C0"/>
    <w:rsid w:val="00A30B2F"/>
    <w:rsid w:val="00A30CA2"/>
    <w:rsid w:val="00A311EC"/>
    <w:rsid w:val="00A31F47"/>
    <w:rsid w:val="00A3271C"/>
    <w:rsid w:val="00A3563F"/>
    <w:rsid w:val="00A35EB9"/>
    <w:rsid w:val="00A37834"/>
    <w:rsid w:val="00A379D0"/>
    <w:rsid w:val="00A406C2"/>
    <w:rsid w:val="00A40702"/>
    <w:rsid w:val="00A40E79"/>
    <w:rsid w:val="00A41D2C"/>
    <w:rsid w:val="00A42950"/>
    <w:rsid w:val="00A42CED"/>
    <w:rsid w:val="00A438DA"/>
    <w:rsid w:val="00A439D4"/>
    <w:rsid w:val="00A45531"/>
    <w:rsid w:val="00A45CA9"/>
    <w:rsid w:val="00A50F2A"/>
    <w:rsid w:val="00A5360E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0"/>
    <w:rsid w:val="00A6586C"/>
    <w:rsid w:val="00A6719F"/>
    <w:rsid w:val="00A702E2"/>
    <w:rsid w:val="00A72917"/>
    <w:rsid w:val="00A73806"/>
    <w:rsid w:val="00A738DB"/>
    <w:rsid w:val="00A752C3"/>
    <w:rsid w:val="00A76331"/>
    <w:rsid w:val="00A7654D"/>
    <w:rsid w:val="00A76AD3"/>
    <w:rsid w:val="00A778EF"/>
    <w:rsid w:val="00A77944"/>
    <w:rsid w:val="00A80C22"/>
    <w:rsid w:val="00A8239E"/>
    <w:rsid w:val="00A82C5F"/>
    <w:rsid w:val="00A82F55"/>
    <w:rsid w:val="00A857C9"/>
    <w:rsid w:val="00A866B8"/>
    <w:rsid w:val="00A91389"/>
    <w:rsid w:val="00A93662"/>
    <w:rsid w:val="00A9727D"/>
    <w:rsid w:val="00A97298"/>
    <w:rsid w:val="00A97EE7"/>
    <w:rsid w:val="00AA3CCC"/>
    <w:rsid w:val="00AA3E62"/>
    <w:rsid w:val="00AB082E"/>
    <w:rsid w:val="00AB0BBD"/>
    <w:rsid w:val="00AB0D0F"/>
    <w:rsid w:val="00AB18E2"/>
    <w:rsid w:val="00AB21A2"/>
    <w:rsid w:val="00AB3114"/>
    <w:rsid w:val="00AB3259"/>
    <w:rsid w:val="00AB396A"/>
    <w:rsid w:val="00AB3C56"/>
    <w:rsid w:val="00AB3E03"/>
    <w:rsid w:val="00AB5007"/>
    <w:rsid w:val="00AB6449"/>
    <w:rsid w:val="00AB64A7"/>
    <w:rsid w:val="00AC04BB"/>
    <w:rsid w:val="00AC1695"/>
    <w:rsid w:val="00AC2041"/>
    <w:rsid w:val="00AC2C84"/>
    <w:rsid w:val="00AC4171"/>
    <w:rsid w:val="00AC4303"/>
    <w:rsid w:val="00AC4B47"/>
    <w:rsid w:val="00AC4CF0"/>
    <w:rsid w:val="00AC6350"/>
    <w:rsid w:val="00AC75DC"/>
    <w:rsid w:val="00AC7A49"/>
    <w:rsid w:val="00AD10B5"/>
    <w:rsid w:val="00AD374F"/>
    <w:rsid w:val="00AD3B4E"/>
    <w:rsid w:val="00AD3B5E"/>
    <w:rsid w:val="00AD54DB"/>
    <w:rsid w:val="00AD5C27"/>
    <w:rsid w:val="00AD64EA"/>
    <w:rsid w:val="00AD6E31"/>
    <w:rsid w:val="00AE2702"/>
    <w:rsid w:val="00AE4737"/>
    <w:rsid w:val="00AE5580"/>
    <w:rsid w:val="00AE5980"/>
    <w:rsid w:val="00AE5EDF"/>
    <w:rsid w:val="00AE6670"/>
    <w:rsid w:val="00AE7410"/>
    <w:rsid w:val="00AE7D1E"/>
    <w:rsid w:val="00AF1121"/>
    <w:rsid w:val="00AF25ED"/>
    <w:rsid w:val="00AF4C8A"/>
    <w:rsid w:val="00AF72A3"/>
    <w:rsid w:val="00AF74B0"/>
    <w:rsid w:val="00B00592"/>
    <w:rsid w:val="00B00C20"/>
    <w:rsid w:val="00B00F5A"/>
    <w:rsid w:val="00B014AA"/>
    <w:rsid w:val="00B01E92"/>
    <w:rsid w:val="00B0201E"/>
    <w:rsid w:val="00B02197"/>
    <w:rsid w:val="00B034ED"/>
    <w:rsid w:val="00B03FC2"/>
    <w:rsid w:val="00B044AE"/>
    <w:rsid w:val="00B0751F"/>
    <w:rsid w:val="00B11F40"/>
    <w:rsid w:val="00B12ADD"/>
    <w:rsid w:val="00B139C1"/>
    <w:rsid w:val="00B146CB"/>
    <w:rsid w:val="00B15399"/>
    <w:rsid w:val="00B21920"/>
    <w:rsid w:val="00B22EE5"/>
    <w:rsid w:val="00B232F6"/>
    <w:rsid w:val="00B23442"/>
    <w:rsid w:val="00B265C9"/>
    <w:rsid w:val="00B26D2F"/>
    <w:rsid w:val="00B30FA5"/>
    <w:rsid w:val="00B3112C"/>
    <w:rsid w:val="00B327E3"/>
    <w:rsid w:val="00B33686"/>
    <w:rsid w:val="00B36484"/>
    <w:rsid w:val="00B37CD6"/>
    <w:rsid w:val="00B41C57"/>
    <w:rsid w:val="00B42F1B"/>
    <w:rsid w:val="00B46E65"/>
    <w:rsid w:val="00B4788F"/>
    <w:rsid w:val="00B50CF8"/>
    <w:rsid w:val="00B52143"/>
    <w:rsid w:val="00B543B5"/>
    <w:rsid w:val="00B57046"/>
    <w:rsid w:val="00B5778A"/>
    <w:rsid w:val="00B60932"/>
    <w:rsid w:val="00B6203C"/>
    <w:rsid w:val="00B62237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862A6"/>
    <w:rsid w:val="00B8639D"/>
    <w:rsid w:val="00B90471"/>
    <w:rsid w:val="00B93D2E"/>
    <w:rsid w:val="00B94743"/>
    <w:rsid w:val="00B949E0"/>
    <w:rsid w:val="00B94A36"/>
    <w:rsid w:val="00B967A4"/>
    <w:rsid w:val="00BA28F9"/>
    <w:rsid w:val="00BA2B7C"/>
    <w:rsid w:val="00BA2D5F"/>
    <w:rsid w:val="00BA2F61"/>
    <w:rsid w:val="00BA32F1"/>
    <w:rsid w:val="00BA6AD7"/>
    <w:rsid w:val="00BA6C28"/>
    <w:rsid w:val="00BA7EF2"/>
    <w:rsid w:val="00BB03F1"/>
    <w:rsid w:val="00BB1DCF"/>
    <w:rsid w:val="00BB3E60"/>
    <w:rsid w:val="00BB4210"/>
    <w:rsid w:val="00BB6D5E"/>
    <w:rsid w:val="00BB7373"/>
    <w:rsid w:val="00BC05DE"/>
    <w:rsid w:val="00BC17BA"/>
    <w:rsid w:val="00BC2986"/>
    <w:rsid w:val="00BC4040"/>
    <w:rsid w:val="00BC4754"/>
    <w:rsid w:val="00BC488E"/>
    <w:rsid w:val="00BC4E55"/>
    <w:rsid w:val="00BC7198"/>
    <w:rsid w:val="00BC736D"/>
    <w:rsid w:val="00BD2982"/>
    <w:rsid w:val="00BD2A85"/>
    <w:rsid w:val="00BD3574"/>
    <w:rsid w:val="00BD7AD8"/>
    <w:rsid w:val="00BE114C"/>
    <w:rsid w:val="00BE29D9"/>
    <w:rsid w:val="00BE2A20"/>
    <w:rsid w:val="00BE2DF2"/>
    <w:rsid w:val="00BE540C"/>
    <w:rsid w:val="00BE55DC"/>
    <w:rsid w:val="00BE5DF1"/>
    <w:rsid w:val="00BE6AD3"/>
    <w:rsid w:val="00BE6C26"/>
    <w:rsid w:val="00BE75B6"/>
    <w:rsid w:val="00BF0041"/>
    <w:rsid w:val="00BF4602"/>
    <w:rsid w:val="00BF5B1B"/>
    <w:rsid w:val="00BF5F0E"/>
    <w:rsid w:val="00BF6B6C"/>
    <w:rsid w:val="00BF6D6A"/>
    <w:rsid w:val="00C00A73"/>
    <w:rsid w:val="00C0177A"/>
    <w:rsid w:val="00C02412"/>
    <w:rsid w:val="00C02EA8"/>
    <w:rsid w:val="00C05BC6"/>
    <w:rsid w:val="00C05C65"/>
    <w:rsid w:val="00C064C8"/>
    <w:rsid w:val="00C06C5D"/>
    <w:rsid w:val="00C07DEC"/>
    <w:rsid w:val="00C10D9D"/>
    <w:rsid w:val="00C115C2"/>
    <w:rsid w:val="00C1172B"/>
    <w:rsid w:val="00C11AB0"/>
    <w:rsid w:val="00C1216D"/>
    <w:rsid w:val="00C1257C"/>
    <w:rsid w:val="00C126FD"/>
    <w:rsid w:val="00C127FA"/>
    <w:rsid w:val="00C1394E"/>
    <w:rsid w:val="00C15873"/>
    <w:rsid w:val="00C16318"/>
    <w:rsid w:val="00C1659D"/>
    <w:rsid w:val="00C17576"/>
    <w:rsid w:val="00C2062C"/>
    <w:rsid w:val="00C207DA"/>
    <w:rsid w:val="00C21194"/>
    <w:rsid w:val="00C213C2"/>
    <w:rsid w:val="00C217DF"/>
    <w:rsid w:val="00C227EC"/>
    <w:rsid w:val="00C238D8"/>
    <w:rsid w:val="00C24FE9"/>
    <w:rsid w:val="00C263F4"/>
    <w:rsid w:val="00C31329"/>
    <w:rsid w:val="00C313A3"/>
    <w:rsid w:val="00C31441"/>
    <w:rsid w:val="00C323AA"/>
    <w:rsid w:val="00C328CC"/>
    <w:rsid w:val="00C34610"/>
    <w:rsid w:val="00C34E35"/>
    <w:rsid w:val="00C409A5"/>
    <w:rsid w:val="00C437BE"/>
    <w:rsid w:val="00C45B5E"/>
    <w:rsid w:val="00C46294"/>
    <w:rsid w:val="00C46F97"/>
    <w:rsid w:val="00C471C4"/>
    <w:rsid w:val="00C47E4A"/>
    <w:rsid w:val="00C50FF3"/>
    <w:rsid w:val="00C51F57"/>
    <w:rsid w:val="00C53DF4"/>
    <w:rsid w:val="00C543AF"/>
    <w:rsid w:val="00C5647F"/>
    <w:rsid w:val="00C56A46"/>
    <w:rsid w:val="00C57E87"/>
    <w:rsid w:val="00C61F25"/>
    <w:rsid w:val="00C63EA7"/>
    <w:rsid w:val="00C646A8"/>
    <w:rsid w:val="00C6547C"/>
    <w:rsid w:val="00C6566B"/>
    <w:rsid w:val="00C66147"/>
    <w:rsid w:val="00C663C0"/>
    <w:rsid w:val="00C671BA"/>
    <w:rsid w:val="00C72800"/>
    <w:rsid w:val="00C73A6D"/>
    <w:rsid w:val="00C745ED"/>
    <w:rsid w:val="00C75E67"/>
    <w:rsid w:val="00C7645F"/>
    <w:rsid w:val="00C76B8E"/>
    <w:rsid w:val="00C77935"/>
    <w:rsid w:val="00C80B2D"/>
    <w:rsid w:val="00C80DDE"/>
    <w:rsid w:val="00C8199C"/>
    <w:rsid w:val="00C82156"/>
    <w:rsid w:val="00C83355"/>
    <w:rsid w:val="00C840D8"/>
    <w:rsid w:val="00C84E10"/>
    <w:rsid w:val="00C85349"/>
    <w:rsid w:val="00C86AF1"/>
    <w:rsid w:val="00C875A0"/>
    <w:rsid w:val="00C87D99"/>
    <w:rsid w:val="00C9029F"/>
    <w:rsid w:val="00C9039F"/>
    <w:rsid w:val="00C92111"/>
    <w:rsid w:val="00C923AD"/>
    <w:rsid w:val="00C92477"/>
    <w:rsid w:val="00C92557"/>
    <w:rsid w:val="00C92A32"/>
    <w:rsid w:val="00C92F8A"/>
    <w:rsid w:val="00C94113"/>
    <w:rsid w:val="00C9668B"/>
    <w:rsid w:val="00C96C49"/>
    <w:rsid w:val="00CA1EE9"/>
    <w:rsid w:val="00CA27B7"/>
    <w:rsid w:val="00CA2E95"/>
    <w:rsid w:val="00CA7572"/>
    <w:rsid w:val="00CA794C"/>
    <w:rsid w:val="00CA7F74"/>
    <w:rsid w:val="00CB0C32"/>
    <w:rsid w:val="00CB1248"/>
    <w:rsid w:val="00CB16D2"/>
    <w:rsid w:val="00CB1DFC"/>
    <w:rsid w:val="00CB2D65"/>
    <w:rsid w:val="00CB3C5F"/>
    <w:rsid w:val="00CB5442"/>
    <w:rsid w:val="00CB6246"/>
    <w:rsid w:val="00CB785C"/>
    <w:rsid w:val="00CC0759"/>
    <w:rsid w:val="00CC2095"/>
    <w:rsid w:val="00CC3160"/>
    <w:rsid w:val="00CC6953"/>
    <w:rsid w:val="00CC6B46"/>
    <w:rsid w:val="00CD1528"/>
    <w:rsid w:val="00CD2A69"/>
    <w:rsid w:val="00CD2DBF"/>
    <w:rsid w:val="00CD31C5"/>
    <w:rsid w:val="00CD3B74"/>
    <w:rsid w:val="00CD4E24"/>
    <w:rsid w:val="00CD6207"/>
    <w:rsid w:val="00CD6B6C"/>
    <w:rsid w:val="00CD72A6"/>
    <w:rsid w:val="00CE1AA9"/>
    <w:rsid w:val="00CE39B8"/>
    <w:rsid w:val="00CE4A83"/>
    <w:rsid w:val="00CE4BBF"/>
    <w:rsid w:val="00CE4BFE"/>
    <w:rsid w:val="00CE525E"/>
    <w:rsid w:val="00CE7766"/>
    <w:rsid w:val="00CF1591"/>
    <w:rsid w:val="00CF1689"/>
    <w:rsid w:val="00CF3DAC"/>
    <w:rsid w:val="00CF4344"/>
    <w:rsid w:val="00CF5164"/>
    <w:rsid w:val="00CF55E6"/>
    <w:rsid w:val="00CF5B88"/>
    <w:rsid w:val="00CF72D7"/>
    <w:rsid w:val="00D00689"/>
    <w:rsid w:val="00D014A6"/>
    <w:rsid w:val="00D015A4"/>
    <w:rsid w:val="00D01970"/>
    <w:rsid w:val="00D02F69"/>
    <w:rsid w:val="00D044FB"/>
    <w:rsid w:val="00D108BF"/>
    <w:rsid w:val="00D1092B"/>
    <w:rsid w:val="00D11DB8"/>
    <w:rsid w:val="00D1423F"/>
    <w:rsid w:val="00D14B43"/>
    <w:rsid w:val="00D167D0"/>
    <w:rsid w:val="00D177A0"/>
    <w:rsid w:val="00D20092"/>
    <w:rsid w:val="00D200B4"/>
    <w:rsid w:val="00D2293A"/>
    <w:rsid w:val="00D22E65"/>
    <w:rsid w:val="00D22EAF"/>
    <w:rsid w:val="00D2430E"/>
    <w:rsid w:val="00D251B7"/>
    <w:rsid w:val="00D26410"/>
    <w:rsid w:val="00D2717B"/>
    <w:rsid w:val="00D3078B"/>
    <w:rsid w:val="00D3118E"/>
    <w:rsid w:val="00D32E8F"/>
    <w:rsid w:val="00D34BC5"/>
    <w:rsid w:val="00D35B04"/>
    <w:rsid w:val="00D36BA1"/>
    <w:rsid w:val="00D36C76"/>
    <w:rsid w:val="00D37F07"/>
    <w:rsid w:val="00D41BB8"/>
    <w:rsid w:val="00D444E3"/>
    <w:rsid w:val="00D50850"/>
    <w:rsid w:val="00D50A29"/>
    <w:rsid w:val="00D52AFA"/>
    <w:rsid w:val="00D54285"/>
    <w:rsid w:val="00D5566B"/>
    <w:rsid w:val="00D6102D"/>
    <w:rsid w:val="00D61CC2"/>
    <w:rsid w:val="00D63381"/>
    <w:rsid w:val="00D643F8"/>
    <w:rsid w:val="00D64F3A"/>
    <w:rsid w:val="00D67892"/>
    <w:rsid w:val="00D7119E"/>
    <w:rsid w:val="00D71BF6"/>
    <w:rsid w:val="00D72BF8"/>
    <w:rsid w:val="00D74E8B"/>
    <w:rsid w:val="00D7590F"/>
    <w:rsid w:val="00D75ED8"/>
    <w:rsid w:val="00D7685A"/>
    <w:rsid w:val="00D8199F"/>
    <w:rsid w:val="00D85656"/>
    <w:rsid w:val="00D85FA1"/>
    <w:rsid w:val="00D9075B"/>
    <w:rsid w:val="00D93522"/>
    <w:rsid w:val="00D93A1A"/>
    <w:rsid w:val="00D93E50"/>
    <w:rsid w:val="00DA008B"/>
    <w:rsid w:val="00DA0143"/>
    <w:rsid w:val="00DA0378"/>
    <w:rsid w:val="00DA0EA5"/>
    <w:rsid w:val="00DA1664"/>
    <w:rsid w:val="00DA258B"/>
    <w:rsid w:val="00DA33AC"/>
    <w:rsid w:val="00DA4793"/>
    <w:rsid w:val="00DA4D73"/>
    <w:rsid w:val="00DA6B56"/>
    <w:rsid w:val="00DB13D3"/>
    <w:rsid w:val="00DB4283"/>
    <w:rsid w:val="00DB62E8"/>
    <w:rsid w:val="00DB63ED"/>
    <w:rsid w:val="00DB65A3"/>
    <w:rsid w:val="00DB6B75"/>
    <w:rsid w:val="00DB78FC"/>
    <w:rsid w:val="00DB7E4B"/>
    <w:rsid w:val="00DC0F37"/>
    <w:rsid w:val="00DC18AE"/>
    <w:rsid w:val="00DC2B59"/>
    <w:rsid w:val="00DC57CD"/>
    <w:rsid w:val="00DC58F4"/>
    <w:rsid w:val="00DC5BFB"/>
    <w:rsid w:val="00DC6912"/>
    <w:rsid w:val="00DD3EA6"/>
    <w:rsid w:val="00DD588C"/>
    <w:rsid w:val="00DD5CF9"/>
    <w:rsid w:val="00DE0022"/>
    <w:rsid w:val="00DE08B3"/>
    <w:rsid w:val="00DE1D8B"/>
    <w:rsid w:val="00DE251A"/>
    <w:rsid w:val="00DE2927"/>
    <w:rsid w:val="00DE29A8"/>
    <w:rsid w:val="00DE2C1D"/>
    <w:rsid w:val="00DE4533"/>
    <w:rsid w:val="00DE49E1"/>
    <w:rsid w:val="00DE596C"/>
    <w:rsid w:val="00DE7206"/>
    <w:rsid w:val="00DE747D"/>
    <w:rsid w:val="00DF0CB9"/>
    <w:rsid w:val="00DF172C"/>
    <w:rsid w:val="00DF5286"/>
    <w:rsid w:val="00DF571E"/>
    <w:rsid w:val="00DF725E"/>
    <w:rsid w:val="00DF7FFC"/>
    <w:rsid w:val="00E01D1F"/>
    <w:rsid w:val="00E055E6"/>
    <w:rsid w:val="00E05B3F"/>
    <w:rsid w:val="00E06A0A"/>
    <w:rsid w:val="00E06A9D"/>
    <w:rsid w:val="00E07146"/>
    <w:rsid w:val="00E0783E"/>
    <w:rsid w:val="00E10F82"/>
    <w:rsid w:val="00E14884"/>
    <w:rsid w:val="00E15BCE"/>
    <w:rsid w:val="00E15F80"/>
    <w:rsid w:val="00E23775"/>
    <w:rsid w:val="00E238C6"/>
    <w:rsid w:val="00E265D7"/>
    <w:rsid w:val="00E26DB0"/>
    <w:rsid w:val="00E277FE"/>
    <w:rsid w:val="00E310F5"/>
    <w:rsid w:val="00E31292"/>
    <w:rsid w:val="00E315FC"/>
    <w:rsid w:val="00E3180A"/>
    <w:rsid w:val="00E352A5"/>
    <w:rsid w:val="00E35E2E"/>
    <w:rsid w:val="00E364A7"/>
    <w:rsid w:val="00E36B78"/>
    <w:rsid w:val="00E3732F"/>
    <w:rsid w:val="00E40C21"/>
    <w:rsid w:val="00E40DD3"/>
    <w:rsid w:val="00E410F8"/>
    <w:rsid w:val="00E41313"/>
    <w:rsid w:val="00E4260A"/>
    <w:rsid w:val="00E42FFF"/>
    <w:rsid w:val="00E433F1"/>
    <w:rsid w:val="00E442CC"/>
    <w:rsid w:val="00E46236"/>
    <w:rsid w:val="00E47469"/>
    <w:rsid w:val="00E478CC"/>
    <w:rsid w:val="00E570B7"/>
    <w:rsid w:val="00E573AC"/>
    <w:rsid w:val="00E579E2"/>
    <w:rsid w:val="00E6120F"/>
    <w:rsid w:val="00E63092"/>
    <w:rsid w:val="00E63A7C"/>
    <w:rsid w:val="00E65AC2"/>
    <w:rsid w:val="00E66116"/>
    <w:rsid w:val="00E66533"/>
    <w:rsid w:val="00E70BF6"/>
    <w:rsid w:val="00E712AF"/>
    <w:rsid w:val="00E714C7"/>
    <w:rsid w:val="00E74653"/>
    <w:rsid w:val="00E7489D"/>
    <w:rsid w:val="00E753E2"/>
    <w:rsid w:val="00E75455"/>
    <w:rsid w:val="00E7548B"/>
    <w:rsid w:val="00E75C04"/>
    <w:rsid w:val="00E768ED"/>
    <w:rsid w:val="00E76C1B"/>
    <w:rsid w:val="00E7711C"/>
    <w:rsid w:val="00E773FF"/>
    <w:rsid w:val="00E77A3D"/>
    <w:rsid w:val="00E77E13"/>
    <w:rsid w:val="00E80627"/>
    <w:rsid w:val="00E817BE"/>
    <w:rsid w:val="00E82046"/>
    <w:rsid w:val="00E82472"/>
    <w:rsid w:val="00E956CF"/>
    <w:rsid w:val="00E957A3"/>
    <w:rsid w:val="00EA114E"/>
    <w:rsid w:val="00EA1341"/>
    <w:rsid w:val="00EA18D8"/>
    <w:rsid w:val="00EA1B2E"/>
    <w:rsid w:val="00EA1C66"/>
    <w:rsid w:val="00EA3E1D"/>
    <w:rsid w:val="00EA3EE2"/>
    <w:rsid w:val="00EA73F8"/>
    <w:rsid w:val="00EB3612"/>
    <w:rsid w:val="00EB36C0"/>
    <w:rsid w:val="00EB4D1D"/>
    <w:rsid w:val="00EB7ABD"/>
    <w:rsid w:val="00EC21BE"/>
    <w:rsid w:val="00EC3938"/>
    <w:rsid w:val="00EC4D13"/>
    <w:rsid w:val="00EC4F17"/>
    <w:rsid w:val="00EC643A"/>
    <w:rsid w:val="00EC6B5C"/>
    <w:rsid w:val="00EC71D8"/>
    <w:rsid w:val="00ED244D"/>
    <w:rsid w:val="00ED7ED8"/>
    <w:rsid w:val="00EE0E86"/>
    <w:rsid w:val="00EE1465"/>
    <w:rsid w:val="00EE36E8"/>
    <w:rsid w:val="00EE49E7"/>
    <w:rsid w:val="00EE54B9"/>
    <w:rsid w:val="00EE5707"/>
    <w:rsid w:val="00EE5A67"/>
    <w:rsid w:val="00EF11B5"/>
    <w:rsid w:val="00EF11E1"/>
    <w:rsid w:val="00EF4E2A"/>
    <w:rsid w:val="00EF53BF"/>
    <w:rsid w:val="00EF5406"/>
    <w:rsid w:val="00EF5E63"/>
    <w:rsid w:val="00EF5E88"/>
    <w:rsid w:val="00EF7E9B"/>
    <w:rsid w:val="00F0134F"/>
    <w:rsid w:val="00F0366B"/>
    <w:rsid w:val="00F04440"/>
    <w:rsid w:val="00F05747"/>
    <w:rsid w:val="00F05DDD"/>
    <w:rsid w:val="00F07DC3"/>
    <w:rsid w:val="00F07E01"/>
    <w:rsid w:val="00F11361"/>
    <w:rsid w:val="00F1198E"/>
    <w:rsid w:val="00F12B0C"/>
    <w:rsid w:val="00F13AC6"/>
    <w:rsid w:val="00F14210"/>
    <w:rsid w:val="00F14231"/>
    <w:rsid w:val="00F14EA5"/>
    <w:rsid w:val="00F15CD5"/>
    <w:rsid w:val="00F16059"/>
    <w:rsid w:val="00F16393"/>
    <w:rsid w:val="00F1737B"/>
    <w:rsid w:val="00F17C14"/>
    <w:rsid w:val="00F20C42"/>
    <w:rsid w:val="00F210BE"/>
    <w:rsid w:val="00F21EC9"/>
    <w:rsid w:val="00F2533F"/>
    <w:rsid w:val="00F25D36"/>
    <w:rsid w:val="00F30EEE"/>
    <w:rsid w:val="00F3121D"/>
    <w:rsid w:val="00F31225"/>
    <w:rsid w:val="00F329AB"/>
    <w:rsid w:val="00F3483C"/>
    <w:rsid w:val="00F348CF"/>
    <w:rsid w:val="00F35E47"/>
    <w:rsid w:val="00F364CB"/>
    <w:rsid w:val="00F36D7A"/>
    <w:rsid w:val="00F37592"/>
    <w:rsid w:val="00F400A4"/>
    <w:rsid w:val="00F400EF"/>
    <w:rsid w:val="00F41ECD"/>
    <w:rsid w:val="00F41EF2"/>
    <w:rsid w:val="00F42218"/>
    <w:rsid w:val="00F43D14"/>
    <w:rsid w:val="00F44B31"/>
    <w:rsid w:val="00F45ABD"/>
    <w:rsid w:val="00F46705"/>
    <w:rsid w:val="00F46CFF"/>
    <w:rsid w:val="00F47F82"/>
    <w:rsid w:val="00F50457"/>
    <w:rsid w:val="00F504A8"/>
    <w:rsid w:val="00F515E6"/>
    <w:rsid w:val="00F51E7E"/>
    <w:rsid w:val="00F52BFF"/>
    <w:rsid w:val="00F538A1"/>
    <w:rsid w:val="00F53E64"/>
    <w:rsid w:val="00F540B3"/>
    <w:rsid w:val="00F54127"/>
    <w:rsid w:val="00F545EB"/>
    <w:rsid w:val="00F54926"/>
    <w:rsid w:val="00F56218"/>
    <w:rsid w:val="00F56615"/>
    <w:rsid w:val="00F57150"/>
    <w:rsid w:val="00F601E2"/>
    <w:rsid w:val="00F62897"/>
    <w:rsid w:val="00F631A1"/>
    <w:rsid w:val="00F6496C"/>
    <w:rsid w:val="00F673DE"/>
    <w:rsid w:val="00F676E2"/>
    <w:rsid w:val="00F67850"/>
    <w:rsid w:val="00F71556"/>
    <w:rsid w:val="00F71A80"/>
    <w:rsid w:val="00F72E68"/>
    <w:rsid w:val="00F73845"/>
    <w:rsid w:val="00F7451B"/>
    <w:rsid w:val="00F76366"/>
    <w:rsid w:val="00F76BB6"/>
    <w:rsid w:val="00F807B4"/>
    <w:rsid w:val="00F82439"/>
    <w:rsid w:val="00F834B3"/>
    <w:rsid w:val="00F85300"/>
    <w:rsid w:val="00F86761"/>
    <w:rsid w:val="00F87AFD"/>
    <w:rsid w:val="00F90B8D"/>
    <w:rsid w:val="00F9109B"/>
    <w:rsid w:val="00F92885"/>
    <w:rsid w:val="00F93B56"/>
    <w:rsid w:val="00F95BEA"/>
    <w:rsid w:val="00F967D7"/>
    <w:rsid w:val="00FA1B12"/>
    <w:rsid w:val="00FA1ED8"/>
    <w:rsid w:val="00FA2ABF"/>
    <w:rsid w:val="00FA4CC6"/>
    <w:rsid w:val="00FB0353"/>
    <w:rsid w:val="00FB2995"/>
    <w:rsid w:val="00FB3BEA"/>
    <w:rsid w:val="00FB49DA"/>
    <w:rsid w:val="00FB5748"/>
    <w:rsid w:val="00FB5DAB"/>
    <w:rsid w:val="00FB67B6"/>
    <w:rsid w:val="00FB6ACA"/>
    <w:rsid w:val="00FC2B50"/>
    <w:rsid w:val="00FC2C83"/>
    <w:rsid w:val="00FC3883"/>
    <w:rsid w:val="00FC3E07"/>
    <w:rsid w:val="00FC52E0"/>
    <w:rsid w:val="00FC6061"/>
    <w:rsid w:val="00FC7350"/>
    <w:rsid w:val="00FC7517"/>
    <w:rsid w:val="00FC791D"/>
    <w:rsid w:val="00FD0EEF"/>
    <w:rsid w:val="00FD1232"/>
    <w:rsid w:val="00FD2908"/>
    <w:rsid w:val="00FD3A12"/>
    <w:rsid w:val="00FD3AC0"/>
    <w:rsid w:val="00FD59F8"/>
    <w:rsid w:val="00FD662D"/>
    <w:rsid w:val="00FD7138"/>
    <w:rsid w:val="00FD766A"/>
    <w:rsid w:val="00FD7896"/>
    <w:rsid w:val="00FE0D43"/>
    <w:rsid w:val="00FE13CD"/>
    <w:rsid w:val="00FE19A6"/>
    <w:rsid w:val="00FE1D8F"/>
    <w:rsid w:val="00FE1E79"/>
    <w:rsid w:val="00FE382C"/>
    <w:rsid w:val="00FE5BFC"/>
    <w:rsid w:val="00FF1F7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849A"/>
  <w15:docId w15:val="{7FA546BC-E8CF-5B40-BC72-1BC75507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F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79C2"/>
    <w:pPr>
      <w:keepNext/>
      <w:keepLines/>
      <w:numPr>
        <w:numId w:val="26"/>
      </w:numPr>
      <w:spacing w:before="0" w:after="360"/>
      <w:contextualSpacing/>
      <w:outlineLvl w:val="0"/>
    </w:pPr>
    <w:rPr>
      <w:rFonts w:asciiTheme="majorHAnsi" w:hAnsiTheme="majorHAnsi"/>
      <w:bCs/>
      <w:sz w:val="30"/>
      <w:szCs w:val="4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139C1"/>
    <w:pPr>
      <w:keepNext/>
      <w:keepLines/>
      <w:spacing w:before="240" w:after="240"/>
      <w:contextualSpacing/>
      <w:outlineLvl w:val="1"/>
    </w:pPr>
    <w:rPr>
      <w:rFonts w:asciiTheme="majorHAnsi" w:hAnsiTheme="majorHAnsi"/>
      <w:b/>
      <w:sz w:val="26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5529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235529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138D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color w:val="auto"/>
      <w:sz w:val="20"/>
    </w:rPr>
  </w:style>
  <w:style w:type="paragraph" w:styleId="Heading6">
    <w:name w:val="heading 6"/>
    <w:basedOn w:val="Normal"/>
    <w:next w:val="Normal"/>
    <w:link w:val="Heading6Char"/>
    <w:autoRedefine/>
    <w:uiPriority w:val="9"/>
    <w:qFormat/>
    <w:rsid w:val="007E2BEB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qFormat/>
    <w:rsid w:val="00496CCB"/>
    <w:pPr>
      <w:tabs>
        <w:tab w:val="right" w:pos="9184"/>
      </w:tabs>
      <w:spacing w:before="360" w:after="360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496CC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C7517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C7517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847DD4"/>
    <w:rPr>
      <w:sz w:val="64"/>
    </w:rPr>
  </w:style>
  <w:style w:type="character" w:customStyle="1" w:styleId="TitleChar">
    <w:name w:val="Title Char"/>
    <w:basedOn w:val="DefaultParagraphFont"/>
    <w:link w:val="Title"/>
    <w:uiPriority w:val="17"/>
    <w:rsid w:val="00847DD4"/>
    <w:rPr>
      <w:sz w:val="64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004C6E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C79C2"/>
    <w:rPr>
      <w:rFonts w:asciiTheme="majorHAnsi" w:eastAsiaTheme="minorEastAsia" w:hAnsiTheme="majorHAnsi"/>
      <w:bCs/>
      <w:sz w:val="30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39C1"/>
    <w:rPr>
      <w:rFonts w:asciiTheme="majorHAnsi" w:hAnsiTheme="majorHAnsi"/>
      <w:b/>
      <w:sz w:val="26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5529"/>
    <w:rPr>
      <w:rFonts w:asciiTheme="majorHAnsi" w:hAnsiTheme="majorHAnsi"/>
      <w:b/>
      <w:color w:val="auto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 w:val="0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F54926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4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9D13BE"/>
    <w:pPr>
      <w:spacing w:line="240" w:lineRule="auto"/>
    </w:pPr>
    <w:rPr>
      <w:sz w:val="20"/>
    </w:rPr>
    <w:tblPr>
      <w:tblStyleRowBandSize w:val="1"/>
      <w:tblBorders>
        <w:top w:val="single" w:sz="4" w:space="0" w:color="D8F4F8" w:themeColor="background2"/>
        <w:bottom w:val="single" w:sz="4" w:space="0" w:color="D8F4F8" w:themeColor="background2"/>
        <w:insideH w:val="single" w:sz="4" w:space="0" w:color="D8F4F8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C6E" w:themeFill="accent1"/>
      </w:tcPr>
    </w:tblStylePr>
    <w:tblStylePr w:type="band2Horz">
      <w:tblPr/>
      <w:tcPr>
        <w:shd w:val="clear" w:color="auto" w:fill="D8F4F8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003852" w:themeColor="accent1" w:themeShade="BF"/>
    </w:rPr>
    <w:tblPr>
      <w:tblStyleRowBandSize w:val="1"/>
      <w:tblStyleColBandSize w:val="1"/>
      <w:tblBorders>
        <w:top w:val="single" w:sz="8" w:space="0" w:color="004C6E" w:themeColor="accent1"/>
        <w:bottom w:val="single" w:sz="8" w:space="0" w:color="004C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E" w:themeColor="accent1"/>
          <w:left w:val="nil"/>
          <w:bottom w:val="single" w:sz="8" w:space="0" w:color="004C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E" w:themeColor="accent1"/>
          <w:left w:val="nil"/>
          <w:bottom w:val="single" w:sz="8" w:space="0" w:color="004C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0FF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B1E8F0" w:themeColor="text2"/>
        <w:between w:val="single" w:sz="4" w:space="4" w:color="B1E8F0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5529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8556A8"/>
    <w:pPr>
      <w:keepNext/>
      <w:keepLines/>
      <w:numPr>
        <w:numId w:val="3"/>
      </w:numPr>
      <w:spacing w:before="360" w:line="240" w:lineRule="auto"/>
      <w:ind w:left="357" w:hanging="357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A7E0EB" w:themeColor="accent4" w:themeTint="99"/>
        <w:bottom w:val="single" w:sz="4" w:space="0" w:color="A7E0EB" w:themeColor="accent4" w:themeTint="99"/>
        <w:insideH w:val="single" w:sz="4" w:space="0" w:color="A7E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F8" w:themeFill="accent4" w:themeFillTint="33"/>
      </w:tcPr>
    </w:tblStylePr>
    <w:tblStylePr w:type="band1Horz">
      <w:tblPr/>
      <w:tcPr>
        <w:shd w:val="clear" w:color="auto" w:fill="E1F4F8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138DF"/>
    <w:rPr>
      <w:rFonts w:asciiTheme="majorHAnsi" w:eastAsiaTheme="majorEastAsia" w:hAnsiTheme="majorHAnsi" w:cstheme="majorBidi"/>
      <w:b/>
      <w:color w:val="auto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E2BEB"/>
    <w:rPr>
      <w:rFonts w:asciiTheme="majorHAnsi" w:eastAsiaTheme="majorEastAsia" w:hAnsiTheme="majorHAnsi" w:cstheme="majorBidi"/>
      <w:b/>
      <w:color w:val="auto"/>
      <w:sz w:val="20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A7E0EB" w:themeColor="accent4" w:themeTint="99"/>
        <w:left w:val="single" w:sz="4" w:space="0" w:color="A7E0EB" w:themeColor="accent4" w:themeTint="99"/>
        <w:bottom w:val="single" w:sz="4" w:space="0" w:color="A7E0EB" w:themeColor="accent4" w:themeTint="99"/>
        <w:right w:val="single" w:sz="4" w:space="0" w:color="A7E0EB" w:themeColor="accent4" w:themeTint="99"/>
        <w:insideH w:val="single" w:sz="4" w:space="0" w:color="A7E0EB" w:themeColor="accent4" w:themeTint="99"/>
        <w:insideV w:val="single" w:sz="4" w:space="0" w:color="A7E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CCDF" w:themeColor="accent4"/>
          <w:left w:val="single" w:sz="4" w:space="0" w:color="6ECCDF" w:themeColor="accent4"/>
          <w:bottom w:val="single" w:sz="4" w:space="0" w:color="6ECCDF" w:themeColor="accent4"/>
          <w:right w:val="single" w:sz="4" w:space="0" w:color="6ECCDF" w:themeColor="accent4"/>
          <w:insideH w:val="nil"/>
          <w:insideV w:val="nil"/>
        </w:tcBorders>
        <w:shd w:val="clear" w:color="auto" w:fill="6ECCDF" w:themeFill="accent4"/>
      </w:tcPr>
    </w:tblStylePr>
    <w:tblStylePr w:type="lastRow">
      <w:rPr>
        <w:b/>
        <w:bCs/>
      </w:rPr>
      <w:tblPr/>
      <w:tcPr>
        <w:tcBorders>
          <w:top w:val="double" w:sz="4" w:space="0" w:color="6ECC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F8" w:themeFill="accent4" w:themeFillTint="33"/>
      </w:tcPr>
    </w:tblStylePr>
    <w:tblStylePr w:type="band1Horz">
      <w:tblPr/>
      <w:tcPr>
        <w:shd w:val="clear" w:color="auto" w:fill="E1F4F8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autoRedefine/>
    <w:uiPriority w:val="11"/>
    <w:qFormat/>
    <w:rsid w:val="008720F3"/>
    <w:pPr>
      <w:spacing w:before="1920" w:after="360"/>
      <w:contextualSpacing/>
    </w:pPr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15873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ableCaption">
    <w:name w:val="Table Caption"/>
    <w:basedOn w:val="Caption"/>
    <w:link w:val="TableCaptionChar"/>
    <w:autoRedefine/>
    <w:qFormat/>
    <w:rsid w:val="002674EC"/>
    <w:pPr>
      <w:numPr>
        <w:numId w:val="6"/>
      </w:numPr>
      <w:ind w:left="0" w:firstLine="0"/>
    </w:pPr>
  </w:style>
  <w:style w:type="character" w:customStyle="1" w:styleId="CaptionChar">
    <w:name w:val="Caption Char"/>
    <w:basedOn w:val="DefaultParagraphFont"/>
    <w:link w:val="Caption"/>
    <w:uiPriority w:val="12"/>
    <w:rsid w:val="008556A8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2674EC"/>
    <w:rPr>
      <w:iCs/>
      <w:sz w:val="20"/>
    </w:rPr>
  </w:style>
  <w:style w:type="paragraph" w:customStyle="1" w:styleId="Docmenttag">
    <w:name w:val="Docment tag"/>
    <w:basedOn w:val="Subtitle"/>
    <w:qFormat/>
    <w:rsid w:val="00B4788F"/>
    <w:pPr>
      <w:spacing w:before="120" w:after="120"/>
    </w:pPr>
  </w:style>
  <w:style w:type="paragraph" w:customStyle="1" w:styleId="Box-head">
    <w:name w:val="Box - head"/>
    <w:basedOn w:val="Box-body"/>
    <w:qFormat/>
    <w:rsid w:val="00C92111"/>
    <w:rPr>
      <w:b/>
      <w:bCs/>
      <w:color w:val="004C6E"/>
      <w:sz w:val="26"/>
      <w:szCs w:val="26"/>
    </w:rPr>
  </w:style>
  <w:style w:type="paragraph" w:customStyle="1" w:styleId="Box-body">
    <w:name w:val="Box - body"/>
    <w:basedOn w:val="Normal"/>
    <w:qFormat/>
    <w:rsid w:val="00C92111"/>
    <w:pPr>
      <w:pBdr>
        <w:top w:val="single" w:sz="4" w:space="10" w:color="004C6E"/>
        <w:left w:val="single" w:sz="4" w:space="10" w:color="004C6E"/>
        <w:bottom w:val="single" w:sz="4" w:space="10" w:color="004C6E"/>
        <w:right w:val="single" w:sz="4" w:space="10" w:color="004C6E"/>
      </w:pBdr>
      <w:ind w:left="567" w:right="851"/>
    </w:pPr>
  </w:style>
  <w:style w:type="paragraph" w:customStyle="1" w:styleId="Maturityscaleheading">
    <w:name w:val="Maturity scale heading"/>
    <w:basedOn w:val="Heading3"/>
    <w:qFormat/>
    <w:rsid w:val="003C51C8"/>
    <w:pPr>
      <w:numPr>
        <w:numId w:val="14"/>
      </w:numPr>
      <w:ind w:left="426" w:hanging="426"/>
    </w:pPr>
  </w:style>
  <w:style w:type="paragraph" w:styleId="ListParagraph">
    <w:name w:val="List Paragraph"/>
    <w:basedOn w:val="Normal"/>
    <w:uiPriority w:val="34"/>
    <w:qFormat/>
    <w:rsid w:val="00514C92"/>
    <w:pPr>
      <w:ind w:left="720"/>
      <w:contextualSpacing/>
    </w:pPr>
  </w:style>
  <w:style w:type="paragraph" w:customStyle="1" w:styleId="TipText">
    <w:name w:val="Tip Text"/>
    <w:basedOn w:val="Normal"/>
    <w:uiPriority w:val="19"/>
    <w:rsid w:val="00514C92"/>
    <w:pPr>
      <w:spacing w:before="0" w:after="160" w:line="264" w:lineRule="auto"/>
      <w:ind w:right="576"/>
    </w:pPr>
    <w:rPr>
      <w:rFonts w:cstheme="minorBidi"/>
      <w:i/>
      <w:iCs/>
      <w:color w:val="595959" w:themeColor="text1" w:themeTint="A6"/>
      <w:sz w:val="16"/>
      <w:szCs w:val="18"/>
      <w:lang w:val="en-US" w:eastAsia="ja-JP"/>
    </w:rPr>
  </w:style>
  <w:style w:type="paragraph" w:customStyle="1" w:styleId="Implementationaspectheading">
    <w:name w:val="Implementation aspect heading"/>
    <w:basedOn w:val="Maturityscaleheading"/>
    <w:qFormat/>
    <w:rsid w:val="00927F7D"/>
    <w:pPr>
      <w:spacing w:after="240"/>
      <w:ind w:left="425" w:hanging="425"/>
    </w:pPr>
    <w:rPr>
      <w:sz w:val="26"/>
      <w:szCs w:val="26"/>
      <w:lang w:val="en-US"/>
    </w:rPr>
  </w:style>
  <w:style w:type="paragraph" w:customStyle="1" w:styleId="Heading-form">
    <w:name w:val="Heading - form"/>
    <w:basedOn w:val="Heading1"/>
    <w:qFormat/>
    <w:rsid w:val="00D200B4"/>
    <w:rPr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42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60A"/>
    <w:pPr>
      <w:spacing w:before="0" w:after="200" w:line="240" w:lineRule="auto"/>
    </w:pPr>
    <w:rPr>
      <w:rFonts w:ascii="Calibri" w:eastAsia="Calibri" w:hAnsi="Calibri" w:cstheme="minorBidi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60A"/>
    <w:rPr>
      <w:rFonts w:ascii="Calibri" w:eastAsia="Calibri" w:hAnsi="Calibri" w:cstheme="minorBidi"/>
      <w:color w:val="auto"/>
      <w:sz w:val="20"/>
      <w:szCs w:val="20"/>
      <w:lang w:val="en-US"/>
    </w:rPr>
  </w:style>
  <w:style w:type="paragraph" w:styleId="List3">
    <w:name w:val="List 3"/>
    <w:basedOn w:val="Normal"/>
    <w:uiPriority w:val="99"/>
    <w:semiHidden/>
    <w:unhideWhenUsed/>
    <w:rsid w:val="00A42950"/>
    <w:pPr>
      <w:ind w:left="849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5DD"/>
    <w:pPr>
      <w:spacing w:before="120" w:after="120"/>
    </w:pPr>
    <w:rPr>
      <w:rFonts w:asciiTheme="minorHAnsi" w:eastAsiaTheme="minorHAnsi" w:hAnsiTheme="minorHAnsi" w:cs="Times New Roman"/>
      <w:b/>
      <w:bCs/>
      <w:color w:val="000000" w:themeColor="text1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5DD"/>
    <w:rPr>
      <w:rFonts w:ascii="Calibri" w:eastAsia="Calibri" w:hAnsi="Calibri" w:cstheme="minorBidi"/>
      <w:b/>
      <w:bCs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832BF"/>
    <w:pPr>
      <w:spacing w:before="0"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NSQHS">
      <a:dk1>
        <a:srgbClr val="000000"/>
      </a:dk1>
      <a:lt1>
        <a:srgbClr val="FFFFFF"/>
      </a:lt1>
      <a:dk2>
        <a:srgbClr val="B1E8F0"/>
      </a:dk2>
      <a:lt2>
        <a:srgbClr val="D8F4F8"/>
      </a:lt2>
      <a:accent1>
        <a:srgbClr val="004C6E"/>
      </a:accent1>
      <a:accent2>
        <a:srgbClr val="890014"/>
      </a:accent2>
      <a:accent3>
        <a:srgbClr val="004C6E"/>
      </a:accent3>
      <a:accent4>
        <a:srgbClr val="6ECCDF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54A3-835C-425F-8727-35AB0A36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21501-E60D-4FBE-B51F-1CE19C62A8C7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DA50A5B0-6B8D-4F63-8392-FDD493C5F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Richardson</dc:creator>
  <cp:keywords/>
  <dc:description/>
  <cp:lastModifiedBy>MAKOVEC, Ella</cp:lastModifiedBy>
  <cp:revision>19</cp:revision>
  <cp:lastPrinted>2026-04-05T05:13:00Z</cp:lastPrinted>
  <dcterms:created xsi:type="dcterms:W3CDTF">2026-04-29T02:19:00Z</dcterms:created>
  <dcterms:modified xsi:type="dcterms:W3CDTF">2026-05-26T00:53:00Z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3190500</vt:r8>
  </property>
  <property fmtid="{D5CDD505-2E9C-101B-9397-08002B2CF9AE}" pid="3" name="ContentTypeId">
    <vt:lpwstr>0x01010028743DCC77DB274DB22D4DDF53FCBF5F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503f8db7,7ede8f81,5e796f7f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54cadd36,3555ecd4,53548a90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2026-04-14T02:02:52Z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eeeb9e5a-5fcd-4f7e-afc9-f9ff52abf275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