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8309F" w14:textId="10589F5B" w:rsidR="00826EB2" w:rsidRPr="00204C47" w:rsidRDefault="000A7C68" w:rsidP="00826EB2">
      <w:pPr>
        <w:pStyle w:val="FactSheetType"/>
      </w:pPr>
      <w:bookmarkStart w:id="0" w:name="_Toc197590571"/>
      <w:r>
        <w:rPr>
          <w:b/>
          <w:bCs w:val="0"/>
        </w:rPr>
        <w:t>Guidance</w:t>
      </w:r>
      <w:r w:rsidR="00826EB2" w:rsidRPr="0056304B">
        <w:br/>
      </w:r>
      <w:r>
        <w:t>F</w:t>
      </w:r>
      <w:r w:rsidR="00826EB2">
        <w:t>or clinicians</w:t>
      </w:r>
    </w:p>
    <w:bookmarkEnd w:id="0"/>
    <w:p w14:paraId="4B773A7D" w14:textId="77777777" w:rsidR="00C049E5" w:rsidRDefault="00C049E5" w:rsidP="0046795B">
      <w:pPr>
        <w:pStyle w:val="Subtitle"/>
        <w:spacing w:before="240"/>
        <w:rPr>
          <w:b w:val="0"/>
          <w:bCs w:val="0"/>
          <w:sz w:val="64"/>
          <w:szCs w:val="22"/>
        </w:rPr>
      </w:pPr>
      <w:r w:rsidRPr="00C049E5">
        <w:rPr>
          <w:b w:val="0"/>
          <w:bCs w:val="0"/>
          <w:sz w:val="64"/>
          <w:szCs w:val="22"/>
        </w:rPr>
        <w:t>Discontinuation of insulin products: Strategies and safety considerations</w:t>
      </w:r>
    </w:p>
    <w:p w14:paraId="78787812" w14:textId="77777777" w:rsidR="00C82729" w:rsidRDefault="00C82729" w:rsidP="0046795B">
      <w:pPr>
        <w:pStyle w:val="Subtitle"/>
        <w:spacing w:before="240"/>
        <w:rPr>
          <w:b w:val="0"/>
          <w:bCs w:val="0"/>
          <w:sz w:val="64"/>
          <w:szCs w:val="22"/>
        </w:rPr>
      </w:pPr>
    </w:p>
    <w:p w14:paraId="2C808136" w14:textId="77777777" w:rsidR="00A92EB7" w:rsidRDefault="002B157F" w:rsidP="00A92EB7">
      <w:r>
        <w:rPr>
          <w:noProof/>
        </w:rPr>
        <mc:AlternateContent>
          <mc:Choice Requires="wps">
            <w:drawing>
              <wp:inline distT="0" distB="0" distL="0" distR="0" wp14:anchorId="15DF1A66" wp14:editId="248378D1">
                <wp:extent cx="5831840" cy="662305"/>
                <wp:effectExtent l="0" t="0" r="0" b="4445"/>
                <wp:docPr id="700133595" name="Text Box 12"/>
                <wp:cNvGraphicFramePr/>
                <a:graphic xmlns:a="http://schemas.openxmlformats.org/drawingml/2006/main">
                  <a:graphicData uri="http://schemas.microsoft.com/office/word/2010/wordprocessingShape">
                    <wps:wsp>
                      <wps:cNvSpPr txBox="1"/>
                      <wps:spPr>
                        <a:xfrm>
                          <a:off x="0" y="0"/>
                          <a:ext cx="5831840" cy="662305"/>
                        </a:xfrm>
                        <a:prstGeom prst="rect">
                          <a:avLst/>
                        </a:prstGeom>
                        <a:noFill/>
                        <a:ln w="6350">
                          <a:noFill/>
                        </a:ln>
                      </wps:spPr>
                      <wps:txbx>
                        <w:txbxContent>
                          <w:tbl>
                            <w:tblPr>
                              <w:tblW w:w="0" w:type="auto"/>
                              <w:tblCellMar>
                                <w:top w:w="57" w:type="dxa"/>
                                <w:left w:w="170" w:type="dxa"/>
                                <w:bottom w:w="57" w:type="dxa"/>
                                <w:right w:w="170" w:type="dxa"/>
                              </w:tblCellMar>
                              <w:tblLook w:val="04A0" w:firstRow="1" w:lastRow="0" w:firstColumn="1" w:lastColumn="0" w:noHBand="0" w:noVBand="1"/>
                            </w:tblPr>
                            <w:tblGrid>
                              <w:gridCol w:w="9114"/>
                            </w:tblGrid>
                            <w:tr w:rsidR="002B157F" w14:paraId="74A4DAF9" w14:textId="77777777" w:rsidTr="00C21194">
                              <w:tc>
                                <w:tcPr>
                                  <w:tcW w:w="9114" w:type="dxa"/>
                                  <w:tcBorders>
                                    <w:right w:val="single" w:sz="24" w:space="0" w:color="F0E8FE" w:themeColor="background2"/>
                                  </w:tcBorders>
                                  <w:shd w:val="clear" w:color="auto" w:fill="F0E8FE" w:themeFill="background2"/>
                                </w:tcPr>
                                <w:p w14:paraId="70E15E6D" w14:textId="2FACF602" w:rsidR="002B157F" w:rsidRPr="00AB3259" w:rsidRDefault="0091299E" w:rsidP="002B3C79">
                                  <w:pPr>
                                    <w:pStyle w:val="BoxHeading"/>
                                  </w:pPr>
                                  <w:r>
                                    <w:t>What you need to know?</w:t>
                                  </w:r>
                                </w:p>
                                <w:p w14:paraId="4C636CBD" w14:textId="5360DFFC" w:rsidR="007B2DEB" w:rsidRDefault="007B2DEB" w:rsidP="005F70DD">
                                  <w:pPr>
                                    <w:pStyle w:val="ListParagraph"/>
                                    <w:numPr>
                                      <w:ilvl w:val="0"/>
                                      <w:numId w:val="8"/>
                                    </w:numPr>
                                  </w:pPr>
                                  <w:r>
                                    <w:t xml:space="preserve">The Therapeutic Goods Administration (TGA) has advised of </w:t>
                                  </w:r>
                                  <w:hyperlink r:id="rId11" w:history="1">
                                    <w:r w:rsidRPr="001875A7">
                                      <w:rPr>
                                        <w:rStyle w:val="Hyperlink"/>
                                      </w:rPr>
                                      <w:t>changes to the supply of multiple insulin medicines</w:t>
                                    </w:r>
                                  </w:hyperlink>
                                  <w:r w:rsidR="00981E87">
                                    <w:t>.</w:t>
                                  </w:r>
                                </w:p>
                                <w:p w14:paraId="1D4F6F52" w14:textId="2BF59376" w:rsidR="007B2DEB" w:rsidRDefault="007B2DEB" w:rsidP="005F70DD">
                                  <w:pPr>
                                    <w:pStyle w:val="ListParagraph"/>
                                    <w:numPr>
                                      <w:ilvl w:val="0"/>
                                      <w:numId w:val="8"/>
                                    </w:numPr>
                                  </w:pPr>
                                  <w:r>
                                    <w:t xml:space="preserve">Alternative insulin products are available to replace many of the discontinued insulin medicines. </w:t>
                                  </w:r>
                                </w:p>
                                <w:p w14:paraId="0B6E5C68" w14:textId="7B3CCAA1" w:rsidR="007B2DEB" w:rsidRDefault="007B2DEB" w:rsidP="005F70DD">
                                  <w:pPr>
                                    <w:pStyle w:val="ListParagraph"/>
                                    <w:numPr>
                                      <w:ilvl w:val="0"/>
                                      <w:numId w:val="8"/>
                                    </w:numPr>
                                  </w:pPr>
                                  <w:r>
                                    <w:t>People with diabetes requiring ongoing insulin therapy and using a product due to be discontinued will need to be switched to an appropriate alternative insulin preparation. The changeover requires careful management to ensure safety.</w:t>
                                  </w:r>
                                </w:p>
                                <w:p w14:paraId="23DBBD6D" w14:textId="5515487A" w:rsidR="007B2DEB" w:rsidRDefault="007B2DEB" w:rsidP="005F70DD">
                                  <w:pPr>
                                    <w:pStyle w:val="ListParagraph"/>
                                    <w:numPr>
                                      <w:ilvl w:val="0"/>
                                      <w:numId w:val="8"/>
                                    </w:numPr>
                                  </w:pPr>
                                  <w:r>
                                    <w:t xml:space="preserve">Insulins are essential and potentially lifesaving medicines. However, they are high-risk medicines commonly involved in medication incidents leading to serious harm. </w:t>
                                  </w:r>
                                </w:p>
                                <w:p w14:paraId="3FFEC88D" w14:textId="5190A9F4" w:rsidR="007B2DEB" w:rsidRDefault="007B2DEB" w:rsidP="005F70DD">
                                  <w:pPr>
                                    <w:pStyle w:val="ListParagraph"/>
                                    <w:numPr>
                                      <w:ilvl w:val="0"/>
                                      <w:numId w:val="8"/>
                                    </w:numPr>
                                  </w:pPr>
                                  <w:r>
                                    <w:t xml:space="preserve">Applying a safe prescribing checklist helps to mitigate risk when managing changes between insulin products, see </w:t>
                                  </w:r>
                                  <w:r w:rsidRPr="001875A7">
                                    <w:rPr>
                                      <w:b/>
                                      <w:bCs/>
                                    </w:rPr>
                                    <w:t>Highlight 1</w:t>
                                  </w:r>
                                  <w:r>
                                    <w:t>.</w:t>
                                  </w:r>
                                </w:p>
                                <w:p w14:paraId="2C60ADC7" w14:textId="59E1864B" w:rsidR="007B2DEB" w:rsidRDefault="007B2DEB" w:rsidP="005F70DD">
                                  <w:pPr>
                                    <w:pStyle w:val="ListParagraph"/>
                                    <w:numPr>
                                      <w:ilvl w:val="0"/>
                                      <w:numId w:val="8"/>
                                    </w:numPr>
                                  </w:pPr>
                                  <w:r>
                                    <w:t xml:space="preserve">In some cases, the TGA may issue a </w:t>
                                  </w:r>
                                  <w:hyperlink r:id="rId12" w:history="1">
                                    <w:r w:rsidRPr="00A1456D">
                                      <w:rPr>
                                        <w:rStyle w:val="Hyperlink"/>
                                      </w:rPr>
                                      <w:t>Serious Scarcity Substitution Instrument (SSSI)</w:t>
                                    </w:r>
                                  </w:hyperlink>
                                  <w:r>
                                    <w:t xml:space="preserve">, which allows community pharmacists to substitute specific medicines, with the same active ingredient, without prior approval from the prescriber, under specific conditions. For example, SSSIs are in place for both </w:t>
                                  </w:r>
                                  <w:hyperlink r:id="rId13" w:history="1">
                                    <w:proofErr w:type="spellStart"/>
                                    <w:r w:rsidRPr="00D32B88">
                                      <w:rPr>
                                        <w:rStyle w:val="Hyperlink"/>
                                      </w:rPr>
                                      <w:t>Protaphane</w:t>
                                    </w:r>
                                    <w:proofErr w:type="spellEnd"/>
                                    <w:r w:rsidRPr="003B13D7">
                                      <w:rPr>
                                        <w:rStyle w:val="Hyperlink"/>
                                        <w:vertAlign w:val="superscript"/>
                                      </w:rPr>
                                      <w:t>®</w:t>
                                    </w:r>
                                    <w:r w:rsidRPr="00D32B88">
                                      <w:rPr>
                                        <w:rStyle w:val="Hyperlink"/>
                                      </w:rPr>
                                      <w:t xml:space="preserve"> InnoLet</w:t>
                                    </w:r>
                                    <w:r w:rsidRPr="003B13D7">
                                      <w:rPr>
                                        <w:rStyle w:val="Hyperlink"/>
                                        <w:vertAlign w:val="superscript"/>
                                      </w:rPr>
                                      <w:t>®</w:t>
                                    </w:r>
                                  </w:hyperlink>
                                  <w:r>
                                    <w:t xml:space="preserve"> and </w:t>
                                  </w:r>
                                  <w:hyperlink r:id="rId14" w:history="1">
                                    <w:r w:rsidRPr="009B10B1">
                                      <w:rPr>
                                        <w:rStyle w:val="Hyperlink"/>
                                      </w:rPr>
                                      <w:t>Ryzodeg</w:t>
                                    </w:r>
                                    <w:r w:rsidRPr="003B13D7">
                                      <w:rPr>
                                        <w:rStyle w:val="Hyperlink"/>
                                        <w:vertAlign w:val="superscript"/>
                                      </w:rPr>
                                      <w:t>®</w:t>
                                    </w:r>
                                    <w:r w:rsidRPr="009B10B1">
                                      <w:rPr>
                                        <w:rStyle w:val="Hyperlink"/>
                                      </w:rPr>
                                      <w:t xml:space="preserve"> 70/30 FlexTouch</w:t>
                                    </w:r>
                                    <w:r w:rsidRPr="003B13D7">
                                      <w:rPr>
                                        <w:rStyle w:val="Hyperlink"/>
                                        <w:vertAlign w:val="superscript"/>
                                      </w:rPr>
                                      <w:t>®</w:t>
                                    </w:r>
                                  </w:hyperlink>
                                  <w:r>
                                    <w:t xml:space="preserve">, allowing appropriate pharmacy substitution. </w:t>
                                  </w:r>
                                </w:p>
                                <w:p w14:paraId="10F07AD4" w14:textId="13F77BFE" w:rsidR="002B157F" w:rsidRDefault="007B2DEB" w:rsidP="00976FF4">
                                  <w:r>
                                    <w:t>More information on safety considerations is included in this guidance to support health care professionals in transitioning people with diabetes to alternative insulin products.</w:t>
                                  </w:r>
                                </w:p>
                              </w:tc>
                            </w:tr>
                          </w:tbl>
                          <w:p w14:paraId="737178FE" w14:textId="77777777" w:rsidR="002B157F" w:rsidRPr="00402F1C" w:rsidRDefault="002B157F" w:rsidP="002B157F">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15DF1A66" id="_x0000_t202" coordsize="21600,21600" o:spt="202" path="m,l,21600r21600,l21600,xe">
                <v:stroke joinstyle="miter"/>
                <v:path gradientshapeok="t" o:connecttype="rect"/>
              </v:shapetype>
              <v:shape id="Text Box 12" o:spid="_x0000_s1026" type="#_x0000_t202" style="width:459.2pt;height:5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" filled="f" stroked="f" strokeweight=".5pt">
                <v:textbox style="mso-fit-shape-to-text:t" inset="0,0,0,0">
                  <w:txbxContent>
                    <w:tbl>
                      <w:tblPr>
                        <w:tblW w:w="0" w:type="auto"/>
                        <w:tblCellMar>
                          <w:top w:w="57" w:type="dxa"/>
                          <w:left w:w="170" w:type="dxa"/>
                          <w:bottom w:w="57" w:type="dxa"/>
                          <w:right w:w="170" w:type="dxa"/>
                        </w:tblCellMar>
                        <w:tblLook w:val="04A0" w:firstRow="1" w:lastRow="0" w:firstColumn="1" w:lastColumn="0" w:noHBand="0" w:noVBand="1"/>
                      </w:tblPr>
                      <w:tblGrid>
                        <w:gridCol w:w="9114"/>
                      </w:tblGrid>
                      <w:tr w:rsidR="002B157F" w14:paraId="74A4DAF9" w14:textId="77777777" w:rsidTr="00C21194">
                        <w:tc>
                          <w:tcPr>
                            <w:tcW w:w="9114" w:type="dxa"/>
                            <w:tcBorders>
                              <w:right w:val="single" w:sz="24" w:space="0" w:color="F0E8FE" w:themeColor="background2"/>
                            </w:tcBorders>
                            <w:shd w:val="clear" w:color="auto" w:fill="F0E8FE" w:themeFill="background2"/>
                          </w:tcPr>
                          <w:p w14:paraId="70E15E6D" w14:textId="2FACF602" w:rsidR="002B157F" w:rsidRPr="00AB3259" w:rsidRDefault="0091299E" w:rsidP="002B3C79">
                            <w:pPr>
                              <w:pStyle w:val="BoxHeading"/>
                            </w:pPr>
                            <w:r>
                              <w:t>What you need to know?</w:t>
                            </w:r>
                          </w:p>
                          <w:p w14:paraId="4C636CBD" w14:textId="5360DFFC" w:rsidR="007B2DEB" w:rsidRDefault="007B2DEB" w:rsidP="005F70DD">
                            <w:pPr>
                              <w:pStyle w:val="ListParagraph"/>
                              <w:numPr>
                                <w:ilvl w:val="0"/>
                                <w:numId w:val="8"/>
                              </w:numPr>
                            </w:pPr>
                            <w:r>
                              <w:t xml:space="preserve">The Therapeutic Goods Administration (TGA) has advised of </w:t>
                            </w:r>
                            <w:hyperlink r:id="rId15" w:history="1">
                              <w:r w:rsidRPr="001875A7">
                                <w:rPr>
                                  <w:rStyle w:val="Hyperlink"/>
                                </w:rPr>
                                <w:t>changes to the supply of multiple insulin medicines</w:t>
                              </w:r>
                            </w:hyperlink>
                            <w:r w:rsidR="00981E87">
                              <w:t>.</w:t>
                            </w:r>
                          </w:p>
                          <w:p w14:paraId="1D4F6F52" w14:textId="2BF59376" w:rsidR="007B2DEB" w:rsidRDefault="007B2DEB" w:rsidP="005F70DD">
                            <w:pPr>
                              <w:pStyle w:val="ListParagraph"/>
                              <w:numPr>
                                <w:ilvl w:val="0"/>
                                <w:numId w:val="8"/>
                              </w:numPr>
                            </w:pPr>
                            <w:r>
                              <w:t xml:space="preserve">Alternative insulin products are available to replace many of the discontinued insulin medicines. </w:t>
                            </w:r>
                          </w:p>
                          <w:p w14:paraId="0B6E5C68" w14:textId="7B3CCAA1" w:rsidR="007B2DEB" w:rsidRDefault="007B2DEB" w:rsidP="005F70DD">
                            <w:pPr>
                              <w:pStyle w:val="ListParagraph"/>
                              <w:numPr>
                                <w:ilvl w:val="0"/>
                                <w:numId w:val="8"/>
                              </w:numPr>
                            </w:pPr>
                            <w:r>
                              <w:t>People with diabetes requiring ongoing insulin therapy and using a product due to be discontinued will need to be switched to an appropriate alternative insulin preparation. The changeover requires careful management to ensure safety.</w:t>
                            </w:r>
                          </w:p>
                          <w:p w14:paraId="23DBBD6D" w14:textId="5515487A" w:rsidR="007B2DEB" w:rsidRDefault="007B2DEB" w:rsidP="005F70DD">
                            <w:pPr>
                              <w:pStyle w:val="ListParagraph"/>
                              <w:numPr>
                                <w:ilvl w:val="0"/>
                                <w:numId w:val="8"/>
                              </w:numPr>
                            </w:pPr>
                            <w:r>
                              <w:t xml:space="preserve">Insulins are essential and potentially lifesaving medicines. However, they are high-risk medicines commonly involved in medication incidents leading to serious harm. </w:t>
                            </w:r>
                          </w:p>
                          <w:p w14:paraId="3FFEC88D" w14:textId="5190A9F4" w:rsidR="007B2DEB" w:rsidRDefault="007B2DEB" w:rsidP="005F70DD">
                            <w:pPr>
                              <w:pStyle w:val="ListParagraph"/>
                              <w:numPr>
                                <w:ilvl w:val="0"/>
                                <w:numId w:val="8"/>
                              </w:numPr>
                            </w:pPr>
                            <w:r>
                              <w:t xml:space="preserve">Applying a safe prescribing checklist helps to mitigate risk when managing changes between insulin products, see </w:t>
                            </w:r>
                            <w:r w:rsidRPr="001875A7">
                              <w:rPr>
                                <w:b/>
                                <w:bCs/>
                              </w:rPr>
                              <w:t>Highlight 1</w:t>
                            </w:r>
                            <w:r>
                              <w:t>.</w:t>
                            </w:r>
                          </w:p>
                          <w:p w14:paraId="2C60ADC7" w14:textId="59E1864B" w:rsidR="007B2DEB" w:rsidRDefault="007B2DEB" w:rsidP="005F70DD">
                            <w:pPr>
                              <w:pStyle w:val="ListParagraph"/>
                              <w:numPr>
                                <w:ilvl w:val="0"/>
                                <w:numId w:val="8"/>
                              </w:numPr>
                            </w:pPr>
                            <w:r>
                              <w:t xml:space="preserve">In some cases, the TGA may issue a </w:t>
                            </w:r>
                            <w:hyperlink r:id="rId16" w:history="1">
                              <w:r w:rsidRPr="00A1456D">
                                <w:rPr>
                                  <w:rStyle w:val="Hyperlink"/>
                                </w:rPr>
                                <w:t>Serious Scarcity Substitution Instrument (SSSI)</w:t>
                              </w:r>
                            </w:hyperlink>
                            <w:r>
                              <w:t xml:space="preserve">, which allows community pharmacists to substitute specific medicines, with the same active ingredient, without prior approval from the prescriber, under specific conditions. For example, SSSIs are in place for both </w:t>
                            </w:r>
                            <w:hyperlink r:id="rId17" w:history="1">
                              <w:proofErr w:type="spellStart"/>
                              <w:r w:rsidRPr="00D32B88">
                                <w:rPr>
                                  <w:rStyle w:val="Hyperlink"/>
                                </w:rPr>
                                <w:t>Protaphane</w:t>
                              </w:r>
                              <w:proofErr w:type="spellEnd"/>
                              <w:r w:rsidRPr="003B13D7">
                                <w:rPr>
                                  <w:rStyle w:val="Hyperlink"/>
                                  <w:vertAlign w:val="superscript"/>
                                </w:rPr>
                                <w:t>®</w:t>
                              </w:r>
                              <w:r w:rsidRPr="00D32B88">
                                <w:rPr>
                                  <w:rStyle w:val="Hyperlink"/>
                                </w:rPr>
                                <w:t xml:space="preserve"> InnoLet</w:t>
                              </w:r>
                              <w:r w:rsidRPr="003B13D7">
                                <w:rPr>
                                  <w:rStyle w:val="Hyperlink"/>
                                  <w:vertAlign w:val="superscript"/>
                                </w:rPr>
                                <w:t>®</w:t>
                              </w:r>
                            </w:hyperlink>
                            <w:r>
                              <w:t xml:space="preserve"> and </w:t>
                            </w:r>
                            <w:hyperlink r:id="rId18" w:history="1">
                              <w:r w:rsidRPr="009B10B1">
                                <w:rPr>
                                  <w:rStyle w:val="Hyperlink"/>
                                </w:rPr>
                                <w:t>Ryzodeg</w:t>
                              </w:r>
                              <w:r w:rsidRPr="003B13D7">
                                <w:rPr>
                                  <w:rStyle w:val="Hyperlink"/>
                                  <w:vertAlign w:val="superscript"/>
                                </w:rPr>
                                <w:t>®</w:t>
                              </w:r>
                              <w:r w:rsidRPr="009B10B1">
                                <w:rPr>
                                  <w:rStyle w:val="Hyperlink"/>
                                </w:rPr>
                                <w:t xml:space="preserve"> 70/30 FlexTouch</w:t>
                              </w:r>
                              <w:r w:rsidRPr="003B13D7">
                                <w:rPr>
                                  <w:rStyle w:val="Hyperlink"/>
                                  <w:vertAlign w:val="superscript"/>
                                </w:rPr>
                                <w:t>®</w:t>
                              </w:r>
                            </w:hyperlink>
                            <w:r>
                              <w:t xml:space="preserve">, allowing appropriate pharmacy substitution. </w:t>
                            </w:r>
                          </w:p>
                          <w:p w14:paraId="10F07AD4" w14:textId="13F77BFE" w:rsidR="002B157F" w:rsidRDefault="007B2DEB" w:rsidP="00976FF4">
                            <w:r>
                              <w:t>More information on safety considerations is included in this guidance to support health care professionals in transitioning people with diabetes to alternative insulin products.</w:t>
                            </w:r>
                          </w:p>
                        </w:tc>
                      </w:tr>
                    </w:tbl>
                    <w:p w14:paraId="737178FE" w14:textId="77777777" w:rsidR="002B157F" w:rsidRPr="00402F1C" w:rsidRDefault="002B157F" w:rsidP="002B157F">
                      <w:pPr>
                        <w:pStyle w:val="NoSpacing"/>
                        <w:spacing w:line="240" w:lineRule="auto"/>
                        <w:rPr>
                          <w:sz w:val="2"/>
                          <w:szCs w:val="2"/>
                        </w:rPr>
                      </w:pPr>
                    </w:p>
                  </w:txbxContent>
                </v:textbox>
                <w10:anchorlock/>
              </v:shape>
            </w:pict>
          </mc:Fallback>
        </mc:AlternateContent>
      </w:r>
      <w:r w:rsidR="006D50DA">
        <w:br/>
      </w:r>
    </w:p>
    <w:p w14:paraId="4A703AAF" w14:textId="2B17B526" w:rsidR="00A92EB7" w:rsidRPr="00622240" w:rsidRDefault="00A92EB7" w:rsidP="00A92EB7">
      <w:pPr>
        <w:rPr>
          <w:b/>
          <w:bCs/>
        </w:rPr>
      </w:pPr>
      <w:r w:rsidRPr="00622240">
        <w:rPr>
          <w:b/>
          <w:bCs/>
        </w:rPr>
        <w:t xml:space="preserve">Multiple insulin products are being discontinued globally by Novo Nordisk. In Australia, the discontinuations of the affected products will occur between late 2024 and late 2026. For most of the insulin products being discontinued, alternative products will remain available (Table 1). </w:t>
      </w:r>
      <w:r w:rsidR="00615CA5" w:rsidRPr="00622240">
        <w:rPr>
          <w:b/>
          <w:bCs/>
        </w:rPr>
        <w:t xml:space="preserve">Up to date information on discontinued insulin products is available on the </w:t>
      </w:r>
      <w:hyperlink r:id="rId19" w:history="1">
        <w:r w:rsidR="00615CA5" w:rsidRPr="00F93693">
          <w:rPr>
            <w:rStyle w:val="Hyperlink"/>
            <w:b/>
            <w:bCs/>
          </w:rPr>
          <w:t>TGA website</w:t>
        </w:r>
      </w:hyperlink>
      <w:r w:rsidR="00615CA5" w:rsidRPr="00622240">
        <w:rPr>
          <w:b/>
          <w:bCs/>
        </w:rPr>
        <w:t>.</w:t>
      </w:r>
    </w:p>
    <w:p w14:paraId="3C45E9BA" w14:textId="4E882D94" w:rsidR="006D50DA" w:rsidRDefault="00A92EB7" w:rsidP="00A92EB7">
      <w:r w:rsidRPr="00622240">
        <w:rPr>
          <w:b/>
          <w:bCs/>
        </w:rPr>
        <w:t>Safety considerations and risk mitigations should be considered to minimise the impact on people with diabetes, in responding to changes in availability of insulin products.</w:t>
      </w:r>
    </w:p>
    <w:p w14:paraId="1C63CD73" w14:textId="4DCE3D85" w:rsidR="00367F5E" w:rsidRDefault="00367F5E" w:rsidP="00367F5E">
      <w:pPr>
        <w:pStyle w:val="Heading1"/>
      </w:pPr>
      <w:r>
        <w:lastRenderedPageBreak/>
        <w:t>Purpose</w:t>
      </w:r>
    </w:p>
    <w:p w14:paraId="2FCAC6E7" w14:textId="53627B56" w:rsidR="00367F5E" w:rsidRDefault="00A73EAB" w:rsidP="00367F5E">
      <w:r w:rsidRPr="00A73EAB">
        <w:t>This guidance has been developed by the Australian Commission on Safety and Quality in Health Care (the Commission) to assist clinicians provide safe and quality health care during the discontinuation of some insulin products in Australia.</w:t>
      </w:r>
      <w:r w:rsidR="002B3B7C">
        <w:t xml:space="preserve"> </w:t>
      </w:r>
      <w:r w:rsidRPr="00A73EAB">
        <w:t>The guidance focuses on actions to mitigate risks associated with changing or switching between insulin products. It does not provide clinical guidance on insulin use.</w:t>
      </w:r>
    </w:p>
    <w:p w14:paraId="269203CF" w14:textId="56C05610" w:rsidR="00525872" w:rsidRDefault="00525872" w:rsidP="00525872">
      <w:pPr>
        <w:pStyle w:val="Heading1"/>
      </w:pPr>
      <w:r>
        <w:t>Background</w:t>
      </w:r>
    </w:p>
    <w:p w14:paraId="2F33E3A7" w14:textId="77777777" w:rsidR="007F7C74" w:rsidRDefault="007F7C74" w:rsidP="007F7C74">
      <w:r>
        <w:t>Insulins are high-risk medicines commonly used in the treatment and management of diabetes, including type 1, type 2, gestational and medication-induced diabetes. Insulin products differ in duration of onset and action, presentation and method of administration.</w:t>
      </w:r>
    </w:p>
    <w:p w14:paraId="1C8F4502" w14:textId="3D18B7F4" w:rsidR="00AE4819" w:rsidRDefault="007F7C74" w:rsidP="00AE4819">
      <w:pPr>
        <w:pStyle w:val="TableCaption"/>
      </w:pPr>
      <w:r>
        <w:t>Insulin products to be discontinued and alternative product(s)</w:t>
      </w:r>
      <w:r w:rsidR="00CD6F94">
        <w:t>.</w:t>
      </w:r>
    </w:p>
    <w:tbl>
      <w:tblPr>
        <w:tblStyle w:val="SQHTable"/>
        <w:tblW w:w="5000" w:type="pct"/>
        <w:tblLook w:val="04A0" w:firstRow="1" w:lastRow="0" w:firstColumn="1" w:lastColumn="0" w:noHBand="0" w:noVBand="1"/>
        <w:tblDescription w:val="Table description goes here"/>
      </w:tblPr>
      <w:tblGrid>
        <w:gridCol w:w="2552"/>
        <w:gridCol w:w="2551"/>
        <w:gridCol w:w="4081"/>
      </w:tblGrid>
      <w:tr w:rsidR="000806E8" w:rsidRPr="00A05877" w14:paraId="28AEDC3F" w14:textId="77777777" w:rsidTr="00C812A9">
        <w:trPr>
          <w:cnfStyle w:val="100000000000" w:firstRow="1" w:lastRow="0" w:firstColumn="0" w:lastColumn="0" w:oddVBand="0" w:evenVBand="0" w:oddHBand="0" w:evenHBand="0" w:firstRowFirstColumn="0" w:firstRowLastColumn="0" w:lastRowFirstColumn="0" w:lastRowLastColumn="0"/>
        </w:trPr>
        <w:tc>
          <w:tcPr>
            <w:tcW w:w="2552" w:type="dxa"/>
            <w:tcBorders>
              <w:right w:val="single" w:sz="6" w:space="0" w:color="FFFFFF" w:themeColor="background1"/>
            </w:tcBorders>
            <w:vAlign w:val="center"/>
          </w:tcPr>
          <w:p w14:paraId="51022577" w14:textId="16BE95B2" w:rsidR="000806E8" w:rsidRPr="00A738DB" w:rsidRDefault="000806E8" w:rsidP="000806E8">
            <w:r w:rsidRPr="009A7364">
              <w:rPr>
                <w:color w:val="auto"/>
              </w:rPr>
              <w:t xml:space="preserve">Insulin </w:t>
            </w:r>
            <w:r w:rsidRPr="009A7364">
              <w:rPr>
                <w:bCs/>
                <w:color w:val="auto"/>
              </w:rPr>
              <w:t xml:space="preserve">product(s) to </w:t>
            </w:r>
            <w:r w:rsidRPr="009A7364">
              <w:rPr>
                <w:bCs/>
                <w:color w:val="auto"/>
              </w:rPr>
              <w:br/>
              <w:t>be discontinued</w:t>
            </w:r>
          </w:p>
        </w:tc>
        <w:tc>
          <w:tcPr>
            <w:tcW w:w="2551" w:type="dxa"/>
            <w:tcBorders>
              <w:left w:val="single" w:sz="6" w:space="0" w:color="FFFFFF" w:themeColor="background1"/>
              <w:right w:val="single" w:sz="6" w:space="0" w:color="FFFFFF" w:themeColor="background1"/>
            </w:tcBorders>
            <w:vAlign w:val="center"/>
          </w:tcPr>
          <w:p w14:paraId="5A642A2F" w14:textId="09F982A0" w:rsidR="000806E8" w:rsidRPr="00A738DB" w:rsidRDefault="000806E8" w:rsidP="000806E8">
            <w:r w:rsidRPr="009A7364">
              <w:rPr>
                <w:bCs/>
                <w:color w:val="auto"/>
              </w:rPr>
              <w:t xml:space="preserve">Planned discontinuation date (stock may be available after </w:t>
            </w:r>
            <w:r w:rsidRPr="009A7364">
              <w:rPr>
                <w:bCs/>
                <w:color w:val="auto"/>
              </w:rPr>
              <w:br/>
              <w:t>this date, until depleted)</w:t>
            </w:r>
          </w:p>
        </w:tc>
        <w:tc>
          <w:tcPr>
            <w:tcW w:w="4081" w:type="dxa"/>
            <w:tcBorders>
              <w:left w:val="single" w:sz="6" w:space="0" w:color="FFFFFF" w:themeColor="background1"/>
            </w:tcBorders>
            <w:vAlign w:val="center"/>
          </w:tcPr>
          <w:p w14:paraId="4FB332C0" w14:textId="72FCD9FB" w:rsidR="000806E8" w:rsidRPr="00A738DB" w:rsidRDefault="000806E8" w:rsidP="000806E8">
            <w:r>
              <w:rPr>
                <w:bCs/>
                <w:color w:val="auto"/>
              </w:rPr>
              <w:t xml:space="preserve">Alternative product(s) to consider when changing or switching  </w:t>
            </w:r>
          </w:p>
        </w:tc>
      </w:tr>
      <w:tr w:rsidR="00FD5900" w:rsidRPr="00A05877" w14:paraId="42F41EEE" w14:textId="77777777" w:rsidTr="00C812A9">
        <w:tc>
          <w:tcPr>
            <w:tcW w:w="2552" w:type="dxa"/>
            <w:tcBorders>
              <w:right w:val="single" w:sz="6" w:space="0" w:color="FFFFFF" w:themeColor="background1"/>
            </w:tcBorders>
            <w:vAlign w:val="center"/>
          </w:tcPr>
          <w:p w14:paraId="57443753" w14:textId="5AAA5BAF" w:rsidR="00FD5900" w:rsidRPr="00A05877" w:rsidRDefault="00FD5900" w:rsidP="00FD5900">
            <w:proofErr w:type="spellStart"/>
            <w:r w:rsidRPr="009A7364">
              <w:rPr>
                <w:color w:val="auto"/>
              </w:rPr>
              <w:t>Fiasp</w:t>
            </w:r>
            <w:proofErr w:type="spellEnd"/>
            <w:r w:rsidRPr="002921EF">
              <w:rPr>
                <w:color w:val="auto"/>
                <w:vertAlign w:val="superscript"/>
              </w:rPr>
              <w:t>®</w:t>
            </w:r>
            <w:r w:rsidRPr="009A7364">
              <w:rPr>
                <w:color w:val="auto"/>
              </w:rPr>
              <w:t xml:space="preserve"> (insulin aspart) FlexTouch</w:t>
            </w:r>
            <w:r w:rsidRPr="00C87641">
              <w:rPr>
                <w:color w:val="auto"/>
                <w:vertAlign w:val="superscript"/>
              </w:rPr>
              <w:t>®</w:t>
            </w:r>
            <w:r w:rsidRPr="009A7364">
              <w:rPr>
                <w:color w:val="auto"/>
              </w:rPr>
              <w:t xml:space="preserve"> prefilled pen and vials</w:t>
            </w:r>
          </w:p>
        </w:tc>
        <w:tc>
          <w:tcPr>
            <w:tcW w:w="2551" w:type="dxa"/>
            <w:tcBorders>
              <w:left w:val="single" w:sz="6" w:space="0" w:color="FFFFFF" w:themeColor="background1"/>
              <w:right w:val="single" w:sz="6" w:space="0" w:color="FFFFFF" w:themeColor="background1"/>
            </w:tcBorders>
            <w:vAlign w:val="center"/>
          </w:tcPr>
          <w:p w14:paraId="23161FE2" w14:textId="77777777" w:rsidR="00FD5900" w:rsidRPr="009A7364" w:rsidRDefault="00FD5900" w:rsidP="00FD5900">
            <w:pPr>
              <w:rPr>
                <w:color w:val="auto"/>
              </w:rPr>
            </w:pPr>
            <w:r w:rsidRPr="009A7364">
              <w:rPr>
                <w:color w:val="auto"/>
              </w:rPr>
              <w:t>December 2024 (vials)</w:t>
            </w:r>
          </w:p>
          <w:p w14:paraId="6F0B4E34" w14:textId="22D1E8F6" w:rsidR="00FD5900" w:rsidRPr="00A05877" w:rsidRDefault="00FD5900" w:rsidP="00FD5900">
            <w:r>
              <w:rPr>
                <w:color w:val="auto"/>
              </w:rPr>
              <w:t>March 2025</w:t>
            </w:r>
            <w:r w:rsidRPr="009A7364">
              <w:rPr>
                <w:color w:val="auto"/>
              </w:rPr>
              <w:t xml:space="preserve"> (FlexTouch</w:t>
            </w:r>
            <w:r w:rsidRPr="00C87641">
              <w:rPr>
                <w:color w:val="auto"/>
                <w:vertAlign w:val="superscript"/>
              </w:rPr>
              <w:t>®</w:t>
            </w:r>
            <w:r w:rsidRPr="009A7364">
              <w:rPr>
                <w:color w:val="auto"/>
              </w:rPr>
              <w:t>)</w:t>
            </w:r>
          </w:p>
        </w:tc>
        <w:tc>
          <w:tcPr>
            <w:tcW w:w="4081" w:type="dxa"/>
            <w:tcBorders>
              <w:left w:val="single" w:sz="6" w:space="0" w:color="FFFFFF" w:themeColor="background1"/>
            </w:tcBorders>
          </w:tcPr>
          <w:p w14:paraId="1FC4260A" w14:textId="5652CE7D" w:rsidR="00FD5900" w:rsidRPr="00023DDC" w:rsidRDefault="00023DDC" w:rsidP="00023DDC">
            <w:pPr>
              <w:pStyle w:val="ListBullet"/>
            </w:pPr>
            <w:proofErr w:type="spellStart"/>
            <w:r w:rsidRPr="00023DDC">
              <w:t>Fiasp</w:t>
            </w:r>
            <w:proofErr w:type="spellEnd"/>
            <w:r w:rsidRPr="00023DDC">
              <w:rPr>
                <w:vertAlign w:val="superscript"/>
              </w:rPr>
              <w:t>®</w:t>
            </w:r>
            <w:r w:rsidRPr="00023DDC">
              <w:t xml:space="preserve"> (insulin aspart) </w:t>
            </w:r>
            <w:proofErr w:type="spellStart"/>
            <w:r w:rsidRPr="00023DDC">
              <w:t>Penfill</w:t>
            </w:r>
            <w:proofErr w:type="spellEnd"/>
            <w:r w:rsidRPr="00023DDC">
              <w:rPr>
                <w:vertAlign w:val="superscript"/>
              </w:rPr>
              <w:t>®</w:t>
            </w:r>
            <w:r w:rsidRPr="00023DDC">
              <w:t xml:space="preserve"> cartridge</w:t>
            </w:r>
          </w:p>
        </w:tc>
      </w:tr>
      <w:tr w:rsidR="00FD5900" w:rsidRPr="00A05877" w14:paraId="158A4F6C" w14:textId="77777777" w:rsidTr="00C812A9">
        <w:trPr>
          <w:cnfStyle w:val="000000010000" w:firstRow="0" w:lastRow="0" w:firstColumn="0" w:lastColumn="0" w:oddVBand="0" w:evenVBand="0" w:oddHBand="0" w:evenHBand="1" w:firstRowFirstColumn="0" w:firstRowLastColumn="0" w:lastRowFirstColumn="0" w:lastRowLastColumn="0"/>
        </w:trPr>
        <w:tc>
          <w:tcPr>
            <w:tcW w:w="2552" w:type="dxa"/>
            <w:tcBorders>
              <w:right w:val="single" w:sz="6" w:space="0" w:color="FFFFFF" w:themeColor="background1"/>
            </w:tcBorders>
            <w:vAlign w:val="center"/>
          </w:tcPr>
          <w:p w14:paraId="2A536D60" w14:textId="3FC23B56" w:rsidR="00FD5900" w:rsidRPr="003004FA" w:rsidRDefault="00FD5900" w:rsidP="00FD5900">
            <w:proofErr w:type="spellStart"/>
            <w:r w:rsidRPr="009A7364">
              <w:rPr>
                <w:color w:val="auto"/>
              </w:rPr>
              <w:t>Ryzodeg</w:t>
            </w:r>
            <w:proofErr w:type="spellEnd"/>
            <w:r w:rsidRPr="004353B9">
              <w:rPr>
                <w:color w:val="auto"/>
                <w:vertAlign w:val="superscript"/>
              </w:rPr>
              <w:t>®</w:t>
            </w:r>
            <w:r w:rsidRPr="009A7364">
              <w:rPr>
                <w:color w:val="auto"/>
              </w:rPr>
              <w:t xml:space="preserve"> (Insulin degludec + insulin aspart 70/ 30) FlexTouch</w:t>
            </w:r>
            <w:r w:rsidRPr="00C87641">
              <w:rPr>
                <w:color w:val="auto"/>
                <w:vertAlign w:val="superscript"/>
              </w:rPr>
              <w:t>®</w:t>
            </w:r>
            <w:r w:rsidRPr="009A7364">
              <w:rPr>
                <w:color w:val="auto"/>
              </w:rPr>
              <w:t xml:space="preserve"> prefilled pen</w:t>
            </w:r>
          </w:p>
        </w:tc>
        <w:tc>
          <w:tcPr>
            <w:tcW w:w="2551" w:type="dxa"/>
            <w:tcBorders>
              <w:left w:val="single" w:sz="6" w:space="0" w:color="FFFFFF" w:themeColor="background1"/>
              <w:right w:val="single" w:sz="6" w:space="0" w:color="FFFFFF" w:themeColor="background1"/>
            </w:tcBorders>
            <w:vAlign w:val="center"/>
          </w:tcPr>
          <w:p w14:paraId="5D97B857" w14:textId="418F3BE5" w:rsidR="00FD5900" w:rsidRPr="00A05877" w:rsidRDefault="00FD5900" w:rsidP="00FD5900">
            <w:r w:rsidRPr="009A7364">
              <w:rPr>
                <w:color w:val="auto"/>
              </w:rPr>
              <w:t>February 2025</w:t>
            </w:r>
          </w:p>
        </w:tc>
        <w:tc>
          <w:tcPr>
            <w:tcW w:w="4081" w:type="dxa"/>
            <w:tcBorders>
              <w:left w:val="single" w:sz="6" w:space="0" w:color="FFFFFF" w:themeColor="background1"/>
            </w:tcBorders>
          </w:tcPr>
          <w:p w14:paraId="2087D1DA" w14:textId="2A8FA995" w:rsidR="00FD5900" w:rsidRPr="00A05877" w:rsidRDefault="004C5690" w:rsidP="004C5690">
            <w:pPr>
              <w:pStyle w:val="ListBullet"/>
            </w:pPr>
            <w:proofErr w:type="spellStart"/>
            <w:r w:rsidRPr="00EF3BF1">
              <w:t>Ryzodeg</w:t>
            </w:r>
            <w:proofErr w:type="spellEnd"/>
            <w:r w:rsidRPr="00EF3BF1">
              <w:rPr>
                <w:vertAlign w:val="superscript"/>
              </w:rPr>
              <w:t>®</w:t>
            </w:r>
            <w:r w:rsidRPr="00EF3BF1">
              <w:t xml:space="preserve"> (Insulin degludec + insulin aspart 70/30) </w:t>
            </w:r>
            <w:proofErr w:type="spellStart"/>
            <w:r w:rsidRPr="00EF3BF1">
              <w:t>Penfill</w:t>
            </w:r>
            <w:proofErr w:type="spellEnd"/>
            <w:r w:rsidRPr="00EF3BF1">
              <w:rPr>
                <w:vertAlign w:val="superscript"/>
              </w:rPr>
              <w:t>®</w:t>
            </w:r>
            <w:r w:rsidRPr="00EF3BF1">
              <w:t xml:space="preserve"> cartridge</w:t>
            </w:r>
          </w:p>
        </w:tc>
      </w:tr>
      <w:tr w:rsidR="00FD5900" w:rsidRPr="00A05877" w14:paraId="119B3A71" w14:textId="77777777" w:rsidTr="00C812A9">
        <w:tc>
          <w:tcPr>
            <w:tcW w:w="2552" w:type="dxa"/>
            <w:tcBorders>
              <w:right w:val="single" w:sz="6" w:space="0" w:color="FFFFFF" w:themeColor="background1"/>
            </w:tcBorders>
            <w:vAlign w:val="center"/>
          </w:tcPr>
          <w:p w14:paraId="761590B0" w14:textId="35F934B6" w:rsidR="00FD5900" w:rsidRPr="00A05877" w:rsidRDefault="00FD5900" w:rsidP="00FD5900">
            <w:proofErr w:type="spellStart"/>
            <w:r w:rsidRPr="009A7364">
              <w:rPr>
                <w:color w:val="auto"/>
              </w:rPr>
              <w:t>Actrapid</w:t>
            </w:r>
            <w:proofErr w:type="spellEnd"/>
            <w:r w:rsidRPr="004353B9">
              <w:rPr>
                <w:color w:val="auto"/>
                <w:vertAlign w:val="superscript"/>
              </w:rPr>
              <w:t>®</w:t>
            </w:r>
            <w:r w:rsidRPr="009A7364">
              <w:rPr>
                <w:color w:val="auto"/>
              </w:rPr>
              <w:t xml:space="preserve"> (insulin neutral) </w:t>
            </w:r>
            <w:r w:rsidRPr="009A7364">
              <w:rPr>
                <w:color w:val="auto"/>
              </w:rPr>
              <w:br/>
            </w:r>
            <w:proofErr w:type="spellStart"/>
            <w:r w:rsidRPr="009A7364">
              <w:rPr>
                <w:color w:val="auto"/>
              </w:rPr>
              <w:t>Penfill</w:t>
            </w:r>
            <w:proofErr w:type="spellEnd"/>
            <w:r w:rsidRPr="00C87641">
              <w:rPr>
                <w:color w:val="auto"/>
                <w:vertAlign w:val="superscript"/>
              </w:rPr>
              <w:t>®</w:t>
            </w:r>
            <w:r w:rsidRPr="009A7364">
              <w:rPr>
                <w:color w:val="auto"/>
              </w:rPr>
              <w:t xml:space="preserve"> cartridge</w:t>
            </w:r>
          </w:p>
        </w:tc>
        <w:tc>
          <w:tcPr>
            <w:tcW w:w="2551" w:type="dxa"/>
            <w:tcBorders>
              <w:left w:val="single" w:sz="6" w:space="0" w:color="FFFFFF" w:themeColor="background1"/>
              <w:right w:val="single" w:sz="6" w:space="0" w:color="FFFFFF" w:themeColor="background1"/>
            </w:tcBorders>
            <w:vAlign w:val="center"/>
          </w:tcPr>
          <w:p w14:paraId="345CA174" w14:textId="15867E84" w:rsidR="00FD5900" w:rsidRPr="00A05877" w:rsidRDefault="00FD5900" w:rsidP="00FD5900">
            <w:r w:rsidRPr="009A7364">
              <w:rPr>
                <w:color w:val="auto"/>
              </w:rPr>
              <w:t>December 2026</w:t>
            </w:r>
          </w:p>
        </w:tc>
        <w:tc>
          <w:tcPr>
            <w:tcW w:w="4081" w:type="dxa"/>
            <w:tcBorders>
              <w:left w:val="single" w:sz="6" w:space="0" w:color="FFFFFF" w:themeColor="background1"/>
            </w:tcBorders>
          </w:tcPr>
          <w:p w14:paraId="1DE2DFA4" w14:textId="77777777" w:rsidR="008461CE" w:rsidRPr="00EF3BF1" w:rsidRDefault="008461CE" w:rsidP="008461CE">
            <w:pPr>
              <w:pStyle w:val="ListBullet"/>
            </w:pPr>
            <w:r w:rsidRPr="00EF3BF1">
              <w:t>Humulin</w:t>
            </w:r>
            <w:r w:rsidRPr="00EF3BF1">
              <w:rPr>
                <w:vertAlign w:val="superscript"/>
              </w:rPr>
              <w:t xml:space="preserve">® </w:t>
            </w:r>
            <w:r w:rsidRPr="00EF3BF1">
              <w:t xml:space="preserve">R (insulin neutral) cartridge </w:t>
            </w:r>
          </w:p>
          <w:p w14:paraId="60AAC02C" w14:textId="23AA5F56" w:rsidR="00FD5900" w:rsidRPr="00A05877" w:rsidRDefault="008461CE" w:rsidP="008461CE">
            <w:pPr>
              <w:pStyle w:val="ListBullet"/>
            </w:pPr>
            <w:proofErr w:type="spellStart"/>
            <w:r w:rsidRPr="00EF3BF1">
              <w:t>Actrapid</w:t>
            </w:r>
            <w:proofErr w:type="spellEnd"/>
            <w:r w:rsidRPr="00EF3BF1">
              <w:rPr>
                <w:vertAlign w:val="superscript"/>
              </w:rPr>
              <w:t>®</w:t>
            </w:r>
            <w:r w:rsidRPr="00EF3BF1">
              <w:t xml:space="preserve"> (insulin neutral) vial</w:t>
            </w:r>
          </w:p>
        </w:tc>
      </w:tr>
      <w:tr w:rsidR="00FD5900" w:rsidRPr="00A05877" w14:paraId="5734A065" w14:textId="77777777" w:rsidTr="00C812A9">
        <w:trPr>
          <w:cnfStyle w:val="000000010000" w:firstRow="0" w:lastRow="0" w:firstColumn="0" w:lastColumn="0" w:oddVBand="0" w:evenVBand="0" w:oddHBand="0" w:evenHBand="1" w:firstRowFirstColumn="0" w:firstRowLastColumn="0" w:lastRowFirstColumn="0" w:lastRowLastColumn="0"/>
        </w:trPr>
        <w:tc>
          <w:tcPr>
            <w:tcW w:w="2552" w:type="dxa"/>
            <w:tcBorders>
              <w:right w:val="single" w:sz="6" w:space="0" w:color="FFFFFF" w:themeColor="background1"/>
            </w:tcBorders>
            <w:vAlign w:val="center"/>
          </w:tcPr>
          <w:p w14:paraId="0B1DCE75" w14:textId="7BEA8935" w:rsidR="00FD5900" w:rsidRPr="00A05877" w:rsidRDefault="00FD5900" w:rsidP="00FD5900">
            <w:proofErr w:type="spellStart"/>
            <w:r w:rsidRPr="009A7364">
              <w:rPr>
                <w:color w:val="auto"/>
              </w:rPr>
              <w:t>Protaphane</w:t>
            </w:r>
            <w:proofErr w:type="spellEnd"/>
            <w:r w:rsidRPr="004353B9">
              <w:rPr>
                <w:color w:val="auto"/>
                <w:vertAlign w:val="superscript"/>
              </w:rPr>
              <w:t>®</w:t>
            </w:r>
            <w:r w:rsidRPr="009A7364">
              <w:rPr>
                <w:color w:val="auto"/>
              </w:rPr>
              <w:t xml:space="preserve"> (insulin isophane) </w:t>
            </w:r>
            <w:proofErr w:type="spellStart"/>
            <w:r w:rsidRPr="009A7364">
              <w:rPr>
                <w:color w:val="auto"/>
              </w:rPr>
              <w:t>InnoLet</w:t>
            </w:r>
            <w:proofErr w:type="spellEnd"/>
            <w:r w:rsidRPr="004353B9">
              <w:rPr>
                <w:color w:val="auto"/>
                <w:vertAlign w:val="superscript"/>
              </w:rPr>
              <w:t>®</w:t>
            </w:r>
            <w:r w:rsidRPr="009A7364">
              <w:rPr>
                <w:color w:val="auto"/>
              </w:rPr>
              <w:t xml:space="preserve"> prefilled pen and </w:t>
            </w:r>
            <w:proofErr w:type="spellStart"/>
            <w:r w:rsidRPr="009A7364">
              <w:rPr>
                <w:color w:val="auto"/>
              </w:rPr>
              <w:t>Penfill</w:t>
            </w:r>
            <w:proofErr w:type="spellEnd"/>
            <w:r w:rsidRPr="00C87641">
              <w:rPr>
                <w:color w:val="auto"/>
                <w:vertAlign w:val="superscript"/>
              </w:rPr>
              <w:t>®</w:t>
            </w:r>
            <w:r w:rsidRPr="009A7364">
              <w:rPr>
                <w:color w:val="auto"/>
              </w:rPr>
              <w:t xml:space="preserve"> cartridge</w:t>
            </w:r>
            <w:r>
              <w:rPr>
                <w:color w:val="auto"/>
              </w:rPr>
              <w:t>*</w:t>
            </w:r>
          </w:p>
        </w:tc>
        <w:tc>
          <w:tcPr>
            <w:tcW w:w="2551" w:type="dxa"/>
            <w:tcBorders>
              <w:left w:val="single" w:sz="6" w:space="0" w:color="FFFFFF" w:themeColor="background1"/>
              <w:right w:val="single" w:sz="6" w:space="0" w:color="FFFFFF" w:themeColor="background1"/>
            </w:tcBorders>
            <w:vAlign w:val="center"/>
          </w:tcPr>
          <w:p w14:paraId="35ADE4FB" w14:textId="77777777" w:rsidR="00FD5900" w:rsidRPr="009A7364" w:rsidRDefault="00FD5900" w:rsidP="00FD5900">
            <w:pPr>
              <w:rPr>
                <w:color w:val="auto"/>
              </w:rPr>
            </w:pPr>
            <w:r w:rsidRPr="009A7364">
              <w:rPr>
                <w:color w:val="auto"/>
              </w:rPr>
              <w:t>February 2025 (</w:t>
            </w:r>
            <w:proofErr w:type="spellStart"/>
            <w:r w:rsidRPr="009A7364">
              <w:rPr>
                <w:color w:val="auto"/>
              </w:rPr>
              <w:t>Innolet</w:t>
            </w:r>
            <w:proofErr w:type="spellEnd"/>
            <w:r w:rsidRPr="00C87641">
              <w:rPr>
                <w:color w:val="auto"/>
                <w:vertAlign w:val="superscript"/>
              </w:rPr>
              <w:t>®</w:t>
            </w:r>
            <w:r w:rsidRPr="009A7364">
              <w:rPr>
                <w:color w:val="auto"/>
              </w:rPr>
              <w:t>)</w:t>
            </w:r>
          </w:p>
          <w:p w14:paraId="118603F9" w14:textId="6B363CA2" w:rsidR="00FD5900" w:rsidRPr="00A05877" w:rsidRDefault="00FD5900" w:rsidP="00FD5900">
            <w:r w:rsidRPr="009A7364">
              <w:rPr>
                <w:color w:val="auto"/>
              </w:rPr>
              <w:t>December 2026 (</w:t>
            </w:r>
            <w:proofErr w:type="spellStart"/>
            <w:r w:rsidRPr="009A7364">
              <w:rPr>
                <w:color w:val="auto"/>
              </w:rPr>
              <w:t>Penfill</w:t>
            </w:r>
            <w:proofErr w:type="spellEnd"/>
            <w:r w:rsidRPr="00C87641">
              <w:rPr>
                <w:color w:val="auto"/>
                <w:vertAlign w:val="superscript"/>
              </w:rPr>
              <w:t>®</w:t>
            </w:r>
            <w:r w:rsidRPr="009A7364">
              <w:rPr>
                <w:color w:val="auto"/>
              </w:rPr>
              <w:t>)</w:t>
            </w:r>
          </w:p>
        </w:tc>
        <w:tc>
          <w:tcPr>
            <w:tcW w:w="4081" w:type="dxa"/>
            <w:tcBorders>
              <w:left w:val="single" w:sz="6" w:space="0" w:color="FFFFFF" w:themeColor="background1"/>
            </w:tcBorders>
          </w:tcPr>
          <w:p w14:paraId="22B3B1A3" w14:textId="77777777" w:rsidR="007F0D37" w:rsidRPr="00EF3BF1" w:rsidRDefault="007F0D37" w:rsidP="007F0D37">
            <w:pPr>
              <w:pStyle w:val="ListBullet"/>
            </w:pPr>
            <w:r w:rsidRPr="00EF3BF1">
              <w:t>Humulin</w:t>
            </w:r>
            <w:r w:rsidRPr="00EF3BF1">
              <w:rPr>
                <w:vertAlign w:val="superscript"/>
              </w:rPr>
              <w:t>®</w:t>
            </w:r>
            <w:r w:rsidRPr="00EF3BF1">
              <w:t xml:space="preserve"> NPH (insulin isophane) cartridge </w:t>
            </w:r>
          </w:p>
          <w:p w14:paraId="62B27123" w14:textId="77777777" w:rsidR="007F0D37" w:rsidRDefault="007F0D37" w:rsidP="007F0D37">
            <w:pPr>
              <w:pStyle w:val="ListBullet"/>
            </w:pPr>
            <w:proofErr w:type="spellStart"/>
            <w:r w:rsidRPr="00EF3BF1">
              <w:t>Protaphane</w:t>
            </w:r>
            <w:proofErr w:type="spellEnd"/>
            <w:r w:rsidRPr="00EF3BF1">
              <w:rPr>
                <w:vertAlign w:val="superscript"/>
              </w:rPr>
              <w:t>®</w:t>
            </w:r>
            <w:r w:rsidRPr="00EF3BF1">
              <w:t xml:space="preserve"> (insulin isophane) vial</w:t>
            </w:r>
          </w:p>
          <w:p w14:paraId="5D53140A" w14:textId="3340C2CF" w:rsidR="00FD5900" w:rsidRPr="00DD3C3B" w:rsidRDefault="007F0D37" w:rsidP="007F0D37">
            <w:r>
              <w:rPr>
                <w:color w:val="auto"/>
              </w:rPr>
              <w:t>A long-acting insulin may also be considered as an alternative with careful monitoring.</w:t>
            </w:r>
            <w:r w:rsidR="00DD3C3B">
              <w:rPr>
                <w:color w:val="auto"/>
              </w:rPr>
              <w:t xml:space="preserve"> </w:t>
            </w:r>
            <w:r w:rsidR="00DD3C3B" w:rsidRPr="00645B8C">
              <w:rPr>
                <w:color w:val="auto"/>
              </w:rPr>
              <w:t xml:space="preserve">For further information about the discontinuation of </w:t>
            </w:r>
            <w:proofErr w:type="spellStart"/>
            <w:r w:rsidR="00DD3C3B" w:rsidRPr="00645B8C">
              <w:rPr>
                <w:color w:val="auto"/>
              </w:rPr>
              <w:t>Protaphane</w:t>
            </w:r>
            <w:proofErr w:type="spellEnd"/>
            <w:r w:rsidR="00DD3C3B" w:rsidRPr="00645B8C">
              <w:rPr>
                <w:color w:val="auto"/>
                <w:vertAlign w:val="superscript"/>
              </w:rPr>
              <w:t>®</w:t>
            </w:r>
            <w:r w:rsidR="00DD3C3B" w:rsidRPr="00645B8C">
              <w:rPr>
                <w:color w:val="auto"/>
              </w:rPr>
              <w:t xml:space="preserve">, refer to the </w:t>
            </w:r>
            <w:hyperlink r:id="rId20" w:history="1">
              <w:r w:rsidR="00DD3C3B" w:rsidRPr="00835877">
                <w:rPr>
                  <w:rStyle w:val="Hyperlink"/>
                </w:rPr>
                <w:t xml:space="preserve">Discontinuation of </w:t>
              </w:r>
              <w:proofErr w:type="spellStart"/>
              <w:r w:rsidR="00DD3C3B" w:rsidRPr="00835877">
                <w:rPr>
                  <w:rStyle w:val="Hyperlink"/>
                </w:rPr>
                <w:t>Protaphane</w:t>
              </w:r>
              <w:proofErr w:type="spellEnd"/>
              <w:r w:rsidR="00DD3C3B" w:rsidRPr="00835877">
                <w:rPr>
                  <w:rStyle w:val="Hyperlink"/>
                  <w:vertAlign w:val="superscript"/>
                </w:rPr>
                <w:t xml:space="preserve">® </w:t>
              </w:r>
              <w:proofErr w:type="spellStart"/>
              <w:r w:rsidR="00DD3C3B" w:rsidRPr="00835877">
                <w:rPr>
                  <w:rStyle w:val="Hyperlink"/>
                </w:rPr>
                <w:t>InnoLet</w:t>
              </w:r>
              <w:proofErr w:type="spellEnd"/>
              <w:r w:rsidR="00DD3C3B" w:rsidRPr="00835877">
                <w:rPr>
                  <w:rStyle w:val="Hyperlink"/>
                  <w:vertAlign w:val="superscript"/>
                </w:rPr>
                <w:t>®</w:t>
              </w:r>
              <w:r w:rsidR="00DD3C3B" w:rsidRPr="00835877">
                <w:rPr>
                  <w:rStyle w:val="Hyperlink"/>
                </w:rPr>
                <w:t>: Strategies and safety considerations</w:t>
              </w:r>
            </w:hyperlink>
            <w:r w:rsidR="00835877">
              <w:rPr>
                <w:color w:val="auto"/>
              </w:rPr>
              <w:t xml:space="preserve"> fact sheet.</w:t>
            </w:r>
          </w:p>
        </w:tc>
      </w:tr>
      <w:tr w:rsidR="00FD5900" w:rsidRPr="00A05877" w14:paraId="2676B9BB" w14:textId="77777777" w:rsidTr="00C812A9">
        <w:tc>
          <w:tcPr>
            <w:tcW w:w="2552" w:type="dxa"/>
            <w:tcBorders>
              <w:right w:val="single" w:sz="6" w:space="0" w:color="FFFFFF" w:themeColor="background1"/>
            </w:tcBorders>
            <w:vAlign w:val="center"/>
          </w:tcPr>
          <w:p w14:paraId="227D13B2" w14:textId="1AC10FAF" w:rsidR="00FD5900" w:rsidRPr="00A05877" w:rsidRDefault="00FD5900" w:rsidP="00FD5900">
            <w:r w:rsidRPr="009A7364">
              <w:rPr>
                <w:color w:val="auto"/>
              </w:rPr>
              <w:t>Levemir</w:t>
            </w:r>
            <w:r w:rsidRPr="004353B9">
              <w:rPr>
                <w:color w:val="auto"/>
                <w:vertAlign w:val="superscript"/>
              </w:rPr>
              <w:t>®</w:t>
            </w:r>
            <w:r w:rsidRPr="009A7364">
              <w:rPr>
                <w:color w:val="auto"/>
              </w:rPr>
              <w:t xml:space="preserve"> (insulin detemir) </w:t>
            </w:r>
            <w:proofErr w:type="spellStart"/>
            <w:r w:rsidRPr="009A7364">
              <w:rPr>
                <w:color w:val="auto"/>
              </w:rPr>
              <w:t>FlexPen</w:t>
            </w:r>
            <w:proofErr w:type="spellEnd"/>
            <w:r w:rsidRPr="004353B9">
              <w:rPr>
                <w:color w:val="auto"/>
                <w:vertAlign w:val="superscript"/>
              </w:rPr>
              <w:t>®</w:t>
            </w:r>
            <w:r w:rsidRPr="009A7364">
              <w:rPr>
                <w:color w:val="auto"/>
              </w:rPr>
              <w:t xml:space="preserve"> prefilled pen and </w:t>
            </w:r>
            <w:r w:rsidRPr="009A7364">
              <w:rPr>
                <w:color w:val="auto"/>
              </w:rPr>
              <w:br/>
            </w:r>
            <w:proofErr w:type="spellStart"/>
            <w:r w:rsidRPr="009A7364">
              <w:rPr>
                <w:color w:val="auto"/>
              </w:rPr>
              <w:t>Penfill</w:t>
            </w:r>
            <w:proofErr w:type="spellEnd"/>
            <w:r w:rsidRPr="00C87641">
              <w:rPr>
                <w:color w:val="auto"/>
                <w:vertAlign w:val="superscript"/>
              </w:rPr>
              <w:t>®</w:t>
            </w:r>
            <w:r w:rsidRPr="009A7364">
              <w:rPr>
                <w:color w:val="auto"/>
              </w:rPr>
              <w:t xml:space="preserve"> cartridge</w:t>
            </w:r>
          </w:p>
        </w:tc>
        <w:tc>
          <w:tcPr>
            <w:tcW w:w="2551" w:type="dxa"/>
            <w:tcBorders>
              <w:left w:val="single" w:sz="6" w:space="0" w:color="FFFFFF" w:themeColor="background1"/>
              <w:right w:val="single" w:sz="6" w:space="0" w:color="FFFFFF" w:themeColor="background1"/>
            </w:tcBorders>
            <w:vAlign w:val="center"/>
          </w:tcPr>
          <w:p w14:paraId="33696018" w14:textId="7B8377B9" w:rsidR="00FD5900" w:rsidRPr="00A05877" w:rsidRDefault="00FD5900" w:rsidP="00FD5900">
            <w:r w:rsidRPr="009A7364">
              <w:rPr>
                <w:color w:val="auto"/>
              </w:rPr>
              <w:t>December 2026</w:t>
            </w:r>
          </w:p>
        </w:tc>
        <w:tc>
          <w:tcPr>
            <w:tcW w:w="4081" w:type="dxa"/>
            <w:tcBorders>
              <w:left w:val="single" w:sz="6" w:space="0" w:color="FFFFFF" w:themeColor="background1"/>
            </w:tcBorders>
          </w:tcPr>
          <w:p w14:paraId="6C9836AF" w14:textId="0454F0AB" w:rsidR="00FD5900" w:rsidRPr="00A05877" w:rsidRDefault="00C812A9" w:rsidP="00FD5900">
            <w:r w:rsidRPr="00EF3BF1">
              <w:rPr>
                <w:color w:val="auto"/>
              </w:rPr>
              <w:t>No like-for-like alternative available</w:t>
            </w:r>
            <w:r>
              <w:rPr>
                <w:color w:val="auto"/>
              </w:rPr>
              <w:t xml:space="preserve">. </w:t>
            </w:r>
            <w:r w:rsidRPr="002A063A">
              <w:t xml:space="preserve">Other long-acting insulins </w:t>
            </w:r>
            <w:r>
              <w:t>are</w:t>
            </w:r>
            <w:r w:rsidRPr="002A063A">
              <w:t xml:space="preserve"> available and may be deemed appropriate on a case-by-case basis</w:t>
            </w:r>
            <w:r>
              <w:t>.</w:t>
            </w:r>
          </w:p>
        </w:tc>
      </w:tr>
    </w:tbl>
    <w:p w14:paraId="0EE3D47A" w14:textId="1F41C916" w:rsidR="0085724D" w:rsidRDefault="0085724D" w:rsidP="0085724D">
      <w:pPr>
        <w:spacing w:after="0"/>
      </w:pPr>
      <w:r>
        <w:rPr>
          <w:lang w:eastAsia="en-GB"/>
        </w:rPr>
        <w:t>*Note the</w:t>
      </w:r>
      <w:r>
        <w:t xml:space="preserve"> </w:t>
      </w:r>
      <w:hyperlink r:id="rId21" w:history="1">
        <w:r w:rsidRPr="008263CF">
          <w:rPr>
            <w:rStyle w:val="Hyperlink"/>
          </w:rPr>
          <w:t>Serious Scarcity Substitution Instrument (SSSI)</w:t>
        </w:r>
      </w:hyperlink>
      <w:r>
        <w:t xml:space="preserve"> for </w:t>
      </w:r>
      <w:hyperlink r:id="rId22" w:history="1">
        <w:proofErr w:type="spellStart"/>
        <w:r w:rsidRPr="00551373">
          <w:rPr>
            <w:rStyle w:val="Hyperlink"/>
          </w:rPr>
          <w:t>Protaphane</w:t>
        </w:r>
        <w:proofErr w:type="spellEnd"/>
        <w:r w:rsidRPr="005E74C7">
          <w:rPr>
            <w:rStyle w:val="Hyperlink"/>
            <w:rFonts w:cs="Arial"/>
            <w:vertAlign w:val="superscript"/>
          </w:rPr>
          <w:t>®</w:t>
        </w:r>
        <w:r w:rsidRPr="00551373">
          <w:rPr>
            <w:rStyle w:val="Hyperlink"/>
          </w:rPr>
          <w:t xml:space="preserve"> </w:t>
        </w:r>
        <w:proofErr w:type="spellStart"/>
        <w:r w:rsidRPr="00551373">
          <w:rPr>
            <w:rStyle w:val="Hyperlink"/>
          </w:rPr>
          <w:t>InnoLet</w:t>
        </w:r>
        <w:proofErr w:type="spellEnd"/>
        <w:r w:rsidRPr="005E74C7">
          <w:rPr>
            <w:rStyle w:val="Hyperlink"/>
            <w:rFonts w:cs="Arial"/>
            <w:vertAlign w:val="superscript"/>
          </w:rPr>
          <w:t>®</w:t>
        </w:r>
      </w:hyperlink>
      <w:r>
        <w:t xml:space="preserve"> only allows community pharmacists to substitute </w:t>
      </w:r>
      <w:proofErr w:type="spellStart"/>
      <w:r>
        <w:t>Protaphane</w:t>
      </w:r>
      <w:proofErr w:type="spellEnd"/>
      <w:r w:rsidRPr="005E74C7">
        <w:rPr>
          <w:rFonts w:cs="Arial"/>
          <w:vertAlign w:val="superscript"/>
        </w:rPr>
        <w:t>®</w:t>
      </w:r>
      <w:r>
        <w:t xml:space="preserve"> </w:t>
      </w:r>
      <w:proofErr w:type="spellStart"/>
      <w:r>
        <w:t>InnoLet</w:t>
      </w:r>
      <w:proofErr w:type="spellEnd"/>
      <w:r w:rsidRPr="005E74C7">
        <w:rPr>
          <w:rFonts w:cs="Arial"/>
          <w:vertAlign w:val="superscript"/>
        </w:rPr>
        <w:t>®</w:t>
      </w:r>
      <w:r>
        <w:t xml:space="preserve"> insulin cartridges with </w:t>
      </w:r>
      <w:proofErr w:type="spellStart"/>
      <w:r>
        <w:t>Protaphane</w:t>
      </w:r>
      <w:proofErr w:type="spellEnd"/>
      <w:r w:rsidRPr="005E74C7">
        <w:rPr>
          <w:rFonts w:cs="Arial"/>
          <w:vertAlign w:val="superscript"/>
        </w:rPr>
        <w:t>®</w:t>
      </w:r>
      <w:r>
        <w:t xml:space="preserve"> </w:t>
      </w:r>
      <w:proofErr w:type="spellStart"/>
      <w:r>
        <w:t>Penfill</w:t>
      </w:r>
      <w:proofErr w:type="spellEnd"/>
      <w:r w:rsidRPr="005E74C7">
        <w:rPr>
          <w:rFonts w:cs="Arial"/>
          <w:vertAlign w:val="superscript"/>
        </w:rPr>
        <w:t>®</w:t>
      </w:r>
      <w:r>
        <w:t xml:space="preserve"> without prior approval from the prescriber, under specific conditions.</w:t>
      </w:r>
    </w:p>
    <w:p w14:paraId="16583551" w14:textId="03F751AE" w:rsidR="00AE4819" w:rsidRDefault="00181EF2" w:rsidP="00181EF2">
      <w:pPr>
        <w:pStyle w:val="Heading2"/>
      </w:pPr>
      <w:r>
        <w:lastRenderedPageBreak/>
        <w:t>Safety considerations</w:t>
      </w:r>
    </w:p>
    <w:p w14:paraId="5CA83817" w14:textId="7526C469" w:rsidR="00181EF2" w:rsidRDefault="00A07DEB" w:rsidP="00A07DEB">
      <w:r w:rsidRPr="00A07DEB">
        <w:t>To assist clinicians to provide safe and quality health care during the disruption to supply of insulin products, it is important to consider potential safety issues prior to changing insulin medicines.</w:t>
      </w:r>
    </w:p>
    <w:p w14:paraId="0A4375F6" w14:textId="0083030D" w:rsidR="00A07DEB" w:rsidRDefault="00CD6F94" w:rsidP="00BD4A3B">
      <w:pPr>
        <w:pStyle w:val="TableCaption"/>
      </w:pPr>
      <w:r>
        <w:t>Potential safety issues to be considered prior to changing insulin products.</w:t>
      </w:r>
    </w:p>
    <w:tbl>
      <w:tblPr>
        <w:tblStyle w:val="SQHTable"/>
        <w:tblW w:w="5000" w:type="pct"/>
        <w:tblLook w:val="04A0" w:firstRow="1" w:lastRow="0" w:firstColumn="1" w:lastColumn="0" w:noHBand="0" w:noVBand="1"/>
        <w:tblDescription w:val="Table description goes here"/>
      </w:tblPr>
      <w:tblGrid>
        <w:gridCol w:w="2977"/>
        <w:gridCol w:w="6199"/>
      </w:tblGrid>
      <w:tr w:rsidR="00B830EC" w:rsidRPr="00A05877" w14:paraId="077EA2E6" w14:textId="77777777" w:rsidTr="00B830EC">
        <w:trPr>
          <w:cnfStyle w:val="100000000000" w:firstRow="1" w:lastRow="0" w:firstColumn="0" w:lastColumn="0" w:oddVBand="0" w:evenVBand="0" w:oddHBand="0" w:evenHBand="0" w:firstRowFirstColumn="0" w:firstRowLastColumn="0" w:lastRowFirstColumn="0" w:lastRowLastColumn="0"/>
        </w:trPr>
        <w:tc>
          <w:tcPr>
            <w:tcW w:w="2977" w:type="dxa"/>
            <w:tcBorders>
              <w:right w:val="single" w:sz="6" w:space="0" w:color="FFFFFF" w:themeColor="background1"/>
            </w:tcBorders>
          </w:tcPr>
          <w:p w14:paraId="6BB90F8A" w14:textId="47544660" w:rsidR="00B830EC" w:rsidRPr="00A738DB" w:rsidRDefault="00B830EC" w:rsidP="00B830EC">
            <w:r w:rsidRPr="00B948DD">
              <w:t>Consideration</w:t>
            </w:r>
          </w:p>
        </w:tc>
        <w:tc>
          <w:tcPr>
            <w:tcW w:w="6199" w:type="dxa"/>
            <w:tcBorders>
              <w:left w:val="single" w:sz="6" w:space="0" w:color="FFFFFF" w:themeColor="background1"/>
              <w:right w:val="single" w:sz="6" w:space="0" w:color="FFFFFF" w:themeColor="background1"/>
            </w:tcBorders>
          </w:tcPr>
          <w:p w14:paraId="35962455" w14:textId="71E7DEFC" w:rsidR="00B830EC" w:rsidRPr="00A738DB" w:rsidRDefault="00B830EC" w:rsidP="00B830EC">
            <w:r w:rsidRPr="00B948DD">
              <w:t>Details</w:t>
            </w:r>
          </w:p>
        </w:tc>
      </w:tr>
      <w:tr w:rsidR="00B830EC" w:rsidRPr="00A05877" w14:paraId="3FE472BB" w14:textId="77777777" w:rsidTr="00B830EC">
        <w:tc>
          <w:tcPr>
            <w:tcW w:w="2977" w:type="dxa"/>
            <w:tcBorders>
              <w:right w:val="single" w:sz="6" w:space="0" w:color="FFFFFF" w:themeColor="background1"/>
            </w:tcBorders>
          </w:tcPr>
          <w:p w14:paraId="203C0449" w14:textId="459F5B26" w:rsidR="00B830EC" w:rsidRPr="00A05877" w:rsidRDefault="00B830EC" w:rsidP="00B830EC">
            <w:r w:rsidRPr="00B948DD">
              <w:t xml:space="preserve">Appropriate prescribing of insulin </w:t>
            </w:r>
          </w:p>
        </w:tc>
        <w:tc>
          <w:tcPr>
            <w:tcW w:w="6199" w:type="dxa"/>
            <w:tcBorders>
              <w:left w:val="single" w:sz="6" w:space="0" w:color="FFFFFF" w:themeColor="background1"/>
              <w:right w:val="single" w:sz="6" w:space="0" w:color="FFFFFF" w:themeColor="background1"/>
            </w:tcBorders>
          </w:tcPr>
          <w:p w14:paraId="397D16DF" w14:textId="67CB925C" w:rsidR="00B830EC" w:rsidRPr="00A05877" w:rsidRDefault="00B830EC" w:rsidP="00B830EC">
            <w:r w:rsidRPr="00B948DD">
              <w:t>Follow the Safer prescribing checklist (Highlight 1)</w:t>
            </w:r>
          </w:p>
        </w:tc>
      </w:tr>
      <w:tr w:rsidR="00B830EC" w:rsidRPr="00A05877" w14:paraId="61CD4DD4" w14:textId="77777777" w:rsidTr="00B830EC">
        <w:trPr>
          <w:cnfStyle w:val="000000010000" w:firstRow="0" w:lastRow="0" w:firstColumn="0" w:lastColumn="0" w:oddVBand="0" w:evenVBand="0" w:oddHBand="0" w:evenHBand="1" w:firstRowFirstColumn="0" w:firstRowLastColumn="0" w:lastRowFirstColumn="0" w:lastRowLastColumn="0"/>
        </w:trPr>
        <w:tc>
          <w:tcPr>
            <w:tcW w:w="2977" w:type="dxa"/>
            <w:tcBorders>
              <w:right w:val="single" w:sz="6" w:space="0" w:color="FFFFFF" w:themeColor="background1"/>
            </w:tcBorders>
          </w:tcPr>
          <w:p w14:paraId="3A12388A" w14:textId="18F873CE" w:rsidR="00B830EC" w:rsidRPr="003004FA" w:rsidRDefault="00B830EC" w:rsidP="00B830EC">
            <w:r w:rsidRPr="00B948DD">
              <w:t>Avoid misinterpretation</w:t>
            </w:r>
          </w:p>
        </w:tc>
        <w:tc>
          <w:tcPr>
            <w:tcW w:w="6199" w:type="dxa"/>
            <w:tcBorders>
              <w:left w:val="single" w:sz="6" w:space="0" w:color="FFFFFF" w:themeColor="background1"/>
              <w:right w:val="single" w:sz="6" w:space="0" w:color="FFFFFF" w:themeColor="background1"/>
            </w:tcBorders>
          </w:tcPr>
          <w:p w14:paraId="680FE058" w14:textId="0E7F5592" w:rsidR="00B830EC" w:rsidRPr="00A05877" w:rsidRDefault="00B830EC" w:rsidP="00B830EC">
            <w:r w:rsidRPr="00B948DD">
              <w:t>Always prescribe the dose in units rather than volume (mL).</w:t>
            </w:r>
          </w:p>
        </w:tc>
      </w:tr>
      <w:tr w:rsidR="00B830EC" w:rsidRPr="00A05877" w14:paraId="3EC5EB26" w14:textId="77777777" w:rsidTr="00B830EC">
        <w:tc>
          <w:tcPr>
            <w:tcW w:w="2977" w:type="dxa"/>
            <w:tcBorders>
              <w:right w:val="single" w:sz="6" w:space="0" w:color="FFFFFF" w:themeColor="background1"/>
            </w:tcBorders>
          </w:tcPr>
          <w:p w14:paraId="1E2CA452" w14:textId="6B5D4CC0" w:rsidR="00B830EC" w:rsidRPr="00A05877" w:rsidRDefault="00B830EC" w:rsidP="00B830EC">
            <w:r w:rsidRPr="00B948DD">
              <w:t>Appropriate dosing</w:t>
            </w:r>
          </w:p>
        </w:tc>
        <w:tc>
          <w:tcPr>
            <w:tcW w:w="6199" w:type="dxa"/>
            <w:tcBorders>
              <w:left w:val="single" w:sz="6" w:space="0" w:color="FFFFFF" w:themeColor="background1"/>
              <w:right w:val="single" w:sz="6" w:space="0" w:color="FFFFFF" w:themeColor="background1"/>
            </w:tcBorders>
          </w:tcPr>
          <w:p w14:paraId="31A89F0E" w14:textId="0C4C52BC" w:rsidR="00B830EC" w:rsidRPr="00A05877" w:rsidRDefault="00B830EC" w:rsidP="00B830EC">
            <w:r w:rsidRPr="00B948DD">
              <w:t xml:space="preserve">If there is clinical uncertainty about appropriate dosing when changing insulin products, specialist diabetes advice should be sought. </w:t>
            </w:r>
          </w:p>
        </w:tc>
      </w:tr>
      <w:tr w:rsidR="00B830EC" w:rsidRPr="00A05877" w14:paraId="5E18F74E" w14:textId="77777777" w:rsidTr="00B830EC">
        <w:trPr>
          <w:cnfStyle w:val="000000010000" w:firstRow="0" w:lastRow="0" w:firstColumn="0" w:lastColumn="0" w:oddVBand="0" w:evenVBand="0" w:oddHBand="0" w:evenHBand="1" w:firstRowFirstColumn="0" w:firstRowLastColumn="0" w:lastRowFirstColumn="0" w:lastRowLastColumn="0"/>
        </w:trPr>
        <w:tc>
          <w:tcPr>
            <w:tcW w:w="2977" w:type="dxa"/>
            <w:tcBorders>
              <w:right w:val="single" w:sz="6" w:space="0" w:color="FFFFFF" w:themeColor="background1"/>
            </w:tcBorders>
          </w:tcPr>
          <w:p w14:paraId="28250904" w14:textId="670EB78F" w:rsidR="00B830EC" w:rsidRPr="00A05877" w:rsidRDefault="00B830EC" w:rsidP="00B830EC">
            <w:r w:rsidRPr="00B948DD">
              <w:t>Monitoring</w:t>
            </w:r>
          </w:p>
        </w:tc>
        <w:tc>
          <w:tcPr>
            <w:tcW w:w="6199" w:type="dxa"/>
            <w:tcBorders>
              <w:left w:val="single" w:sz="6" w:space="0" w:color="FFFFFF" w:themeColor="background1"/>
              <w:right w:val="single" w:sz="6" w:space="0" w:color="FFFFFF" w:themeColor="background1"/>
            </w:tcBorders>
          </w:tcPr>
          <w:p w14:paraId="2FD79706" w14:textId="3AA4CACE" w:rsidR="00B830EC" w:rsidRPr="00A05877" w:rsidRDefault="00B830EC" w:rsidP="00B830EC">
            <w:r w:rsidRPr="00B948DD">
              <w:t xml:space="preserve">Careful observation is required when changing a person with diabetes to an alternative insulin. Blood glucose levels should be monitored regularly following a change in insulin. </w:t>
            </w:r>
          </w:p>
        </w:tc>
      </w:tr>
      <w:tr w:rsidR="00B830EC" w:rsidRPr="00A05877" w14:paraId="216D8F48" w14:textId="77777777" w:rsidTr="00B830EC">
        <w:tc>
          <w:tcPr>
            <w:tcW w:w="2977" w:type="dxa"/>
            <w:tcBorders>
              <w:right w:val="single" w:sz="6" w:space="0" w:color="FFFFFF" w:themeColor="background1"/>
            </w:tcBorders>
          </w:tcPr>
          <w:p w14:paraId="687A43E6" w14:textId="5F052337" w:rsidR="00B830EC" w:rsidRPr="00A05877" w:rsidRDefault="00B830EC" w:rsidP="00B830EC">
            <w:r w:rsidRPr="00B948DD">
              <w:t>Pharmacokinetic profile</w:t>
            </w:r>
          </w:p>
        </w:tc>
        <w:tc>
          <w:tcPr>
            <w:tcW w:w="6199" w:type="dxa"/>
            <w:tcBorders>
              <w:left w:val="single" w:sz="6" w:space="0" w:color="FFFFFF" w:themeColor="background1"/>
              <w:right w:val="single" w:sz="6" w:space="0" w:color="FFFFFF" w:themeColor="background1"/>
            </w:tcBorders>
          </w:tcPr>
          <w:p w14:paraId="5929901E" w14:textId="77777777" w:rsidR="00B830EC" w:rsidRDefault="00B830EC" w:rsidP="00B830EC">
            <w:r w:rsidRPr="00B948DD">
              <w:t xml:space="preserve">Consider the pharmacokinetic profile when determining a new product and/or dosage regimen, noting that for alternative insulin products: </w:t>
            </w:r>
          </w:p>
          <w:p w14:paraId="28BC7B31" w14:textId="77777777" w:rsidR="00B830EC" w:rsidRPr="00B830EC" w:rsidRDefault="00B830EC" w:rsidP="00B830EC">
            <w:pPr>
              <w:pStyle w:val="ListParagraph"/>
              <w:numPr>
                <w:ilvl w:val="0"/>
                <w:numId w:val="12"/>
              </w:numPr>
            </w:pPr>
            <w:r w:rsidRPr="00B830EC">
              <w:t>Duration of action and dosing intervals may differ</w:t>
            </w:r>
          </w:p>
          <w:p w14:paraId="358BBF9F" w14:textId="5A8C1E0C" w:rsidR="00B830EC" w:rsidRPr="00B830EC" w:rsidRDefault="00B830EC" w:rsidP="00B830EC">
            <w:pPr>
              <w:pStyle w:val="ListParagraph"/>
              <w:numPr>
                <w:ilvl w:val="0"/>
                <w:numId w:val="12"/>
              </w:numPr>
            </w:pPr>
            <w:r w:rsidRPr="00B830EC">
              <w:t>Onset of action and time to peak effect may vary.</w:t>
            </w:r>
          </w:p>
        </w:tc>
      </w:tr>
      <w:tr w:rsidR="00B830EC" w:rsidRPr="00A05877" w14:paraId="7FBCF7E1" w14:textId="77777777" w:rsidTr="00B830EC">
        <w:trPr>
          <w:cnfStyle w:val="000000010000" w:firstRow="0" w:lastRow="0" w:firstColumn="0" w:lastColumn="0" w:oddVBand="0" w:evenVBand="0" w:oddHBand="0" w:evenHBand="1" w:firstRowFirstColumn="0" w:firstRowLastColumn="0" w:lastRowFirstColumn="0" w:lastRowLastColumn="0"/>
        </w:trPr>
        <w:tc>
          <w:tcPr>
            <w:tcW w:w="2977" w:type="dxa"/>
            <w:tcBorders>
              <w:right w:val="single" w:sz="6" w:space="0" w:color="FFFFFF" w:themeColor="background1"/>
            </w:tcBorders>
          </w:tcPr>
          <w:p w14:paraId="45327AA1" w14:textId="201DC4C0" w:rsidR="00B830EC" w:rsidRPr="00B14FD4" w:rsidRDefault="00B830EC" w:rsidP="00B830EC">
            <w:pPr>
              <w:rPr>
                <w:szCs w:val="20"/>
              </w:rPr>
            </w:pPr>
            <w:r w:rsidRPr="00B14FD4">
              <w:rPr>
                <w:szCs w:val="20"/>
              </w:rPr>
              <w:t>Formulation (or dosage form)</w:t>
            </w:r>
          </w:p>
        </w:tc>
        <w:tc>
          <w:tcPr>
            <w:tcW w:w="6199" w:type="dxa"/>
            <w:tcBorders>
              <w:left w:val="single" w:sz="6" w:space="0" w:color="FFFFFF" w:themeColor="background1"/>
              <w:right w:val="single" w:sz="6" w:space="0" w:color="FFFFFF" w:themeColor="background1"/>
            </w:tcBorders>
          </w:tcPr>
          <w:p w14:paraId="19725FB4" w14:textId="77777777" w:rsidR="00B830EC" w:rsidRPr="00B14FD4" w:rsidRDefault="00B830EC" w:rsidP="00B830EC">
            <w:pPr>
              <w:rPr>
                <w:szCs w:val="20"/>
              </w:rPr>
            </w:pPr>
            <w:r w:rsidRPr="00B14FD4">
              <w:rPr>
                <w:szCs w:val="20"/>
              </w:rPr>
              <w:t xml:space="preserve">Consider the suitability of the medicine’s formulation for the person with diabetes, their family and carers. </w:t>
            </w:r>
          </w:p>
          <w:p w14:paraId="6AA8EA7B" w14:textId="77777777" w:rsidR="00B830EC" w:rsidRPr="00B14FD4" w:rsidRDefault="00B830EC" w:rsidP="00B830EC">
            <w:pPr>
              <w:rPr>
                <w:szCs w:val="20"/>
              </w:rPr>
            </w:pPr>
            <w:r w:rsidRPr="00B14FD4">
              <w:rPr>
                <w:szCs w:val="20"/>
              </w:rPr>
              <w:t xml:space="preserve">For insulin products not available in a disposable pen/device, use a cartridge loaded into a reusable pen device for subcutaneous administration. Safer use of cartridges and reusable pens is described in </w:t>
            </w:r>
            <w:r w:rsidRPr="00B14FD4">
              <w:rPr>
                <w:b/>
                <w:bCs/>
                <w:szCs w:val="20"/>
              </w:rPr>
              <w:t>Highlight 2.</w:t>
            </w:r>
          </w:p>
          <w:p w14:paraId="21DEFB2B" w14:textId="3E5E2A79" w:rsidR="00B830EC" w:rsidRPr="00B14FD4" w:rsidRDefault="00B830EC" w:rsidP="00B830EC">
            <w:pPr>
              <w:rPr>
                <w:szCs w:val="20"/>
              </w:rPr>
            </w:pPr>
            <w:r w:rsidRPr="00B14FD4">
              <w:rPr>
                <w:szCs w:val="20"/>
              </w:rPr>
              <w:t xml:space="preserve">Insulin vials should only be used in certain circumstances. For example, as outlined in the </w:t>
            </w:r>
            <w:hyperlink r:id="rId23" w:history="1">
              <w:r w:rsidRPr="00B14FD4">
                <w:rPr>
                  <w:rStyle w:val="Hyperlink"/>
                  <w:szCs w:val="20"/>
                </w:rPr>
                <w:t>Clinical Excellence Commission: High-Risk Medicines Standard: Insulin</w:t>
              </w:r>
            </w:hyperlink>
            <w:r w:rsidRPr="00B14FD4">
              <w:rPr>
                <w:szCs w:val="20"/>
              </w:rPr>
              <w:t>. Most people have not had experience with using insulin syringes and vials and would need specific usage instruction on their use. In addition, an insulin pen device may be easier to use where there are dexterity issues, vision impairment and/or low levels of health and medicines literacy.</w:t>
            </w:r>
          </w:p>
          <w:p w14:paraId="3C9740A4" w14:textId="01EB1A8F" w:rsidR="00B830EC" w:rsidRPr="00B14FD4" w:rsidRDefault="00384CD3" w:rsidP="00B830EC">
            <w:pPr>
              <w:rPr>
                <w:szCs w:val="20"/>
              </w:rPr>
            </w:pPr>
            <w:r w:rsidRPr="00B14FD4">
              <w:rPr>
                <w:szCs w:val="20"/>
              </w:rPr>
              <w:t>Hospital-based prescribers should be familiar with local policies, procedures and guidelines regarding safe insulin prescribing and preferred insulin delivery devices.</w:t>
            </w:r>
          </w:p>
        </w:tc>
      </w:tr>
      <w:tr w:rsidR="001C2C9D" w:rsidRPr="00A05877" w14:paraId="386CDBF6" w14:textId="77777777" w:rsidTr="00B830EC">
        <w:tc>
          <w:tcPr>
            <w:tcW w:w="2977" w:type="dxa"/>
            <w:tcBorders>
              <w:right w:val="single" w:sz="6" w:space="0" w:color="FFFFFF" w:themeColor="background1"/>
            </w:tcBorders>
          </w:tcPr>
          <w:p w14:paraId="1B9CA45C" w14:textId="7B14D50C" w:rsidR="001C2C9D" w:rsidRPr="00A05877" w:rsidRDefault="001C2C9D" w:rsidP="001C2C9D">
            <w:r>
              <w:rPr>
                <w:b/>
                <w:bCs/>
              </w:rPr>
              <w:t>Individual</w:t>
            </w:r>
            <w:r w:rsidRPr="00DD54E3">
              <w:rPr>
                <w:b/>
                <w:bCs/>
              </w:rPr>
              <w:t xml:space="preserve"> </w:t>
            </w:r>
            <w:r>
              <w:rPr>
                <w:b/>
                <w:bCs/>
              </w:rPr>
              <w:t xml:space="preserve">person </w:t>
            </w:r>
            <w:r w:rsidRPr="00DD54E3">
              <w:rPr>
                <w:b/>
                <w:bCs/>
              </w:rPr>
              <w:t>factors</w:t>
            </w:r>
          </w:p>
        </w:tc>
        <w:tc>
          <w:tcPr>
            <w:tcW w:w="6199" w:type="dxa"/>
            <w:tcBorders>
              <w:left w:val="single" w:sz="6" w:space="0" w:color="FFFFFF" w:themeColor="background1"/>
              <w:right w:val="single" w:sz="6" w:space="0" w:color="FFFFFF" w:themeColor="background1"/>
            </w:tcBorders>
          </w:tcPr>
          <w:p w14:paraId="693E1DAD" w14:textId="77777777" w:rsidR="001C2C9D" w:rsidRDefault="001C2C9D" w:rsidP="001C2C9D">
            <w:r>
              <w:t>Examples of factors that can impact on the suitability and safety of alternative medicines include:</w:t>
            </w:r>
          </w:p>
          <w:p w14:paraId="0F055A7B" w14:textId="77777777" w:rsidR="001C2C9D" w:rsidRDefault="001C2C9D" w:rsidP="001C2C9D">
            <w:pPr>
              <w:pStyle w:val="ListParagraph"/>
              <w:numPr>
                <w:ilvl w:val="0"/>
                <w:numId w:val="13"/>
              </w:numPr>
            </w:pPr>
            <w:r>
              <w:t>Manual dexterity in using pens and cartridges or vials and syringes</w:t>
            </w:r>
          </w:p>
          <w:p w14:paraId="5B6CD1FC" w14:textId="77777777" w:rsidR="001C2C9D" w:rsidRDefault="001C2C9D" w:rsidP="001C2C9D">
            <w:pPr>
              <w:pStyle w:val="ListParagraph"/>
              <w:numPr>
                <w:ilvl w:val="0"/>
                <w:numId w:val="13"/>
              </w:numPr>
            </w:pPr>
            <w:r>
              <w:t>Visual impairment</w:t>
            </w:r>
          </w:p>
          <w:p w14:paraId="78C09E50" w14:textId="77777777" w:rsidR="001C2C9D" w:rsidRDefault="001C2C9D" w:rsidP="001C2C9D">
            <w:pPr>
              <w:pStyle w:val="ListParagraph"/>
              <w:numPr>
                <w:ilvl w:val="0"/>
                <w:numId w:val="13"/>
              </w:numPr>
            </w:pPr>
            <w:r>
              <w:t>Allergies or sensitivities to certain insulin alternatives.</w:t>
            </w:r>
          </w:p>
          <w:p w14:paraId="635A134B" w14:textId="1086673D" w:rsidR="001C2C9D" w:rsidRPr="00A05877" w:rsidRDefault="001C2C9D" w:rsidP="001C2C9D">
            <w:r w:rsidRPr="004D0C38">
              <w:lastRenderedPageBreak/>
              <w:t>If there is clinical uncertainty about the individual factors that may compromise safety when changing insulin products, specialist diabetes advice should be sought.</w:t>
            </w:r>
          </w:p>
        </w:tc>
      </w:tr>
      <w:tr w:rsidR="000A6CE6" w:rsidRPr="00A05877" w14:paraId="37DE9E70" w14:textId="77777777" w:rsidTr="00B830EC">
        <w:trPr>
          <w:cnfStyle w:val="000000010000" w:firstRow="0" w:lastRow="0" w:firstColumn="0" w:lastColumn="0" w:oddVBand="0" w:evenVBand="0" w:oddHBand="0" w:evenHBand="1" w:firstRowFirstColumn="0" w:firstRowLastColumn="0" w:lastRowFirstColumn="0" w:lastRowLastColumn="0"/>
        </w:trPr>
        <w:tc>
          <w:tcPr>
            <w:tcW w:w="2977" w:type="dxa"/>
            <w:tcBorders>
              <w:right w:val="single" w:sz="6" w:space="0" w:color="FFFFFF" w:themeColor="background1"/>
            </w:tcBorders>
          </w:tcPr>
          <w:p w14:paraId="7F6F93CC" w14:textId="0D48860E" w:rsidR="000A6CE6" w:rsidRPr="00A05877" w:rsidRDefault="000A6CE6" w:rsidP="000A6CE6">
            <w:r>
              <w:rPr>
                <w:b/>
                <w:bCs/>
              </w:rPr>
              <w:lastRenderedPageBreak/>
              <w:t>C</w:t>
            </w:r>
            <w:r w:rsidRPr="00DD54E3">
              <w:rPr>
                <w:b/>
                <w:bCs/>
              </w:rPr>
              <w:t>ounselling</w:t>
            </w:r>
          </w:p>
        </w:tc>
        <w:tc>
          <w:tcPr>
            <w:tcW w:w="6199" w:type="dxa"/>
            <w:tcBorders>
              <w:left w:val="single" w:sz="6" w:space="0" w:color="FFFFFF" w:themeColor="background1"/>
              <w:right w:val="single" w:sz="6" w:space="0" w:color="FFFFFF" w:themeColor="background1"/>
            </w:tcBorders>
          </w:tcPr>
          <w:p w14:paraId="324B6DAD" w14:textId="77777777" w:rsidR="000A6CE6" w:rsidRDefault="000A6CE6" w:rsidP="000A6CE6">
            <w:r>
              <w:t>People with diabetes</w:t>
            </w:r>
            <w:r w:rsidRPr="000F35F5">
              <w:t xml:space="preserve">, their family or carers in the community or residential care, should be provided with appropriate education on the alternative insulin products. </w:t>
            </w:r>
          </w:p>
          <w:p w14:paraId="12BB4E3B" w14:textId="77777777" w:rsidR="000A6CE6" w:rsidRDefault="000A6CE6" w:rsidP="000A6CE6">
            <w:r>
              <w:t xml:space="preserve">Changes to medicines present an opportunity to promote discussion and </w:t>
            </w:r>
            <w:hyperlink r:id="rId24" w:history="1">
              <w:r w:rsidRPr="00CB7589">
                <w:rPr>
                  <w:rStyle w:val="Hyperlink"/>
                </w:rPr>
                <w:t>shared decision-making</w:t>
              </w:r>
            </w:hyperlink>
            <w:r>
              <w:t xml:space="preserve"> with people with diabetes and their family/carers. Some key factors to discuss when introducing an alternative, include:</w:t>
            </w:r>
          </w:p>
          <w:p w14:paraId="36B4F2BE" w14:textId="77777777" w:rsidR="000A6CE6" w:rsidRPr="000A6CE6" w:rsidRDefault="000A6CE6" w:rsidP="000A6CE6">
            <w:pPr>
              <w:pStyle w:val="ListParagraph"/>
              <w:numPr>
                <w:ilvl w:val="0"/>
                <w:numId w:val="15"/>
              </w:numPr>
            </w:pPr>
            <w:r w:rsidRPr="000A6CE6">
              <w:t>Clear instructions and confirmation of alternative insulin product (for example, brand and medicine name)</w:t>
            </w:r>
          </w:p>
          <w:p w14:paraId="56D13D89" w14:textId="77777777" w:rsidR="000A6CE6" w:rsidRPr="000A6CE6" w:rsidRDefault="000A6CE6" w:rsidP="000A6CE6">
            <w:pPr>
              <w:pStyle w:val="ListParagraph"/>
              <w:numPr>
                <w:ilvl w:val="0"/>
                <w:numId w:val="15"/>
              </w:numPr>
            </w:pPr>
            <w:r w:rsidRPr="000A6CE6">
              <w:t>Dosing instructions including device use instructions</w:t>
            </w:r>
          </w:p>
          <w:p w14:paraId="34329ACB" w14:textId="77777777" w:rsidR="000A6CE6" w:rsidRPr="000A6CE6" w:rsidRDefault="000A6CE6" w:rsidP="000A6CE6">
            <w:pPr>
              <w:pStyle w:val="ListParagraph"/>
              <w:numPr>
                <w:ilvl w:val="0"/>
                <w:numId w:val="15"/>
              </w:numPr>
            </w:pPr>
            <w:r w:rsidRPr="000A6CE6">
              <w:t>Storage requirements</w:t>
            </w:r>
          </w:p>
          <w:p w14:paraId="1469386A" w14:textId="77777777" w:rsidR="000A6CE6" w:rsidRPr="000A6CE6" w:rsidRDefault="000A6CE6" w:rsidP="000A6CE6">
            <w:pPr>
              <w:pStyle w:val="ListParagraph"/>
              <w:numPr>
                <w:ilvl w:val="0"/>
                <w:numId w:val="15"/>
              </w:numPr>
            </w:pPr>
            <w:r w:rsidRPr="000A6CE6">
              <w:t>Cost of both the alternative insulin product and the device</w:t>
            </w:r>
          </w:p>
          <w:p w14:paraId="7685E7A0" w14:textId="23A5E5BE" w:rsidR="000A6CE6" w:rsidRPr="000A6CE6" w:rsidRDefault="000A6CE6" w:rsidP="000A6CE6">
            <w:pPr>
              <w:pStyle w:val="ListParagraph"/>
              <w:numPr>
                <w:ilvl w:val="0"/>
                <w:numId w:val="15"/>
              </w:numPr>
            </w:pPr>
            <w:r w:rsidRPr="000A6CE6">
              <w:t>Proper use, handling and method of administration of alternative insulin product and device</w:t>
            </w:r>
          </w:p>
        </w:tc>
      </w:tr>
      <w:tr w:rsidR="00BF3013" w:rsidRPr="00A05877" w14:paraId="407D4B3F" w14:textId="77777777" w:rsidTr="00B830EC">
        <w:tc>
          <w:tcPr>
            <w:tcW w:w="2977" w:type="dxa"/>
            <w:tcBorders>
              <w:right w:val="single" w:sz="6" w:space="0" w:color="FFFFFF" w:themeColor="background1"/>
            </w:tcBorders>
          </w:tcPr>
          <w:p w14:paraId="0BCA3A8A" w14:textId="47D066B0" w:rsidR="00BF3013" w:rsidRPr="00A05877" w:rsidRDefault="00BF3013" w:rsidP="00BF3013">
            <w:r w:rsidRPr="00DD54E3">
              <w:rPr>
                <w:b/>
                <w:bCs/>
              </w:rPr>
              <w:t>Transition of care</w:t>
            </w:r>
          </w:p>
        </w:tc>
        <w:tc>
          <w:tcPr>
            <w:tcW w:w="6199" w:type="dxa"/>
            <w:tcBorders>
              <w:left w:val="single" w:sz="6" w:space="0" w:color="FFFFFF" w:themeColor="background1"/>
              <w:right w:val="single" w:sz="6" w:space="0" w:color="FFFFFF" w:themeColor="background1"/>
            </w:tcBorders>
          </w:tcPr>
          <w:p w14:paraId="210055F1" w14:textId="77777777" w:rsidR="00BF3013" w:rsidRDefault="00BF3013" w:rsidP="00BF3013">
            <w:r>
              <w:t xml:space="preserve">Ensure that insulin products and the devices used to deliver them are available and can be accessed when transitioning to different settings. For example, from hospital to community or metropolitan to rural/remote areas. </w:t>
            </w:r>
          </w:p>
          <w:p w14:paraId="24EDB686" w14:textId="77777777" w:rsidR="00BF3013" w:rsidRDefault="00BF3013" w:rsidP="00BF3013">
            <w:r>
              <w:t>E</w:t>
            </w:r>
            <w:r w:rsidRPr="00495C38">
              <w:t xml:space="preserve">nsure any changes are communicated to all healthcare practitioners, and </w:t>
            </w:r>
            <w:r>
              <w:t xml:space="preserve">people </w:t>
            </w:r>
            <w:r w:rsidRPr="00495C38">
              <w:t>involved in the care of the p</w:t>
            </w:r>
            <w:r>
              <w:t>erson with diabetes</w:t>
            </w:r>
            <w:r w:rsidRPr="00495C38">
              <w:t xml:space="preserve"> (e.g. </w:t>
            </w:r>
            <w:r>
              <w:t xml:space="preserve">their family and/or </w:t>
            </w:r>
            <w:r w:rsidRPr="00495C38">
              <w:t>carer). Encourage the use of an up-to-date medicines list. When ceasing a medicine that is no longer available, record this information.</w:t>
            </w:r>
          </w:p>
          <w:p w14:paraId="68347BC6" w14:textId="7492F30C" w:rsidR="00BF3013" w:rsidRPr="002200D3" w:rsidRDefault="00BF3013" w:rsidP="00BF3013">
            <w:pPr>
              <w:rPr>
                <w:szCs w:val="20"/>
              </w:rPr>
            </w:pPr>
            <w:r w:rsidRPr="002200D3">
              <w:rPr>
                <w:rFonts w:cs="Arial"/>
                <w:color w:val="000000"/>
                <w:szCs w:val="20"/>
                <w:lang w:eastAsia="en-GB"/>
              </w:rPr>
              <w:t xml:space="preserve">Refer to </w:t>
            </w:r>
            <w:hyperlink r:id="rId25" w:history="1">
              <w:r w:rsidRPr="002200D3">
                <w:rPr>
                  <w:rStyle w:val="Hyperlink"/>
                  <w:rFonts w:cs="Arial"/>
                  <w:szCs w:val="20"/>
                  <w:lang w:eastAsia="en-GB"/>
                </w:rPr>
                <w:t>Principles for safe and high-quality transitions of care</w:t>
              </w:r>
            </w:hyperlink>
            <w:r w:rsidRPr="002200D3">
              <w:rPr>
                <w:rFonts w:cs="Arial"/>
                <w:color w:val="000000"/>
                <w:szCs w:val="20"/>
                <w:lang w:eastAsia="en-GB"/>
              </w:rPr>
              <w:t xml:space="preserve"> for more information.</w:t>
            </w:r>
          </w:p>
        </w:tc>
      </w:tr>
      <w:tr w:rsidR="00534AB4" w:rsidRPr="00A05877" w14:paraId="3EC2E351" w14:textId="77777777" w:rsidTr="00B830EC">
        <w:trPr>
          <w:cnfStyle w:val="000000010000" w:firstRow="0" w:lastRow="0" w:firstColumn="0" w:lastColumn="0" w:oddVBand="0" w:evenVBand="0" w:oddHBand="0" w:evenHBand="1" w:firstRowFirstColumn="0" w:firstRowLastColumn="0" w:lastRowFirstColumn="0" w:lastRowLastColumn="0"/>
        </w:trPr>
        <w:tc>
          <w:tcPr>
            <w:tcW w:w="2977" w:type="dxa"/>
            <w:tcBorders>
              <w:right w:val="single" w:sz="6" w:space="0" w:color="FFFFFF" w:themeColor="background1"/>
            </w:tcBorders>
          </w:tcPr>
          <w:p w14:paraId="01A62848" w14:textId="47F78C52" w:rsidR="00534AB4" w:rsidRPr="00A05877" w:rsidRDefault="00534AB4" w:rsidP="00534AB4">
            <w:r w:rsidRPr="00DD54E3">
              <w:rPr>
                <w:b/>
                <w:bCs/>
              </w:rPr>
              <w:t xml:space="preserve">Electronic medication management </w:t>
            </w:r>
            <w:r>
              <w:rPr>
                <w:b/>
                <w:bCs/>
              </w:rPr>
              <w:t>(</w:t>
            </w:r>
            <w:proofErr w:type="spellStart"/>
            <w:r>
              <w:rPr>
                <w:b/>
                <w:bCs/>
              </w:rPr>
              <w:t>eMM</w:t>
            </w:r>
            <w:proofErr w:type="spellEnd"/>
            <w:r>
              <w:rPr>
                <w:b/>
                <w:bCs/>
              </w:rPr>
              <w:t xml:space="preserve">) </w:t>
            </w:r>
            <w:r w:rsidRPr="00DD54E3">
              <w:rPr>
                <w:b/>
                <w:bCs/>
              </w:rPr>
              <w:t>systems</w:t>
            </w:r>
          </w:p>
        </w:tc>
        <w:tc>
          <w:tcPr>
            <w:tcW w:w="6199" w:type="dxa"/>
            <w:tcBorders>
              <w:left w:val="single" w:sz="6" w:space="0" w:color="FFFFFF" w:themeColor="background1"/>
              <w:right w:val="single" w:sz="6" w:space="0" w:color="FFFFFF" w:themeColor="background1"/>
            </w:tcBorders>
          </w:tcPr>
          <w:p w14:paraId="5E64093A" w14:textId="5A8640BA" w:rsidR="00534AB4" w:rsidRPr="00A05877" w:rsidRDefault="00534AB4" w:rsidP="00534AB4">
            <w:r w:rsidRPr="008230E2">
              <w:t>Ensure the electronic prescribing system used reflects any product changes</w:t>
            </w:r>
            <w:r>
              <w:t xml:space="preserve">. The review should be overseen by the local medicines’ governance committee, for instance, the Drug and Therapeutics Committee (or similar). </w:t>
            </w:r>
            <w:r w:rsidRPr="008230E2">
              <w:t>The software should include mechanisms to prevent selection errors at the point of prescribing. However, prescribers should ensure all elements of the prescription</w:t>
            </w:r>
            <w:r>
              <w:t>,</w:t>
            </w:r>
            <w:r w:rsidRPr="008230E2">
              <w:t xml:space="preserve"> as per the </w:t>
            </w:r>
            <w:hyperlink w:anchor="Highlight1" w:history="1">
              <w:r w:rsidRPr="00E97CE9">
                <w:rPr>
                  <w:rStyle w:val="Hyperlink"/>
                  <w:szCs w:val="20"/>
                </w:rPr>
                <w:t>Safer prescribing checklist</w:t>
              </w:r>
            </w:hyperlink>
            <w:r w:rsidR="00A825DD" w:rsidRPr="00E97CE9">
              <w:rPr>
                <w:szCs w:val="20"/>
              </w:rPr>
              <w:fldChar w:fldCharType="begin"/>
            </w:r>
            <w:r w:rsidR="00A825DD" w:rsidRPr="00E97CE9">
              <w:rPr>
                <w:szCs w:val="20"/>
              </w:rPr>
              <w:instrText xml:space="preserve"> REF Highlight1 \h </w:instrText>
            </w:r>
            <w:r w:rsidR="00E97CE9">
              <w:rPr>
                <w:szCs w:val="20"/>
              </w:rPr>
              <w:instrText xml:space="preserve"> \* MERGEFORMAT </w:instrText>
            </w:r>
            <w:r w:rsidR="00A825DD" w:rsidRPr="00E97CE9">
              <w:rPr>
                <w:szCs w:val="20"/>
              </w:rPr>
            </w:r>
            <w:r w:rsidR="00A825DD" w:rsidRPr="00E97CE9">
              <w:rPr>
                <w:szCs w:val="20"/>
              </w:rPr>
              <w:fldChar w:fldCharType="end"/>
            </w:r>
            <w:r w:rsidR="00A825DD" w:rsidRPr="00E97CE9">
              <w:rPr>
                <w:szCs w:val="20"/>
              </w:rPr>
              <w:fldChar w:fldCharType="begin"/>
            </w:r>
            <w:r w:rsidR="00A825DD" w:rsidRPr="00E97CE9">
              <w:rPr>
                <w:szCs w:val="20"/>
              </w:rPr>
              <w:instrText xml:space="preserve"> REF Highlight1 \h </w:instrText>
            </w:r>
            <w:r w:rsidR="00E97CE9">
              <w:rPr>
                <w:szCs w:val="20"/>
              </w:rPr>
              <w:instrText xml:space="preserve"> \* MERGEFORMAT </w:instrText>
            </w:r>
            <w:r w:rsidR="00A825DD" w:rsidRPr="00E97CE9">
              <w:rPr>
                <w:szCs w:val="20"/>
              </w:rPr>
            </w:r>
            <w:r w:rsidR="00A825DD" w:rsidRPr="00E97CE9">
              <w:rPr>
                <w:szCs w:val="20"/>
              </w:rPr>
              <w:fldChar w:fldCharType="end"/>
            </w:r>
            <w:r w:rsidRPr="00E97CE9">
              <w:rPr>
                <w:szCs w:val="20"/>
              </w:rPr>
              <w:t>,</w:t>
            </w:r>
            <w:r>
              <w:t xml:space="preserve"> </w:t>
            </w:r>
            <w:r w:rsidRPr="008230E2">
              <w:t>ha</w:t>
            </w:r>
            <w:r>
              <w:t>ve</w:t>
            </w:r>
            <w:r w:rsidRPr="008230E2">
              <w:t xml:space="preserve"> been met</w:t>
            </w:r>
            <w:r>
              <w:t>.</w:t>
            </w:r>
          </w:p>
        </w:tc>
      </w:tr>
      <w:tr w:rsidR="00E84D83" w:rsidRPr="00A05877" w14:paraId="3C757E21" w14:textId="77777777" w:rsidTr="00B830EC">
        <w:tc>
          <w:tcPr>
            <w:tcW w:w="2977" w:type="dxa"/>
            <w:tcBorders>
              <w:right w:val="single" w:sz="6" w:space="0" w:color="FFFFFF" w:themeColor="background1"/>
            </w:tcBorders>
          </w:tcPr>
          <w:p w14:paraId="512FD68D" w14:textId="231E0FCA" w:rsidR="00E84D83" w:rsidRPr="00DD54E3" w:rsidRDefault="00E84D83" w:rsidP="00E84D83">
            <w:pPr>
              <w:rPr>
                <w:b/>
                <w:bCs/>
              </w:rPr>
            </w:pPr>
            <w:r>
              <w:rPr>
                <w:b/>
                <w:bCs/>
              </w:rPr>
              <w:t>Governance</w:t>
            </w:r>
          </w:p>
        </w:tc>
        <w:tc>
          <w:tcPr>
            <w:tcW w:w="6199" w:type="dxa"/>
            <w:tcBorders>
              <w:left w:val="single" w:sz="6" w:space="0" w:color="FFFFFF" w:themeColor="background1"/>
              <w:right w:val="single" w:sz="6" w:space="0" w:color="FFFFFF" w:themeColor="background1"/>
            </w:tcBorders>
          </w:tcPr>
          <w:p w14:paraId="535079A5" w14:textId="51B5F168" w:rsidR="00E84D83" w:rsidRDefault="00E84D83" w:rsidP="00E84D83">
            <w:pPr>
              <w:contextualSpacing/>
            </w:pPr>
            <w:r w:rsidRPr="008230E2">
              <w:t>Safer medication management is supported by local policies procedures and guidelines as well a</w:t>
            </w:r>
            <w:r w:rsidRPr="00E84D83">
              <w:rPr>
                <w:color w:val="auto"/>
              </w:rPr>
              <w:t xml:space="preserve">s overarching </w:t>
            </w:r>
            <w:hyperlink r:id="rId26" w:history="1">
              <w:r w:rsidRPr="00FF1032">
                <w:rPr>
                  <w:rStyle w:val="Hyperlink"/>
                  <w:szCs w:val="20"/>
                </w:rPr>
                <w:t>National Safety and Quality Primary and Community Healthcare Standards</w:t>
              </w:r>
            </w:hyperlink>
            <w:r w:rsidRPr="00FF1032">
              <w:rPr>
                <w:color w:val="auto"/>
                <w:szCs w:val="20"/>
              </w:rPr>
              <w:t xml:space="preserve">, and the </w:t>
            </w:r>
            <w:hyperlink r:id="rId27" w:history="1">
              <w:r w:rsidRPr="00FF1032">
                <w:rPr>
                  <w:rStyle w:val="Hyperlink"/>
                  <w:szCs w:val="20"/>
                </w:rPr>
                <w:t>Medication Safety Standard</w:t>
              </w:r>
            </w:hyperlink>
            <w:r w:rsidRPr="00FF1032">
              <w:rPr>
                <w:color w:val="auto"/>
                <w:szCs w:val="20"/>
              </w:rPr>
              <w:t xml:space="preserve"> within the </w:t>
            </w:r>
            <w:hyperlink r:id="rId28" w:history="1">
              <w:r w:rsidRPr="00FF1032">
                <w:rPr>
                  <w:rStyle w:val="Hyperlink"/>
                  <w:szCs w:val="20"/>
                </w:rPr>
                <w:t>National Safety and Quality Health Service (NSQHS) Standards</w:t>
              </w:r>
            </w:hyperlink>
            <w:r w:rsidRPr="00FF1032">
              <w:rPr>
                <w:color w:val="auto"/>
                <w:szCs w:val="20"/>
              </w:rPr>
              <w:t>.</w:t>
            </w:r>
            <w:r w:rsidRPr="00E84D83">
              <w:rPr>
                <w:color w:val="auto"/>
              </w:rPr>
              <w:t xml:space="preserve"> </w:t>
            </w:r>
          </w:p>
          <w:p w14:paraId="515790CC" w14:textId="77777777" w:rsidR="00E84D83" w:rsidRPr="008230E2" w:rsidRDefault="00E84D83" w:rsidP="00E84D83">
            <w:pPr>
              <w:contextualSpacing/>
            </w:pPr>
          </w:p>
          <w:p w14:paraId="3346C161" w14:textId="275AC47E" w:rsidR="00E84D83" w:rsidRPr="008230E2" w:rsidRDefault="00E84D83" w:rsidP="00E84D83">
            <w:r w:rsidRPr="008230E2">
              <w:t xml:space="preserve">Health service organisations should refer to the hospital pharmacy department and/or the local medicines governance committee for any sudden changes in availability that will impact insulin products for </w:t>
            </w:r>
            <w:r>
              <w:t>people with diabetes</w:t>
            </w:r>
            <w:r w:rsidRPr="008230E2">
              <w:t xml:space="preserve"> whilst</w:t>
            </w:r>
            <w:r>
              <w:t xml:space="preserve"> they are</w:t>
            </w:r>
            <w:r w:rsidRPr="008230E2">
              <w:t xml:space="preserve"> in hospital.</w:t>
            </w:r>
          </w:p>
        </w:tc>
      </w:tr>
    </w:tbl>
    <w:p w14:paraId="7B72FADC" w14:textId="10DD90DC" w:rsidR="00B05D94" w:rsidRDefault="00FF1032" w:rsidP="00CD6F94">
      <w:pPr>
        <w:pStyle w:val="TableCaption"/>
        <w:numPr>
          <w:ilvl w:val="0"/>
          <w:numId w:val="0"/>
        </w:numPr>
      </w:pPr>
      <w:r>
        <w:rPr>
          <w:noProof/>
        </w:rPr>
        <w:lastRenderedPageBreak/>
        <mc:AlternateContent>
          <mc:Choice Requires="wps">
            <w:drawing>
              <wp:inline distT="0" distB="0" distL="0" distR="0" wp14:anchorId="1F0B0F2E" wp14:editId="48F97D2F">
                <wp:extent cx="5831840" cy="662305"/>
                <wp:effectExtent l="0" t="0" r="0" b="4445"/>
                <wp:docPr id="779166718" name="Text Box 12"/>
                <wp:cNvGraphicFramePr/>
                <a:graphic xmlns:a="http://schemas.openxmlformats.org/drawingml/2006/main">
                  <a:graphicData uri="http://schemas.microsoft.com/office/word/2010/wordprocessingShape">
                    <wps:wsp>
                      <wps:cNvSpPr txBox="1"/>
                      <wps:spPr>
                        <a:xfrm>
                          <a:off x="0" y="0"/>
                          <a:ext cx="5831840" cy="662305"/>
                        </a:xfrm>
                        <a:prstGeom prst="rect">
                          <a:avLst/>
                        </a:prstGeom>
                        <a:noFill/>
                        <a:ln w="6350">
                          <a:noFill/>
                        </a:ln>
                      </wps:spPr>
                      <wps:txbx>
                        <w:txbxContent>
                          <w:tbl>
                            <w:tblPr>
                              <w:tblW w:w="0" w:type="auto"/>
                              <w:tblCellMar>
                                <w:top w:w="57" w:type="dxa"/>
                                <w:left w:w="170" w:type="dxa"/>
                                <w:bottom w:w="57" w:type="dxa"/>
                                <w:right w:w="170" w:type="dxa"/>
                              </w:tblCellMar>
                              <w:tblLook w:val="04A0" w:firstRow="1" w:lastRow="0" w:firstColumn="1" w:lastColumn="0" w:noHBand="0" w:noVBand="1"/>
                            </w:tblPr>
                            <w:tblGrid>
                              <w:gridCol w:w="9114"/>
                            </w:tblGrid>
                            <w:tr w:rsidR="00FF1032" w14:paraId="265CCE28" w14:textId="77777777" w:rsidTr="00C21194">
                              <w:tc>
                                <w:tcPr>
                                  <w:tcW w:w="9114" w:type="dxa"/>
                                  <w:tcBorders>
                                    <w:right w:val="single" w:sz="24" w:space="0" w:color="F0E8FE" w:themeColor="background2"/>
                                  </w:tcBorders>
                                  <w:shd w:val="clear" w:color="auto" w:fill="F0E8FE" w:themeFill="background2"/>
                                </w:tcPr>
                                <w:p w14:paraId="340FBA5C" w14:textId="234D795C" w:rsidR="00FF1032" w:rsidRPr="00AB3259" w:rsidRDefault="00FF1032" w:rsidP="002B3C79">
                                  <w:pPr>
                                    <w:pStyle w:val="BoxHeading"/>
                                  </w:pPr>
                                  <w:bookmarkStart w:id="1" w:name="Highlight1"/>
                                  <w:bookmarkEnd w:id="1"/>
                                  <w:r>
                                    <w:t>Highlight 1: Safer prescribing checklist</w:t>
                                  </w:r>
                                </w:p>
                                <w:p w14:paraId="284D5BA8" w14:textId="77777777" w:rsidR="001D107C" w:rsidRDefault="001D107C" w:rsidP="001D107C">
                                  <w:r>
                                    <w:t>Safe and quality use of medicines is supported by best practice prescribing principles. Applying a safe prescribing checklist helps to mitigate risk when managing changes in insulin medicines. To safely prescribe insulin medicines, always include the following on all prescriptions and medication orders (in accordance with state or territory legislative requirements):</w:t>
                                  </w:r>
                                </w:p>
                                <w:p w14:paraId="3AC1FD85" w14:textId="20341A23" w:rsidR="001D107C" w:rsidRDefault="001D107C" w:rsidP="001D107C">
                                  <w:pPr>
                                    <w:pStyle w:val="ListParagraph"/>
                                    <w:numPr>
                                      <w:ilvl w:val="0"/>
                                      <w:numId w:val="16"/>
                                    </w:numPr>
                                  </w:pPr>
                                  <w:r>
                                    <w:t>Active ingredient name</w:t>
                                  </w:r>
                                </w:p>
                                <w:p w14:paraId="3F27A7B7" w14:textId="42712886" w:rsidR="001D107C" w:rsidRDefault="001D107C" w:rsidP="001D107C">
                                  <w:pPr>
                                    <w:pStyle w:val="ListParagraph"/>
                                    <w:numPr>
                                      <w:ilvl w:val="0"/>
                                      <w:numId w:val="16"/>
                                    </w:numPr>
                                  </w:pPr>
                                  <w:r>
                                    <w:t>Brand name*</w:t>
                                  </w:r>
                                </w:p>
                                <w:p w14:paraId="6F59ED7F" w14:textId="646A3967" w:rsidR="001D107C" w:rsidRDefault="001D107C" w:rsidP="001D107C">
                                  <w:pPr>
                                    <w:pStyle w:val="ListParagraph"/>
                                    <w:numPr>
                                      <w:ilvl w:val="0"/>
                                      <w:numId w:val="16"/>
                                    </w:numPr>
                                  </w:pPr>
                                  <w:r>
                                    <w:t>Strength or concentration with ‘units’ written in full (including correct proportions for pre-mixed and co-formulated insulins)</w:t>
                                  </w:r>
                                </w:p>
                                <w:p w14:paraId="67F90F0E" w14:textId="76100935" w:rsidR="001D107C" w:rsidRDefault="001D107C" w:rsidP="001D107C">
                                  <w:pPr>
                                    <w:pStyle w:val="ListParagraph"/>
                                    <w:numPr>
                                      <w:ilvl w:val="0"/>
                                      <w:numId w:val="16"/>
                                    </w:numPr>
                                  </w:pPr>
                                  <w:r>
                                    <w:t>Formulation, including delivery device</w:t>
                                  </w:r>
                                </w:p>
                                <w:p w14:paraId="58C377E8" w14:textId="4E45F20B" w:rsidR="001D107C" w:rsidRDefault="001D107C" w:rsidP="001D107C">
                                  <w:pPr>
                                    <w:pStyle w:val="ListParagraph"/>
                                    <w:numPr>
                                      <w:ilvl w:val="0"/>
                                      <w:numId w:val="16"/>
                                    </w:numPr>
                                  </w:pPr>
                                  <w:r>
                                    <w:t>Dose - always prescribe the dose in units and not volume (mL)</w:t>
                                  </w:r>
                                </w:p>
                                <w:p w14:paraId="5DDBE7BB" w14:textId="3CF42782" w:rsidR="001D107C" w:rsidRDefault="001D107C" w:rsidP="001D107C">
                                  <w:pPr>
                                    <w:pStyle w:val="ListParagraph"/>
                                    <w:numPr>
                                      <w:ilvl w:val="0"/>
                                      <w:numId w:val="16"/>
                                    </w:numPr>
                                  </w:pPr>
                                  <w:r>
                                    <w:t>Route</w:t>
                                  </w:r>
                                </w:p>
                                <w:p w14:paraId="5855D2B7" w14:textId="79488E11" w:rsidR="001D107C" w:rsidRDefault="001D107C" w:rsidP="001D107C">
                                  <w:pPr>
                                    <w:pStyle w:val="ListParagraph"/>
                                    <w:numPr>
                                      <w:ilvl w:val="0"/>
                                      <w:numId w:val="16"/>
                                    </w:numPr>
                                  </w:pPr>
                                  <w:r>
                                    <w:t>Frequency and timing of dose</w:t>
                                  </w:r>
                                </w:p>
                                <w:p w14:paraId="6F8191E4" w14:textId="7AAA3CBE" w:rsidR="001D107C" w:rsidRDefault="001D107C" w:rsidP="001D107C">
                                  <w:pPr>
                                    <w:pStyle w:val="ListParagraph"/>
                                    <w:numPr>
                                      <w:ilvl w:val="0"/>
                                      <w:numId w:val="16"/>
                                    </w:numPr>
                                  </w:pPr>
                                  <w:r>
                                    <w:t xml:space="preserve">Quantity for supply (as applicable for hospital discharge, residential aged care and in the community, or as per local policy, procedures and guidelines). </w:t>
                                  </w:r>
                                </w:p>
                                <w:p w14:paraId="58C6C8BE" w14:textId="2A1EB46B" w:rsidR="001D107C" w:rsidRDefault="001D107C" w:rsidP="001D107C">
                                  <w:r>
                                    <w:t xml:space="preserve">* Prescriptions should include both the insulin brand name and active ingredient name to support </w:t>
                                  </w:r>
                                  <w:hyperlink r:id="rId29" w:history="1">
                                    <w:r w:rsidRPr="0025221E">
                                      <w:rPr>
                                        <w:rStyle w:val="Hyperlink"/>
                                      </w:rPr>
                                      <w:t>safer product identification and selection</w:t>
                                    </w:r>
                                  </w:hyperlink>
                                  <w:r>
                                    <w:t xml:space="preserve">. </w:t>
                                  </w:r>
                                </w:p>
                                <w:p w14:paraId="5A6D18C9" w14:textId="519680E6" w:rsidR="00FF1032" w:rsidRDefault="001D107C" w:rsidP="001D107C">
                                  <w:r>
                                    <w:t>When prescribing, prescribers should also consider P</w:t>
                                  </w:r>
                                  <w:r w:rsidR="00F216CD">
                                    <w:t xml:space="preserve">harmaceutical </w:t>
                                  </w:r>
                                  <w:r>
                                    <w:t>B</w:t>
                                  </w:r>
                                  <w:r w:rsidR="00C67F2A">
                                    <w:t xml:space="preserve">enefits </w:t>
                                  </w:r>
                                  <w:r>
                                    <w:t>S</w:t>
                                  </w:r>
                                  <w:r w:rsidR="00C67F2A">
                                    <w:t>cheme (PBS)</w:t>
                                  </w:r>
                                  <w:r>
                                    <w:t xml:space="preserve"> restrictions and availability. The </w:t>
                                  </w:r>
                                  <w:hyperlink r:id="rId30" w:history="1">
                                    <w:r w:rsidR="008D2A39" w:rsidRPr="00A02A9D">
                                      <w:rPr>
                                        <w:rStyle w:val="Hyperlink"/>
                                      </w:rPr>
                                      <w:t>PBS</w:t>
                                    </w:r>
                                  </w:hyperlink>
                                  <w:r>
                                    <w:t xml:space="preserve"> website provides information on PBS reimbursement. Contact your hospital pharmacist or local community pharmacy to determine availability.</w:t>
                                  </w:r>
                                </w:p>
                              </w:tc>
                            </w:tr>
                          </w:tbl>
                          <w:p w14:paraId="515DA707" w14:textId="77777777" w:rsidR="00FF1032" w:rsidRPr="00402F1C" w:rsidRDefault="00FF1032" w:rsidP="00FF1032">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1F0B0F2E" id="_x0000_s1027" type="#_x0000_t202" style="width:459.2pt;height:5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" filled="f" stroked="f" strokeweight=".5pt">
                <v:textbox style="mso-fit-shape-to-text:t" inset="0,0,0,0">
                  <w:txbxContent>
                    <w:tbl>
                      <w:tblPr>
                        <w:tblW w:w="0" w:type="auto"/>
                        <w:tblCellMar>
                          <w:top w:w="57" w:type="dxa"/>
                          <w:left w:w="170" w:type="dxa"/>
                          <w:bottom w:w="57" w:type="dxa"/>
                          <w:right w:w="170" w:type="dxa"/>
                        </w:tblCellMar>
                        <w:tblLook w:val="04A0" w:firstRow="1" w:lastRow="0" w:firstColumn="1" w:lastColumn="0" w:noHBand="0" w:noVBand="1"/>
                      </w:tblPr>
                      <w:tblGrid>
                        <w:gridCol w:w="9114"/>
                      </w:tblGrid>
                      <w:tr w:rsidR="00FF1032" w14:paraId="265CCE28" w14:textId="77777777" w:rsidTr="00C21194">
                        <w:tc>
                          <w:tcPr>
                            <w:tcW w:w="9114" w:type="dxa"/>
                            <w:tcBorders>
                              <w:right w:val="single" w:sz="24" w:space="0" w:color="F0E8FE" w:themeColor="background2"/>
                            </w:tcBorders>
                            <w:shd w:val="clear" w:color="auto" w:fill="F0E8FE" w:themeFill="background2"/>
                          </w:tcPr>
                          <w:p w14:paraId="340FBA5C" w14:textId="234D795C" w:rsidR="00FF1032" w:rsidRPr="00AB3259" w:rsidRDefault="00FF1032" w:rsidP="002B3C79">
                            <w:pPr>
                              <w:pStyle w:val="BoxHeading"/>
                            </w:pPr>
                            <w:bookmarkStart w:id="2" w:name="Highlight1"/>
                            <w:bookmarkEnd w:id="2"/>
                            <w:r>
                              <w:t>Highlight 1: Safer prescribing checklist</w:t>
                            </w:r>
                          </w:p>
                          <w:p w14:paraId="284D5BA8" w14:textId="77777777" w:rsidR="001D107C" w:rsidRDefault="001D107C" w:rsidP="001D107C">
                            <w:r>
                              <w:t>Safe and quality use of medicines is supported by best practice prescribing principles. Applying a safe prescribing checklist helps to mitigate risk when managing changes in insulin medicines. To safely prescribe insulin medicines, always include the following on all prescriptions and medication orders (in accordance with state or territory legislative requirements):</w:t>
                            </w:r>
                          </w:p>
                          <w:p w14:paraId="3AC1FD85" w14:textId="20341A23" w:rsidR="001D107C" w:rsidRDefault="001D107C" w:rsidP="001D107C">
                            <w:pPr>
                              <w:pStyle w:val="ListParagraph"/>
                              <w:numPr>
                                <w:ilvl w:val="0"/>
                                <w:numId w:val="16"/>
                              </w:numPr>
                            </w:pPr>
                            <w:r>
                              <w:t>Active ingredient name</w:t>
                            </w:r>
                          </w:p>
                          <w:p w14:paraId="3F27A7B7" w14:textId="42712886" w:rsidR="001D107C" w:rsidRDefault="001D107C" w:rsidP="001D107C">
                            <w:pPr>
                              <w:pStyle w:val="ListParagraph"/>
                              <w:numPr>
                                <w:ilvl w:val="0"/>
                                <w:numId w:val="16"/>
                              </w:numPr>
                            </w:pPr>
                            <w:r>
                              <w:t>Brand name*</w:t>
                            </w:r>
                          </w:p>
                          <w:p w14:paraId="6F59ED7F" w14:textId="646A3967" w:rsidR="001D107C" w:rsidRDefault="001D107C" w:rsidP="001D107C">
                            <w:pPr>
                              <w:pStyle w:val="ListParagraph"/>
                              <w:numPr>
                                <w:ilvl w:val="0"/>
                                <w:numId w:val="16"/>
                              </w:numPr>
                            </w:pPr>
                            <w:r>
                              <w:t>Strength or concentration with ‘units’ written in full (including correct proportions for pre-mixed and co-formulated insulins)</w:t>
                            </w:r>
                          </w:p>
                          <w:p w14:paraId="67F90F0E" w14:textId="76100935" w:rsidR="001D107C" w:rsidRDefault="001D107C" w:rsidP="001D107C">
                            <w:pPr>
                              <w:pStyle w:val="ListParagraph"/>
                              <w:numPr>
                                <w:ilvl w:val="0"/>
                                <w:numId w:val="16"/>
                              </w:numPr>
                            </w:pPr>
                            <w:r>
                              <w:t>Formulation, including delivery device</w:t>
                            </w:r>
                          </w:p>
                          <w:p w14:paraId="58C377E8" w14:textId="4E45F20B" w:rsidR="001D107C" w:rsidRDefault="001D107C" w:rsidP="001D107C">
                            <w:pPr>
                              <w:pStyle w:val="ListParagraph"/>
                              <w:numPr>
                                <w:ilvl w:val="0"/>
                                <w:numId w:val="16"/>
                              </w:numPr>
                            </w:pPr>
                            <w:r>
                              <w:t>Dose - always prescribe the dose in units and not volume (mL)</w:t>
                            </w:r>
                          </w:p>
                          <w:p w14:paraId="5DDBE7BB" w14:textId="3CF42782" w:rsidR="001D107C" w:rsidRDefault="001D107C" w:rsidP="001D107C">
                            <w:pPr>
                              <w:pStyle w:val="ListParagraph"/>
                              <w:numPr>
                                <w:ilvl w:val="0"/>
                                <w:numId w:val="16"/>
                              </w:numPr>
                            </w:pPr>
                            <w:r>
                              <w:t>Route</w:t>
                            </w:r>
                          </w:p>
                          <w:p w14:paraId="5855D2B7" w14:textId="79488E11" w:rsidR="001D107C" w:rsidRDefault="001D107C" w:rsidP="001D107C">
                            <w:pPr>
                              <w:pStyle w:val="ListParagraph"/>
                              <w:numPr>
                                <w:ilvl w:val="0"/>
                                <w:numId w:val="16"/>
                              </w:numPr>
                            </w:pPr>
                            <w:r>
                              <w:t>Frequency and timing of dose</w:t>
                            </w:r>
                          </w:p>
                          <w:p w14:paraId="6F8191E4" w14:textId="7AAA3CBE" w:rsidR="001D107C" w:rsidRDefault="001D107C" w:rsidP="001D107C">
                            <w:pPr>
                              <w:pStyle w:val="ListParagraph"/>
                              <w:numPr>
                                <w:ilvl w:val="0"/>
                                <w:numId w:val="16"/>
                              </w:numPr>
                            </w:pPr>
                            <w:r>
                              <w:t xml:space="preserve">Quantity for supply (as applicable for hospital discharge, residential aged care and in the community, or as per local policy, procedures and guidelines). </w:t>
                            </w:r>
                          </w:p>
                          <w:p w14:paraId="58C6C8BE" w14:textId="2A1EB46B" w:rsidR="001D107C" w:rsidRDefault="001D107C" w:rsidP="001D107C">
                            <w:r>
                              <w:t xml:space="preserve">* Prescriptions should include both the insulin brand name and active ingredient name to support </w:t>
                            </w:r>
                            <w:hyperlink r:id="rId31" w:history="1">
                              <w:r w:rsidRPr="0025221E">
                                <w:rPr>
                                  <w:rStyle w:val="Hyperlink"/>
                                </w:rPr>
                                <w:t>safer product identification and selection</w:t>
                              </w:r>
                            </w:hyperlink>
                            <w:r>
                              <w:t xml:space="preserve">. </w:t>
                            </w:r>
                          </w:p>
                          <w:p w14:paraId="5A6D18C9" w14:textId="519680E6" w:rsidR="00FF1032" w:rsidRDefault="001D107C" w:rsidP="001D107C">
                            <w:r>
                              <w:t>When prescribing, prescribers should also consider P</w:t>
                            </w:r>
                            <w:r w:rsidR="00F216CD">
                              <w:t xml:space="preserve">harmaceutical </w:t>
                            </w:r>
                            <w:r>
                              <w:t>B</w:t>
                            </w:r>
                            <w:r w:rsidR="00C67F2A">
                              <w:t xml:space="preserve">enefits </w:t>
                            </w:r>
                            <w:r>
                              <w:t>S</w:t>
                            </w:r>
                            <w:r w:rsidR="00C67F2A">
                              <w:t>cheme (PBS)</w:t>
                            </w:r>
                            <w:r>
                              <w:t xml:space="preserve"> restrictions and availability. The </w:t>
                            </w:r>
                            <w:hyperlink r:id="rId32" w:history="1">
                              <w:r w:rsidR="008D2A39" w:rsidRPr="00A02A9D">
                                <w:rPr>
                                  <w:rStyle w:val="Hyperlink"/>
                                </w:rPr>
                                <w:t>PBS</w:t>
                              </w:r>
                            </w:hyperlink>
                            <w:r>
                              <w:t xml:space="preserve"> website provides information on PBS reimbursement. Contact your hospital pharmacist or local community pharmacy to determine availability.</w:t>
                            </w:r>
                          </w:p>
                        </w:tc>
                      </w:tr>
                    </w:tbl>
                    <w:p w14:paraId="515DA707" w14:textId="77777777" w:rsidR="00FF1032" w:rsidRPr="00402F1C" w:rsidRDefault="00FF1032" w:rsidP="00FF1032">
                      <w:pPr>
                        <w:pStyle w:val="NoSpacing"/>
                        <w:spacing w:line="240" w:lineRule="auto"/>
                        <w:rPr>
                          <w:sz w:val="2"/>
                          <w:szCs w:val="2"/>
                        </w:rPr>
                      </w:pPr>
                    </w:p>
                  </w:txbxContent>
                </v:textbox>
                <w10:anchorlock/>
              </v:shape>
            </w:pict>
          </mc:Fallback>
        </mc:AlternateContent>
      </w:r>
    </w:p>
    <w:p w14:paraId="000105FA" w14:textId="77777777" w:rsidR="00EF23CE" w:rsidRDefault="00EF23CE" w:rsidP="00CD6F94">
      <w:pPr>
        <w:pStyle w:val="TableCaption"/>
        <w:numPr>
          <w:ilvl w:val="0"/>
          <w:numId w:val="0"/>
        </w:numPr>
      </w:pPr>
    </w:p>
    <w:p w14:paraId="68E37D1C" w14:textId="1B845FFB" w:rsidR="00EF23CE" w:rsidRDefault="00EF23CE" w:rsidP="00EF23CE">
      <w:pPr>
        <w:pStyle w:val="Heading2"/>
      </w:pPr>
      <w:r>
        <w:t>Risk mitigation strategies</w:t>
      </w:r>
    </w:p>
    <w:p w14:paraId="5BE4DB60" w14:textId="77777777" w:rsidR="00C41AFF" w:rsidRPr="00EF42A5" w:rsidRDefault="00C41AFF" w:rsidP="00C41AFF">
      <w:pPr>
        <w:pStyle w:val="ListParagraph"/>
        <w:numPr>
          <w:ilvl w:val="0"/>
          <w:numId w:val="17"/>
        </w:numPr>
        <w:spacing w:after="0" w:line="240" w:lineRule="auto"/>
        <w:rPr>
          <w:rFonts w:cs="Arial"/>
          <w:color w:val="000000"/>
          <w:lang w:eastAsia="en-GB"/>
        </w:rPr>
      </w:pPr>
      <w:r>
        <w:rPr>
          <w:rFonts w:cs="Arial"/>
          <w:color w:val="000000"/>
          <w:lang w:eastAsia="en-GB"/>
        </w:rPr>
        <w:t>People who are newly diagnosed with diabetes who require insulin products</w:t>
      </w:r>
      <w:r w:rsidRPr="00EF42A5">
        <w:rPr>
          <w:rFonts w:cs="Arial"/>
          <w:color w:val="000000"/>
          <w:lang w:eastAsia="en-GB"/>
        </w:rPr>
        <w:t xml:space="preserve"> </w:t>
      </w:r>
      <w:r>
        <w:rPr>
          <w:rFonts w:cs="Arial"/>
          <w:color w:val="000000"/>
          <w:lang w:eastAsia="en-GB"/>
        </w:rPr>
        <w:t>should</w:t>
      </w:r>
      <w:r w:rsidRPr="00EF42A5">
        <w:rPr>
          <w:rFonts w:cs="Arial"/>
          <w:color w:val="000000"/>
          <w:lang w:eastAsia="en-GB"/>
        </w:rPr>
        <w:t xml:space="preserve"> not</w:t>
      </w:r>
      <w:r>
        <w:rPr>
          <w:rFonts w:cs="Arial"/>
          <w:color w:val="000000"/>
          <w:lang w:eastAsia="en-GB"/>
        </w:rPr>
        <w:t xml:space="preserve"> be</w:t>
      </w:r>
      <w:r w:rsidRPr="00EF42A5">
        <w:rPr>
          <w:rFonts w:cs="Arial"/>
          <w:color w:val="000000"/>
          <w:lang w:eastAsia="en-GB"/>
        </w:rPr>
        <w:t xml:space="preserve"> </w:t>
      </w:r>
      <w:r>
        <w:rPr>
          <w:rFonts w:cs="Arial"/>
          <w:color w:val="000000"/>
          <w:lang w:eastAsia="en-GB"/>
        </w:rPr>
        <w:t xml:space="preserve">prescribed products that are to be discontinued. See </w:t>
      </w:r>
      <w:r w:rsidRPr="00AC1307">
        <w:rPr>
          <w:rFonts w:cs="Arial"/>
          <w:b/>
          <w:bCs/>
          <w:color w:val="000000"/>
          <w:lang w:eastAsia="en-GB"/>
        </w:rPr>
        <w:t>Table 1</w:t>
      </w:r>
      <w:r w:rsidRPr="004A023F">
        <w:t xml:space="preserve"> </w:t>
      </w:r>
      <w:bookmarkStart w:id="3" w:name="_Hlk188266949"/>
      <w:r w:rsidRPr="004A023F">
        <w:rPr>
          <w:rFonts w:cs="Arial"/>
          <w:color w:val="000000"/>
          <w:lang w:eastAsia="en-GB"/>
        </w:rPr>
        <w:t>Insulin products to be discontinued and alternative</w:t>
      </w:r>
      <w:r>
        <w:rPr>
          <w:rFonts w:cs="Arial"/>
          <w:color w:val="000000"/>
          <w:lang w:eastAsia="en-GB"/>
        </w:rPr>
        <w:t xml:space="preserve"> products</w:t>
      </w:r>
      <w:bookmarkEnd w:id="3"/>
      <w:r w:rsidRPr="004A023F">
        <w:rPr>
          <w:rFonts w:cs="Arial"/>
          <w:color w:val="000000"/>
          <w:lang w:eastAsia="en-GB"/>
        </w:rPr>
        <w:t>.</w:t>
      </w:r>
      <w:r w:rsidRPr="00EF42A5">
        <w:rPr>
          <w:rFonts w:cs="Arial"/>
          <w:color w:val="000000"/>
          <w:lang w:eastAsia="en-GB"/>
        </w:rPr>
        <w:t xml:space="preserve"> </w:t>
      </w:r>
    </w:p>
    <w:p w14:paraId="75C0D4B4" w14:textId="77777777" w:rsidR="00C41AFF" w:rsidRPr="00EF42A5" w:rsidRDefault="00C41AFF" w:rsidP="00C41AFF">
      <w:pPr>
        <w:pStyle w:val="ListParagraph"/>
        <w:numPr>
          <w:ilvl w:val="0"/>
          <w:numId w:val="17"/>
        </w:numPr>
        <w:spacing w:after="0" w:line="240" w:lineRule="auto"/>
        <w:rPr>
          <w:rFonts w:cs="Arial"/>
          <w:color w:val="000000"/>
          <w:lang w:eastAsia="en-GB"/>
        </w:rPr>
      </w:pPr>
      <w:r w:rsidRPr="00EF42A5">
        <w:rPr>
          <w:rFonts w:cs="Arial"/>
          <w:color w:val="000000"/>
          <w:lang w:eastAsia="en-GB"/>
        </w:rPr>
        <w:t xml:space="preserve">Proactively identify and review </w:t>
      </w:r>
      <w:r>
        <w:rPr>
          <w:rFonts w:cs="Arial"/>
          <w:color w:val="000000"/>
          <w:lang w:eastAsia="en-GB"/>
        </w:rPr>
        <w:t>people with diabetes and are</w:t>
      </w:r>
      <w:r w:rsidRPr="00EF42A5">
        <w:rPr>
          <w:rFonts w:cs="Arial"/>
          <w:color w:val="000000"/>
          <w:lang w:eastAsia="en-GB"/>
        </w:rPr>
        <w:t xml:space="preserve"> prescribed </w:t>
      </w:r>
      <w:r>
        <w:rPr>
          <w:rFonts w:cs="Arial"/>
          <w:color w:val="000000"/>
          <w:lang w:eastAsia="en-GB"/>
        </w:rPr>
        <w:t>insulin products listed to be discontinued; supp</w:t>
      </w:r>
      <w:r w:rsidRPr="00EF42A5">
        <w:rPr>
          <w:rFonts w:cs="Arial"/>
          <w:color w:val="000000"/>
          <w:lang w:eastAsia="en-GB"/>
        </w:rPr>
        <w:t>ort a switch to an alternative insulin</w:t>
      </w:r>
      <w:r>
        <w:rPr>
          <w:rFonts w:cs="Arial"/>
          <w:color w:val="000000"/>
          <w:lang w:eastAsia="en-GB"/>
        </w:rPr>
        <w:t xml:space="preserve"> </w:t>
      </w:r>
      <w:r w:rsidRPr="00FE710E">
        <w:rPr>
          <w:rFonts w:cs="Arial"/>
          <w:color w:val="000000"/>
          <w:lang w:eastAsia="en-GB"/>
        </w:rPr>
        <w:t>prior to cessation of supply</w:t>
      </w:r>
      <w:r>
        <w:rPr>
          <w:rFonts w:cs="Arial"/>
          <w:color w:val="000000"/>
          <w:lang w:eastAsia="en-GB"/>
        </w:rPr>
        <w:t>.</w:t>
      </w:r>
    </w:p>
    <w:p w14:paraId="01ACEDA3" w14:textId="77777777" w:rsidR="00C41AFF" w:rsidRPr="00EF42A5" w:rsidRDefault="00C41AFF" w:rsidP="00C41AFF">
      <w:pPr>
        <w:pStyle w:val="ListParagraph"/>
        <w:numPr>
          <w:ilvl w:val="0"/>
          <w:numId w:val="17"/>
        </w:numPr>
        <w:spacing w:after="0" w:line="240" w:lineRule="auto"/>
        <w:rPr>
          <w:rFonts w:cs="Arial"/>
          <w:color w:val="000000"/>
          <w:lang w:eastAsia="en-GB"/>
        </w:rPr>
      </w:pPr>
      <w:r w:rsidRPr="00EF42A5">
        <w:rPr>
          <w:rFonts w:cs="Arial"/>
          <w:color w:val="000000"/>
          <w:lang w:eastAsia="en-GB"/>
        </w:rPr>
        <w:t>Consider prescribing alternative</w:t>
      </w:r>
      <w:r>
        <w:rPr>
          <w:rFonts w:cs="Arial"/>
          <w:color w:val="000000"/>
          <w:lang w:eastAsia="en-GB"/>
        </w:rPr>
        <w:t xml:space="preserve"> insulin products</w:t>
      </w:r>
      <w:r w:rsidRPr="00EF42A5">
        <w:rPr>
          <w:rFonts w:cs="Arial"/>
          <w:color w:val="000000"/>
          <w:lang w:eastAsia="en-GB"/>
        </w:rPr>
        <w:t xml:space="preserve"> with appropriate education, ensuring the person has access to the correct </w:t>
      </w:r>
      <w:r>
        <w:rPr>
          <w:rFonts w:cs="Arial"/>
          <w:color w:val="000000"/>
          <w:lang w:eastAsia="en-GB"/>
        </w:rPr>
        <w:t xml:space="preserve">reusable </w:t>
      </w:r>
      <w:r w:rsidRPr="00EF42A5">
        <w:rPr>
          <w:rFonts w:cs="Arial"/>
          <w:color w:val="000000"/>
          <w:lang w:eastAsia="en-GB"/>
        </w:rPr>
        <w:t>insulin pen and is familiar with the selected insulin pen delivery system</w:t>
      </w:r>
      <w:r>
        <w:rPr>
          <w:rFonts w:cs="Arial"/>
          <w:color w:val="000000"/>
          <w:lang w:eastAsia="en-GB"/>
        </w:rPr>
        <w:t>.</w:t>
      </w:r>
    </w:p>
    <w:p w14:paraId="62253D96" w14:textId="462F1AE1" w:rsidR="00C41AFF" w:rsidRPr="002023A1" w:rsidRDefault="00C41AFF" w:rsidP="00C41AFF">
      <w:pPr>
        <w:pStyle w:val="ListParagraph"/>
        <w:numPr>
          <w:ilvl w:val="0"/>
          <w:numId w:val="17"/>
        </w:numPr>
        <w:spacing w:after="0" w:line="240" w:lineRule="auto"/>
        <w:rPr>
          <w:rFonts w:cs="Arial"/>
          <w:color w:val="000000"/>
          <w:lang w:eastAsia="en-GB"/>
        </w:rPr>
      </w:pPr>
      <w:r w:rsidRPr="00EF42A5">
        <w:rPr>
          <w:rFonts w:cs="Arial"/>
          <w:color w:val="000000"/>
          <w:lang w:eastAsia="en-GB"/>
        </w:rPr>
        <w:t>Provide the required education, ideally including teach-back confirmation of understanding or refer to a credentialled diabetes educator for advice</w:t>
      </w:r>
      <w:r>
        <w:rPr>
          <w:rFonts w:cs="Arial"/>
          <w:color w:val="000000"/>
          <w:lang w:eastAsia="en-GB"/>
        </w:rPr>
        <w:t>.</w:t>
      </w:r>
      <w:r w:rsidRPr="00EF42A5">
        <w:rPr>
          <w:rFonts w:cs="Arial"/>
          <w:color w:val="000000"/>
          <w:lang w:eastAsia="en-GB"/>
        </w:rPr>
        <w:t xml:space="preserve"> </w:t>
      </w:r>
      <w:r w:rsidRPr="002023A1">
        <w:rPr>
          <w:rFonts w:cs="Arial"/>
          <w:color w:val="000000"/>
          <w:lang w:eastAsia="en-GB"/>
        </w:rPr>
        <w:t>See</w:t>
      </w:r>
      <w:r>
        <w:rPr>
          <w:rFonts w:cs="Arial"/>
          <w:color w:val="000000"/>
          <w:lang w:eastAsia="en-GB"/>
        </w:rPr>
        <w:t xml:space="preserve"> also</w:t>
      </w:r>
      <w:r w:rsidRPr="002023A1">
        <w:rPr>
          <w:rFonts w:cs="Arial"/>
          <w:color w:val="000000"/>
          <w:lang w:eastAsia="en-GB"/>
        </w:rPr>
        <w:t xml:space="preserve"> </w:t>
      </w:r>
      <w:hyperlink r:id="rId33" w:history="1">
        <w:r w:rsidRPr="00CE7DFF">
          <w:rPr>
            <w:rStyle w:val="Hyperlink"/>
            <w:rFonts w:cs="Arial"/>
            <w:lang w:eastAsia="en-GB"/>
          </w:rPr>
          <w:t>Health Literacy - Supporting staff to meet health literacy needs fact sheet.</w:t>
        </w:r>
      </w:hyperlink>
      <w:r w:rsidRPr="00CE7DFF">
        <w:rPr>
          <w:rFonts w:cs="Arial"/>
          <w:color w:val="auto"/>
          <w:lang w:eastAsia="en-GB"/>
        </w:rPr>
        <w:t xml:space="preserve"> </w:t>
      </w:r>
    </w:p>
    <w:p w14:paraId="49B88640" w14:textId="77777777" w:rsidR="00C41AFF" w:rsidRPr="00EF42A5" w:rsidRDefault="00C41AFF" w:rsidP="00C41AFF">
      <w:pPr>
        <w:pStyle w:val="ListParagraph"/>
        <w:numPr>
          <w:ilvl w:val="0"/>
          <w:numId w:val="17"/>
        </w:numPr>
        <w:spacing w:after="0" w:line="240" w:lineRule="auto"/>
        <w:rPr>
          <w:rFonts w:cs="Arial"/>
          <w:color w:val="000000"/>
          <w:lang w:eastAsia="en-GB"/>
        </w:rPr>
      </w:pPr>
      <w:r w:rsidRPr="00EF42A5">
        <w:rPr>
          <w:rFonts w:cs="Arial"/>
          <w:color w:val="000000"/>
          <w:lang w:eastAsia="en-GB"/>
        </w:rPr>
        <w:t>Consider arrangements for furth</w:t>
      </w:r>
      <w:r>
        <w:rPr>
          <w:rFonts w:cs="Arial"/>
          <w:color w:val="000000"/>
          <w:lang w:eastAsia="en-GB"/>
        </w:rPr>
        <w:t xml:space="preserve">er </w:t>
      </w:r>
      <w:r w:rsidRPr="00EF42A5">
        <w:rPr>
          <w:rFonts w:cs="Arial"/>
          <w:color w:val="000000"/>
          <w:lang w:eastAsia="en-GB"/>
        </w:rPr>
        <w:t xml:space="preserve">support for </w:t>
      </w:r>
      <w:r>
        <w:rPr>
          <w:rFonts w:cs="Arial"/>
          <w:color w:val="000000"/>
          <w:lang w:eastAsia="en-GB"/>
        </w:rPr>
        <w:t>people</w:t>
      </w:r>
      <w:r w:rsidRPr="00EF42A5">
        <w:rPr>
          <w:rFonts w:cs="Arial"/>
          <w:color w:val="000000"/>
          <w:lang w:eastAsia="en-GB"/>
        </w:rPr>
        <w:t xml:space="preserve"> where manual dexterity</w:t>
      </w:r>
      <w:r>
        <w:rPr>
          <w:rFonts w:cs="Arial"/>
          <w:color w:val="000000"/>
          <w:lang w:eastAsia="en-GB"/>
        </w:rPr>
        <w:t xml:space="preserve">, </w:t>
      </w:r>
      <w:r w:rsidRPr="00EF42A5">
        <w:rPr>
          <w:rFonts w:cs="Arial"/>
          <w:color w:val="000000"/>
          <w:lang w:eastAsia="en-GB"/>
        </w:rPr>
        <w:t>vision</w:t>
      </w:r>
      <w:r>
        <w:rPr>
          <w:rFonts w:cs="Arial"/>
          <w:color w:val="000000"/>
          <w:lang w:eastAsia="en-GB"/>
        </w:rPr>
        <w:t xml:space="preserve"> or</w:t>
      </w:r>
      <w:r w:rsidRPr="00EF42A5">
        <w:rPr>
          <w:rFonts w:cs="Arial"/>
          <w:color w:val="000000"/>
          <w:lang w:eastAsia="en-GB"/>
        </w:rPr>
        <w:t xml:space="preserve"> the ability to use the new device correctly would impact their safe use of insulin.</w:t>
      </w:r>
      <w:r w:rsidRPr="00A002B7">
        <w:t xml:space="preserve"> </w:t>
      </w:r>
      <w:r w:rsidRPr="00EF42A5">
        <w:rPr>
          <w:rFonts w:cs="Arial"/>
          <w:color w:val="000000"/>
          <w:lang w:eastAsia="en-GB"/>
        </w:rPr>
        <w:t>A support person or family member may also need to be educated on using the alternative insulin</w:t>
      </w:r>
      <w:r>
        <w:rPr>
          <w:rFonts w:cs="Arial"/>
          <w:color w:val="000000"/>
          <w:lang w:eastAsia="en-GB"/>
        </w:rPr>
        <w:t>.</w:t>
      </w:r>
      <w:r w:rsidRPr="00EF42A5">
        <w:rPr>
          <w:rFonts w:cs="Arial"/>
          <w:color w:val="000000"/>
          <w:lang w:eastAsia="en-GB"/>
        </w:rPr>
        <w:t xml:space="preserve"> </w:t>
      </w:r>
    </w:p>
    <w:p w14:paraId="47031F2A" w14:textId="77777777" w:rsidR="00C41AFF" w:rsidRDefault="00C41AFF" w:rsidP="00C41AFF">
      <w:pPr>
        <w:pStyle w:val="ListParagraph"/>
        <w:numPr>
          <w:ilvl w:val="0"/>
          <w:numId w:val="17"/>
        </w:numPr>
        <w:spacing w:after="0" w:line="240" w:lineRule="auto"/>
        <w:rPr>
          <w:rFonts w:cs="Arial"/>
          <w:color w:val="000000"/>
          <w:lang w:eastAsia="en-GB"/>
        </w:rPr>
      </w:pPr>
      <w:r w:rsidRPr="000F35F5">
        <w:rPr>
          <w:rFonts w:cs="Arial"/>
          <w:color w:val="000000"/>
          <w:lang w:eastAsia="en-GB"/>
        </w:rPr>
        <w:t>Review p</w:t>
      </w:r>
      <w:r>
        <w:rPr>
          <w:rFonts w:cs="Arial"/>
          <w:color w:val="000000"/>
          <w:lang w:eastAsia="en-GB"/>
        </w:rPr>
        <w:t>eople with diabetes</w:t>
      </w:r>
      <w:r w:rsidRPr="000F35F5">
        <w:rPr>
          <w:rFonts w:cs="Arial"/>
          <w:color w:val="000000"/>
          <w:lang w:eastAsia="en-GB"/>
        </w:rPr>
        <w:t xml:space="preserve"> promptly following any change</w:t>
      </w:r>
      <w:r>
        <w:rPr>
          <w:rFonts w:cs="Arial"/>
          <w:color w:val="000000"/>
          <w:lang w:eastAsia="en-GB"/>
        </w:rPr>
        <w:t xml:space="preserve">s; </w:t>
      </w:r>
      <w:r w:rsidRPr="000F35F5">
        <w:rPr>
          <w:rFonts w:cs="Arial"/>
          <w:color w:val="000000"/>
          <w:lang w:eastAsia="en-GB"/>
        </w:rPr>
        <w:t>ensure they are using their new device appropriately</w:t>
      </w:r>
      <w:r>
        <w:rPr>
          <w:rFonts w:cs="Arial"/>
          <w:color w:val="000000"/>
          <w:lang w:eastAsia="en-GB"/>
        </w:rPr>
        <w:t>;</w:t>
      </w:r>
      <w:r w:rsidRPr="000F35F5">
        <w:rPr>
          <w:rFonts w:cs="Arial"/>
          <w:color w:val="000000"/>
          <w:lang w:eastAsia="en-GB"/>
        </w:rPr>
        <w:t xml:space="preserve"> </w:t>
      </w:r>
      <w:r>
        <w:rPr>
          <w:rFonts w:cs="Arial"/>
          <w:color w:val="000000"/>
          <w:lang w:eastAsia="en-GB"/>
        </w:rPr>
        <w:t xml:space="preserve">and </w:t>
      </w:r>
      <w:r w:rsidRPr="000F35F5">
        <w:rPr>
          <w:rFonts w:cs="Arial"/>
          <w:color w:val="000000"/>
          <w:lang w:eastAsia="en-GB"/>
        </w:rPr>
        <w:t>monitor their blood glucose</w:t>
      </w:r>
      <w:r>
        <w:rPr>
          <w:rFonts w:cs="Arial"/>
          <w:color w:val="000000"/>
          <w:lang w:eastAsia="en-GB"/>
        </w:rPr>
        <w:t xml:space="preserve"> closely to ensure it</w:t>
      </w:r>
      <w:r w:rsidRPr="000F35F5">
        <w:rPr>
          <w:rFonts w:cs="Arial"/>
          <w:color w:val="000000"/>
          <w:lang w:eastAsia="en-GB"/>
        </w:rPr>
        <w:t xml:space="preserve"> is within target range</w:t>
      </w:r>
      <w:r>
        <w:rPr>
          <w:rFonts w:cs="Arial"/>
          <w:color w:val="000000"/>
          <w:lang w:eastAsia="en-GB"/>
        </w:rPr>
        <w:t>.</w:t>
      </w:r>
    </w:p>
    <w:p w14:paraId="5DCF66E6" w14:textId="77777777" w:rsidR="00C41AFF" w:rsidRPr="00E136ED" w:rsidRDefault="00C41AFF" w:rsidP="00C41AFF">
      <w:pPr>
        <w:pStyle w:val="ListParagraph"/>
        <w:numPr>
          <w:ilvl w:val="0"/>
          <w:numId w:val="17"/>
        </w:numPr>
        <w:spacing w:after="0" w:line="240" w:lineRule="auto"/>
        <w:rPr>
          <w:rFonts w:cs="Arial"/>
          <w:color w:val="000000"/>
          <w:lang w:eastAsia="en-GB"/>
        </w:rPr>
      </w:pPr>
      <w:r w:rsidRPr="00E136ED">
        <w:rPr>
          <w:rFonts w:cs="Arial"/>
          <w:color w:val="000000"/>
          <w:lang w:eastAsia="en-GB"/>
        </w:rPr>
        <w:t>Awareness of product availability, including strength, concentration and formulation can assist with minimising safety risks to p</w:t>
      </w:r>
      <w:r>
        <w:rPr>
          <w:rFonts w:cs="Arial"/>
          <w:color w:val="000000"/>
          <w:lang w:eastAsia="en-GB"/>
        </w:rPr>
        <w:t>eople with diabetes</w:t>
      </w:r>
      <w:r w:rsidRPr="00E136ED">
        <w:rPr>
          <w:rFonts w:cs="Arial"/>
          <w:color w:val="000000"/>
          <w:lang w:eastAsia="en-GB"/>
        </w:rPr>
        <w:t xml:space="preserve"> at the point of prescribing.</w:t>
      </w:r>
    </w:p>
    <w:p w14:paraId="78AB5AD2" w14:textId="77777777" w:rsidR="00C41AFF" w:rsidRPr="000F35F5" w:rsidRDefault="00C41AFF" w:rsidP="00C41AFF">
      <w:pPr>
        <w:pStyle w:val="ListParagraph"/>
        <w:numPr>
          <w:ilvl w:val="0"/>
          <w:numId w:val="17"/>
        </w:numPr>
        <w:spacing w:after="0" w:line="240" w:lineRule="auto"/>
        <w:rPr>
          <w:rFonts w:cs="Arial"/>
          <w:color w:val="000000"/>
          <w:lang w:eastAsia="en-GB"/>
        </w:rPr>
      </w:pPr>
      <w:r w:rsidRPr="00E136ED">
        <w:rPr>
          <w:rFonts w:cs="Arial"/>
          <w:color w:val="000000"/>
          <w:lang w:eastAsia="en-GB"/>
        </w:rPr>
        <w:t xml:space="preserve">For hospital settings: prescribers should be aware of what insulins (including mode of delivery) are available for initiation and continuation on the local/state-wide formulary. </w:t>
      </w:r>
      <w:r w:rsidRPr="00E136ED">
        <w:rPr>
          <w:rFonts w:cs="Arial"/>
          <w:color w:val="000000"/>
          <w:lang w:eastAsia="en-GB"/>
        </w:rPr>
        <w:lastRenderedPageBreak/>
        <w:t>If a clinically appropriate product is not available, contact your local Drug and Therapeutics Committee (or equivalent) or hospital pharmacy for advice on suitable alternatives.</w:t>
      </w:r>
    </w:p>
    <w:p w14:paraId="341BE00D" w14:textId="70E0E6F6" w:rsidR="00657655" w:rsidRDefault="00E048BE" w:rsidP="00657655">
      <w:pPr>
        <w:pStyle w:val="Heading1"/>
      </w:pPr>
      <w:r>
        <w:t>Changing or switching insulin products</w:t>
      </w:r>
    </w:p>
    <w:p w14:paraId="76847E04" w14:textId="77777777" w:rsidR="002A1140" w:rsidRDefault="002A1140" w:rsidP="002A1140">
      <w:pPr>
        <w:rPr>
          <w:b/>
          <w:bCs/>
        </w:rPr>
      </w:pPr>
      <w:r w:rsidRPr="00012F75">
        <w:t>The discontinuation of multiple insulin products is resulting in an increased need to switch p</w:t>
      </w:r>
      <w:r>
        <w:t>eople with diabetes</w:t>
      </w:r>
      <w:r w:rsidRPr="00012F75">
        <w:t xml:space="preserve"> to other insulin preparations.</w:t>
      </w:r>
      <w:r>
        <w:t xml:space="preserve"> The change has potential safety issues. </w:t>
      </w:r>
      <w:r w:rsidRPr="001250ED">
        <w:rPr>
          <w:b/>
          <w:bCs/>
        </w:rPr>
        <w:t>Table 2</w:t>
      </w:r>
      <w:r>
        <w:t xml:space="preserve"> details considerations to support safer prescribing and mitigate risk when changing an insulin product.</w:t>
      </w:r>
    </w:p>
    <w:p w14:paraId="53E34C53" w14:textId="77777777" w:rsidR="002A1140" w:rsidRDefault="002A1140" w:rsidP="002A1140">
      <w:r>
        <w:t>People with diabetes</w:t>
      </w:r>
      <w:r w:rsidRPr="002B56C5">
        <w:t xml:space="preserve"> </w:t>
      </w:r>
      <w:r>
        <w:t xml:space="preserve">who use </w:t>
      </w:r>
      <w:r w:rsidRPr="002B56C5">
        <w:t xml:space="preserve">an insulin product </w:t>
      </w:r>
      <w:r>
        <w:t>that will</w:t>
      </w:r>
      <w:r w:rsidRPr="002B56C5">
        <w:t xml:space="preserve"> be discontinued will need to be switched to an appropriate alternative insulin preparation. This may include switching </w:t>
      </w:r>
      <w:r>
        <w:t>those</w:t>
      </w:r>
      <w:r w:rsidRPr="002B56C5">
        <w:t xml:space="preserve"> on a pre-filled pen device to the same insulin administered via a cartridge loaded in a reusable pen</w:t>
      </w:r>
      <w:r>
        <w:t>, or via syringe from an insulin vial</w:t>
      </w:r>
      <w:r w:rsidRPr="002B56C5">
        <w:t xml:space="preserve"> or switching to a different insulin type. </w:t>
      </w:r>
    </w:p>
    <w:p w14:paraId="51F3E325" w14:textId="77777777" w:rsidR="002A1140" w:rsidRDefault="002A1140" w:rsidP="002A1140">
      <w:pPr>
        <w:pStyle w:val="FigureTableTitle"/>
      </w:pPr>
      <w:r w:rsidRPr="005F16AF">
        <w:t>Prior to making changes to an insulin</w:t>
      </w:r>
      <w:r>
        <w:t xml:space="preserve"> regimen</w:t>
      </w:r>
      <w:r w:rsidRPr="005F16AF">
        <w:t xml:space="preserve">, prescribers </w:t>
      </w:r>
      <w:r w:rsidRPr="00825174">
        <w:t>are advised to use clinical judgement</w:t>
      </w:r>
      <w:r>
        <w:t>, established protocols</w:t>
      </w:r>
      <w:r w:rsidRPr="00825174">
        <w:t xml:space="preserve"> and </w:t>
      </w:r>
      <w:r w:rsidRPr="005F16AF">
        <w:t>consider</w:t>
      </w:r>
      <w:r>
        <w:t xml:space="preserve"> product availability and</w:t>
      </w:r>
      <w:r w:rsidRPr="005F16AF">
        <w:t xml:space="preserve"> individual </w:t>
      </w:r>
      <w:r>
        <w:t xml:space="preserve">person </w:t>
      </w:r>
      <w:r w:rsidRPr="005F16AF">
        <w:t xml:space="preserve">factors </w:t>
      </w:r>
      <w:r w:rsidRPr="00825174">
        <w:t>in consultation with the p</w:t>
      </w:r>
      <w:r>
        <w:t>erson with diabetes</w:t>
      </w:r>
      <w:r w:rsidRPr="00825174">
        <w:t xml:space="preserve"> and/or their family or carer</w:t>
      </w:r>
      <w:r>
        <w:t>.</w:t>
      </w:r>
      <w:r w:rsidRPr="005F16AF">
        <w:t xml:space="preserve"> </w:t>
      </w:r>
    </w:p>
    <w:p w14:paraId="28568771" w14:textId="02D62D14" w:rsidR="00E048BE" w:rsidRPr="00E048BE" w:rsidRDefault="00816967" w:rsidP="00E048BE">
      <w:r>
        <w:rPr>
          <w:noProof/>
        </w:rPr>
        <mc:AlternateContent>
          <mc:Choice Requires="wps">
            <w:drawing>
              <wp:inline distT="0" distB="0" distL="0" distR="0" wp14:anchorId="6D8BF93B" wp14:editId="19F69D02">
                <wp:extent cx="5831840" cy="662305"/>
                <wp:effectExtent l="0" t="0" r="0" b="4445"/>
                <wp:docPr id="1484625748" name="Text Box 12"/>
                <wp:cNvGraphicFramePr/>
                <a:graphic xmlns:a="http://schemas.openxmlformats.org/drawingml/2006/main">
                  <a:graphicData uri="http://schemas.microsoft.com/office/word/2010/wordprocessingShape">
                    <wps:wsp>
                      <wps:cNvSpPr txBox="1"/>
                      <wps:spPr>
                        <a:xfrm>
                          <a:off x="0" y="0"/>
                          <a:ext cx="5831840" cy="662305"/>
                        </a:xfrm>
                        <a:prstGeom prst="rect">
                          <a:avLst/>
                        </a:prstGeom>
                        <a:noFill/>
                        <a:ln w="6350">
                          <a:noFill/>
                        </a:ln>
                      </wps:spPr>
                      <wps:txbx>
                        <w:txbxContent>
                          <w:tbl>
                            <w:tblPr>
                              <w:tblW w:w="0" w:type="auto"/>
                              <w:tblCellMar>
                                <w:top w:w="57" w:type="dxa"/>
                                <w:left w:w="170" w:type="dxa"/>
                                <w:bottom w:w="57" w:type="dxa"/>
                                <w:right w:w="170" w:type="dxa"/>
                              </w:tblCellMar>
                              <w:tblLook w:val="04A0" w:firstRow="1" w:lastRow="0" w:firstColumn="1" w:lastColumn="0" w:noHBand="0" w:noVBand="1"/>
                            </w:tblPr>
                            <w:tblGrid>
                              <w:gridCol w:w="9114"/>
                            </w:tblGrid>
                            <w:tr w:rsidR="00816967" w14:paraId="01472BC4" w14:textId="77777777" w:rsidTr="00C21194">
                              <w:tc>
                                <w:tcPr>
                                  <w:tcW w:w="9114" w:type="dxa"/>
                                  <w:tcBorders>
                                    <w:right w:val="single" w:sz="24" w:space="0" w:color="F0E8FE" w:themeColor="background2"/>
                                  </w:tcBorders>
                                  <w:shd w:val="clear" w:color="auto" w:fill="F0E8FE" w:themeFill="background2"/>
                                </w:tcPr>
                                <w:p w14:paraId="597AE1AA" w14:textId="330BFCFB" w:rsidR="00816967" w:rsidRPr="00AB3259" w:rsidRDefault="00DB14A1" w:rsidP="002B3C79">
                                  <w:pPr>
                                    <w:pStyle w:val="BoxHeading"/>
                                  </w:pPr>
                                  <w:r>
                                    <w:t>Highlight 2: Safer use of</w:t>
                                  </w:r>
                                  <w:r w:rsidR="00DC0F26">
                                    <w:t xml:space="preserve"> </w:t>
                                  </w:r>
                                  <w:r w:rsidR="00DC0F26" w:rsidRPr="00DC0F26">
                                    <w:t>cartridges and reusable pens</w:t>
                                  </w:r>
                                  <w:r w:rsidR="00DC0F26" w:rsidRPr="00DC0F26">
                                    <w:rPr>
                                      <w:vertAlign w:val="superscript"/>
                                    </w:rPr>
                                    <w:t>1</w:t>
                                  </w:r>
                                </w:p>
                                <w:p w14:paraId="22E1D3A5" w14:textId="77777777" w:rsidR="003F3433" w:rsidRDefault="003F3433" w:rsidP="003F3433">
                                  <w:pPr>
                                    <w:pStyle w:val="PulloutBoxHeading"/>
                                    <w:rPr>
                                      <w:b w:val="0"/>
                                      <w:bCs w:val="0"/>
                                      <w:color w:val="auto"/>
                                      <w:sz w:val="22"/>
                                      <w:szCs w:val="22"/>
                                    </w:rPr>
                                  </w:pPr>
                                  <w:r w:rsidRPr="004E5CCB">
                                    <w:rPr>
                                      <w:b w:val="0"/>
                                      <w:bCs w:val="0"/>
                                      <w:color w:val="auto"/>
                                      <w:sz w:val="22"/>
                                      <w:szCs w:val="22"/>
                                    </w:rPr>
                                    <w:t>Where possible, insulin cartridges may be individually dispensed and loaded into an appropriate delivery</w:t>
                                  </w:r>
                                  <w:r>
                                    <w:rPr>
                                      <w:b w:val="0"/>
                                      <w:bCs w:val="0"/>
                                      <w:color w:val="auto"/>
                                      <w:sz w:val="22"/>
                                      <w:szCs w:val="22"/>
                                    </w:rPr>
                                    <w:t xml:space="preserve"> </w:t>
                                  </w:r>
                                  <w:r w:rsidRPr="004E5CCB">
                                    <w:rPr>
                                      <w:b w:val="0"/>
                                      <w:bCs w:val="0"/>
                                      <w:color w:val="auto"/>
                                      <w:sz w:val="22"/>
                                      <w:szCs w:val="22"/>
                                    </w:rPr>
                                    <w:t>device at the point of dispensing</w:t>
                                  </w:r>
                                  <w:r>
                                    <w:rPr>
                                      <w:b w:val="0"/>
                                      <w:bCs w:val="0"/>
                                      <w:color w:val="auto"/>
                                      <w:sz w:val="22"/>
                                      <w:szCs w:val="22"/>
                                    </w:rPr>
                                    <w:t xml:space="preserve"> and e</w:t>
                                  </w:r>
                                  <w:r w:rsidRPr="004E5CCB">
                                    <w:rPr>
                                      <w:b w:val="0"/>
                                      <w:bCs w:val="0"/>
                                      <w:color w:val="auto"/>
                                      <w:sz w:val="22"/>
                                      <w:szCs w:val="22"/>
                                    </w:rPr>
                                    <w:t>nsur</w:t>
                                  </w:r>
                                  <w:r>
                                    <w:rPr>
                                      <w:b w:val="0"/>
                                      <w:bCs w:val="0"/>
                                      <w:color w:val="auto"/>
                                      <w:sz w:val="22"/>
                                      <w:szCs w:val="22"/>
                                    </w:rPr>
                                    <w:t>ing</w:t>
                                  </w:r>
                                  <w:r w:rsidRPr="004E5CCB">
                                    <w:rPr>
                                      <w:b w:val="0"/>
                                      <w:bCs w:val="0"/>
                                      <w:color w:val="auto"/>
                                      <w:sz w:val="22"/>
                                      <w:szCs w:val="22"/>
                                    </w:rPr>
                                    <w:t>:</w:t>
                                  </w:r>
                                </w:p>
                                <w:p w14:paraId="4C81390F" w14:textId="77777777" w:rsidR="003F3433" w:rsidRDefault="003F3433" w:rsidP="003F3433">
                                  <w:pPr>
                                    <w:pStyle w:val="PulloutBoxHeading"/>
                                    <w:numPr>
                                      <w:ilvl w:val="0"/>
                                      <w:numId w:val="18"/>
                                    </w:numPr>
                                    <w:ind w:left="426"/>
                                    <w:rPr>
                                      <w:b w:val="0"/>
                                      <w:bCs w:val="0"/>
                                      <w:color w:val="auto"/>
                                      <w:sz w:val="22"/>
                                      <w:szCs w:val="22"/>
                                    </w:rPr>
                                  </w:pPr>
                                  <w:r w:rsidRPr="004E5CCB">
                                    <w:rPr>
                                      <w:b w:val="0"/>
                                      <w:bCs w:val="0"/>
                                      <w:color w:val="auto"/>
                                      <w:sz w:val="22"/>
                                      <w:szCs w:val="22"/>
                                    </w:rPr>
                                    <w:t>the insulin cartridge is loaded into the reusable pen with the medicine name clearly visible through the</w:t>
                                  </w:r>
                                  <w:r>
                                    <w:rPr>
                                      <w:b w:val="0"/>
                                      <w:bCs w:val="0"/>
                                      <w:color w:val="auto"/>
                                      <w:sz w:val="22"/>
                                      <w:szCs w:val="22"/>
                                    </w:rPr>
                                    <w:t xml:space="preserve"> </w:t>
                                  </w:r>
                                  <w:r w:rsidRPr="004E5CCB">
                                    <w:rPr>
                                      <w:b w:val="0"/>
                                      <w:bCs w:val="0"/>
                                      <w:color w:val="auto"/>
                                      <w:sz w:val="22"/>
                                      <w:szCs w:val="22"/>
                                    </w:rPr>
                                    <w:t>‘window’ of the delivery device</w:t>
                                  </w:r>
                                </w:p>
                                <w:p w14:paraId="1476D64F" w14:textId="77777777" w:rsidR="003F3433" w:rsidRPr="004E5CCB" w:rsidRDefault="003F3433" w:rsidP="003F3433">
                                  <w:pPr>
                                    <w:pStyle w:val="PulloutBoxHeading"/>
                                    <w:numPr>
                                      <w:ilvl w:val="0"/>
                                      <w:numId w:val="18"/>
                                    </w:numPr>
                                    <w:ind w:left="426"/>
                                    <w:rPr>
                                      <w:b w:val="0"/>
                                      <w:bCs w:val="0"/>
                                      <w:color w:val="auto"/>
                                      <w:sz w:val="22"/>
                                      <w:szCs w:val="22"/>
                                    </w:rPr>
                                  </w:pPr>
                                  <w:r w:rsidRPr="004E5CCB">
                                    <w:rPr>
                                      <w:b w:val="0"/>
                                      <w:bCs w:val="0"/>
                                      <w:color w:val="auto"/>
                                      <w:sz w:val="22"/>
                                      <w:szCs w:val="22"/>
                                    </w:rPr>
                                    <w:t>engagement of the cartridge within the insulin pen when it is first loaded by priming appropriately</w:t>
                                  </w:r>
                                </w:p>
                                <w:p w14:paraId="2E0850B8" w14:textId="77777777" w:rsidR="003F3433" w:rsidRPr="004E5CCB" w:rsidRDefault="003F3433" w:rsidP="003F3433">
                                  <w:pPr>
                                    <w:pStyle w:val="PulloutBoxHeading"/>
                                    <w:numPr>
                                      <w:ilvl w:val="0"/>
                                      <w:numId w:val="18"/>
                                    </w:numPr>
                                    <w:ind w:left="426"/>
                                    <w:rPr>
                                      <w:b w:val="0"/>
                                      <w:bCs w:val="0"/>
                                      <w:color w:val="auto"/>
                                      <w:sz w:val="22"/>
                                      <w:szCs w:val="22"/>
                                    </w:rPr>
                                  </w:pPr>
                                  <w:r w:rsidRPr="004E5CCB">
                                    <w:rPr>
                                      <w:b w:val="0"/>
                                      <w:bCs w:val="0"/>
                                      <w:color w:val="auto"/>
                                      <w:sz w:val="22"/>
                                      <w:szCs w:val="22"/>
                                    </w:rPr>
                                    <w:t>the insulin cartridge is checked to</w:t>
                                  </w:r>
                                  <w:r>
                                    <w:rPr>
                                      <w:b w:val="0"/>
                                      <w:bCs w:val="0"/>
                                      <w:color w:val="auto"/>
                                      <w:sz w:val="22"/>
                                      <w:szCs w:val="22"/>
                                    </w:rPr>
                                    <w:t xml:space="preserve"> </w:t>
                                  </w:r>
                                  <w:r w:rsidRPr="004E5CCB">
                                    <w:rPr>
                                      <w:b w:val="0"/>
                                      <w:bCs w:val="0"/>
                                      <w:color w:val="auto"/>
                                      <w:sz w:val="22"/>
                                      <w:szCs w:val="22"/>
                                    </w:rPr>
                                    <w:t>confirm it contains the correct insulin and is within the expiry date before each administration (without removing it from the reusable pen</w:t>
                                  </w:r>
                                  <w:r>
                                    <w:rPr>
                                      <w:b w:val="0"/>
                                      <w:bCs w:val="0"/>
                                      <w:color w:val="auto"/>
                                      <w:sz w:val="22"/>
                                      <w:szCs w:val="22"/>
                                    </w:rPr>
                                    <w:t>)</w:t>
                                  </w:r>
                                </w:p>
                                <w:p w14:paraId="100D6948" w14:textId="51558DA5" w:rsidR="003F3433" w:rsidRDefault="003F3433" w:rsidP="003F3433">
                                  <w:pPr>
                                    <w:pStyle w:val="PulloutBoxHeading"/>
                                    <w:numPr>
                                      <w:ilvl w:val="0"/>
                                      <w:numId w:val="18"/>
                                    </w:numPr>
                                    <w:ind w:left="426"/>
                                    <w:rPr>
                                      <w:b w:val="0"/>
                                      <w:bCs w:val="0"/>
                                      <w:color w:val="auto"/>
                                      <w:sz w:val="22"/>
                                      <w:szCs w:val="22"/>
                                    </w:rPr>
                                  </w:pPr>
                                  <w:r w:rsidRPr="004E5CCB">
                                    <w:rPr>
                                      <w:b w:val="0"/>
                                      <w:bCs w:val="0"/>
                                      <w:color w:val="auto"/>
                                      <w:sz w:val="22"/>
                                      <w:szCs w:val="22"/>
                                    </w:rPr>
                                    <w:t xml:space="preserve">the pen is primed by expelling </w:t>
                                  </w:r>
                                  <w:r>
                                    <w:rPr>
                                      <w:b w:val="0"/>
                                      <w:bCs w:val="0"/>
                                      <w:color w:val="auto"/>
                                      <w:sz w:val="22"/>
                                      <w:szCs w:val="22"/>
                                    </w:rPr>
                                    <w:t>two</w:t>
                                  </w:r>
                                  <w:r w:rsidRPr="004E5CCB">
                                    <w:rPr>
                                      <w:b w:val="0"/>
                                      <w:bCs w:val="0"/>
                                      <w:color w:val="auto"/>
                                      <w:sz w:val="22"/>
                                      <w:szCs w:val="22"/>
                                    </w:rPr>
                                    <w:t xml:space="preserve"> units of insulin (repeat until insulin is visibly expelled from the needle)</w:t>
                                  </w:r>
                                  <w:r>
                                    <w:rPr>
                                      <w:b w:val="0"/>
                                      <w:bCs w:val="0"/>
                                      <w:color w:val="auto"/>
                                      <w:sz w:val="22"/>
                                      <w:szCs w:val="22"/>
                                    </w:rPr>
                                    <w:t xml:space="preserve"> </w:t>
                                  </w:r>
                                  <w:r w:rsidRPr="004E5CCB">
                                    <w:rPr>
                                      <w:b w:val="0"/>
                                      <w:bCs w:val="0"/>
                                      <w:color w:val="auto"/>
                                      <w:sz w:val="22"/>
                                      <w:szCs w:val="22"/>
                                    </w:rPr>
                                    <w:t>prior to dialling up each required dose so that an accurate dose is delivered</w:t>
                                  </w:r>
                                  <w:r>
                                    <w:rPr>
                                      <w:b w:val="0"/>
                                      <w:bCs w:val="0"/>
                                      <w:color w:val="auto"/>
                                      <w:sz w:val="22"/>
                                      <w:szCs w:val="22"/>
                                    </w:rPr>
                                    <w:t>. T</w:t>
                                  </w:r>
                                  <w:r w:rsidRPr="000139A6">
                                    <w:rPr>
                                      <w:b w:val="0"/>
                                      <w:bCs w:val="0"/>
                                      <w:color w:val="auto"/>
                                      <w:sz w:val="22"/>
                                      <w:szCs w:val="22"/>
                                    </w:rPr>
                                    <w:t>he device may need to be dialled up much further than 2 units to successfully engage the cartridge and prime the device</w:t>
                                  </w:r>
                                  <w:r>
                                    <w:rPr>
                                      <w:b w:val="0"/>
                                      <w:bCs w:val="0"/>
                                      <w:color w:val="auto"/>
                                      <w:sz w:val="22"/>
                                      <w:szCs w:val="22"/>
                                    </w:rPr>
                                    <w:t>.</w:t>
                                  </w:r>
                                </w:p>
                                <w:p w14:paraId="6D8C98BD" w14:textId="77777777" w:rsidR="003F3433" w:rsidRDefault="003F3433" w:rsidP="003F3433">
                                  <w:pPr>
                                    <w:pStyle w:val="PulloutBoxHeading"/>
                                    <w:numPr>
                                      <w:ilvl w:val="0"/>
                                      <w:numId w:val="18"/>
                                    </w:numPr>
                                    <w:ind w:left="426"/>
                                    <w:rPr>
                                      <w:b w:val="0"/>
                                      <w:bCs w:val="0"/>
                                      <w:color w:val="auto"/>
                                      <w:sz w:val="22"/>
                                      <w:szCs w:val="22"/>
                                    </w:rPr>
                                  </w:pPr>
                                  <w:r>
                                    <w:rPr>
                                      <w:b w:val="0"/>
                                      <w:bCs w:val="0"/>
                                      <w:color w:val="auto"/>
                                      <w:sz w:val="22"/>
                                      <w:szCs w:val="22"/>
                                    </w:rPr>
                                    <w:t>the</w:t>
                                  </w:r>
                                  <w:r w:rsidRPr="00634B4B">
                                    <w:rPr>
                                      <w:b w:val="0"/>
                                      <w:bCs w:val="0"/>
                                      <w:color w:val="auto"/>
                                      <w:sz w:val="22"/>
                                      <w:szCs w:val="22"/>
                                    </w:rPr>
                                    <w:t xml:space="preserve"> reusable pens</w:t>
                                  </w:r>
                                  <w:r>
                                    <w:rPr>
                                      <w:b w:val="0"/>
                                      <w:bCs w:val="0"/>
                                      <w:color w:val="auto"/>
                                      <w:sz w:val="22"/>
                                      <w:szCs w:val="22"/>
                                    </w:rPr>
                                    <w:t xml:space="preserve"> are not disposed of and retained for future use.</w:t>
                                  </w:r>
                                </w:p>
                                <w:p w14:paraId="05D9E098" w14:textId="77777777" w:rsidR="00816967" w:rsidRDefault="003F3433" w:rsidP="003F3433">
                                  <w:pPr>
                                    <w:rPr>
                                      <w:color w:val="auto"/>
                                    </w:rPr>
                                  </w:pPr>
                                  <w:r>
                                    <w:rPr>
                                      <w:color w:val="auto"/>
                                    </w:rPr>
                                    <w:t>It is important that the person using the product is educated on how insulin cartridges are loaded into the delivery device; ideally at the point of dispensing and when administering the insulin</w:t>
                                  </w:r>
                                  <w:r w:rsidR="004621C9">
                                    <w:rPr>
                                      <w:color w:val="auto"/>
                                    </w:rPr>
                                    <w:t>.</w:t>
                                  </w:r>
                                </w:p>
                                <w:p w14:paraId="5A30129E" w14:textId="1289C857" w:rsidR="004621C9" w:rsidRDefault="004621C9" w:rsidP="003F3433">
                                  <w:r>
                                    <w:rPr>
                                      <w:vertAlign w:val="superscript"/>
                                    </w:rPr>
                                    <w:t>1</w:t>
                                  </w:r>
                                  <w:r>
                                    <w:t xml:space="preserve">Adapted from Clinical Excellence Commission </w:t>
                                  </w:r>
                                  <w:hyperlink r:id="rId34" w:history="1">
                                    <w:r w:rsidRPr="004E5CCB">
                                      <w:rPr>
                                        <w:rStyle w:val="Hyperlink"/>
                                      </w:rPr>
                                      <w:t>Safety Notice (SN:035/24):</w:t>
                                    </w:r>
                                    <w:r>
                                      <w:rPr>
                                        <w:rStyle w:val="Hyperlink"/>
                                      </w:rPr>
                                      <w:t xml:space="preserve"> </w:t>
                                    </w:r>
                                    <w:r w:rsidRPr="004E5CCB">
                                      <w:rPr>
                                        <w:rStyle w:val="Hyperlink"/>
                                      </w:rPr>
                                      <w:t>Discontinuation of multiple insulin products</w:t>
                                    </w:r>
                                  </w:hyperlink>
                                </w:p>
                              </w:tc>
                            </w:tr>
                          </w:tbl>
                          <w:p w14:paraId="2266B50E" w14:textId="77777777" w:rsidR="00816967" w:rsidRPr="00402F1C" w:rsidRDefault="00816967" w:rsidP="00816967">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6D8BF93B" id="_x0000_s1028" type="#_x0000_t202" style="width:459.2pt;height:5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" filled="f" stroked="f" strokeweight=".5pt">
                <v:textbox style="mso-fit-shape-to-text:t" inset="0,0,0,0">
                  <w:txbxContent>
                    <w:tbl>
                      <w:tblPr>
                        <w:tblW w:w="0" w:type="auto"/>
                        <w:tblCellMar>
                          <w:top w:w="57" w:type="dxa"/>
                          <w:left w:w="170" w:type="dxa"/>
                          <w:bottom w:w="57" w:type="dxa"/>
                          <w:right w:w="170" w:type="dxa"/>
                        </w:tblCellMar>
                        <w:tblLook w:val="04A0" w:firstRow="1" w:lastRow="0" w:firstColumn="1" w:lastColumn="0" w:noHBand="0" w:noVBand="1"/>
                      </w:tblPr>
                      <w:tblGrid>
                        <w:gridCol w:w="9114"/>
                      </w:tblGrid>
                      <w:tr w:rsidR="00816967" w14:paraId="01472BC4" w14:textId="77777777" w:rsidTr="00C21194">
                        <w:tc>
                          <w:tcPr>
                            <w:tcW w:w="9114" w:type="dxa"/>
                            <w:tcBorders>
                              <w:right w:val="single" w:sz="24" w:space="0" w:color="F0E8FE" w:themeColor="background2"/>
                            </w:tcBorders>
                            <w:shd w:val="clear" w:color="auto" w:fill="F0E8FE" w:themeFill="background2"/>
                          </w:tcPr>
                          <w:p w14:paraId="597AE1AA" w14:textId="330BFCFB" w:rsidR="00816967" w:rsidRPr="00AB3259" w:rsidRDefault="00DB14A1" w:rsidP="002B3C79">
                            <w:pPr>
                              <w:pStyle w:val="BoxHeading"/>
                            </w:pPr>
                            <w:r>
                              <w:t>Highlight 2: Safer use of</w:t>
                            </w:r>
                            <w:r w:rsidR="00DC0F26">
                              <w:t xml:space="preserve"> </w:t>
                            </w:r>
                            <w:r w:rsidR="00DC0F26" w:rsidRPr="00DC0F26">
                              <w:t>cartridges and reusable pens</w:t>
                            </w:r>
                            <w:r w:rsidR="00DC0F26" w:rsidRPr="00DC0F26">
                              <w:rPr>
                                <w:vertAlign w:val="superscript"/>
                              </w:rPr>
                              <w:t>1</w:t>
                            </w:r>
                          </w:p>
                          <w:p w14:paraId="22E1D3A5" w14:textId="77777777" w:rsidR="003F3433" w:rsidRDefault="003F3433" w:rsidP="003F3433">
                            <w:pPr>
                              <w:pStyle w:val="PulloutBoxHeading"/>
                              <w:rPr>
                                <w:b w:val="0"/>
                                <w:bCs w:val="0"/>
                                <w:color w:val="auto"/>
                                <w:sz w:val="22"/>
                                <w:szCs w:val="22"/>
                              </w:rPr>
                            </w:pPr>
                            <w:r w:rsidRPr="004E5CCB">
                              <w:rPr>
                                <w:b w:val="0"/>
                                <w:bCs w:val="0"/>
                                <w:color w:val="auto"/>
                                <w:sz w:val="22"/>
                                <w:szCs w:val="22"/>
                              </w:rPr>
                              <w:t>Where possible, insulin cartridges may be individually dispensed and loaded into an appropriate delivery</w:t>
                            </w:r>
                            <w:r>
                              <w:rPr>
                                <w:b w:val="0"/>
                                <w:bCs w:val="0"/>
                                <w:color w:val="auto"/>
                                <w:sz w:val="22"/>
                                <w:szCs w:val="22"/>
                              </w:rPr>
                              <w:t xml:space="preserve"> </w:t>
                            </w:r>
                            <w:r w:rsidRPr="004E5CCB">
                              <w:rPr>
                                <w:b w:val="0"/>
                                <w:bCs w:val="0"/>
                                <w:color w:val="auto"/>
                                <w:sz w:val="22"/>
                                <w:szCs w:val="22"/>
                              </w:rPr>
                              <w:t>device at the point of dispensing</w:t>
                            </w:r>
                            <w:r>
                              <w:rPr>
                                <w:b w:val="0"/>
                                <w:bCs w:val="0"/>
                                <w:color w:val="auto"/>
                                <w:sz w:val="22"/>
                                <w:szCs w:val="22"/>
                              </w:rPr>
                              <w:t xml:space="preserve"> and e</w:t>
                            </w:r>
                            <w:r w:rsidRPr="004E5CCB">
                              <w:rPr>
                                <w:b w:val="0"/>
                                <w:bCs w:val="0"/>
                                <w:color w:val="auto"/>
                                <w:sz w:val="22"/>
                                <w:szCs w:val="22"/>
                              </w:rPr>
                              <w:t>nsur</w:t>
                            </w:r>
                            <w:r>
                              <w:rPr>
                                <w:b w:val="0"/>
                                <w:bCs w:val="0"/>
                                <w:color w:val="auto"/>
                                <w:sz w:val="22"/>
                                <w:szCs w:val="22"/>
                              </w:rPr>
                              <w:t>ing</w:t>
                            </w:r>
                            <w:r w:rsidRPr="004E5CCB">
                              <w:rPr>
                                <w:b w:val="0"/>
                                <w:bCs w:val="0"/>
                                <w:color w:val="auto"/>
                                <w:sz w:val="22"/>
                                <w:szCs w:val="22"/>
                              </w:rPr>
                              <w:t>:</w:t>
                            </w:r>
                          </w:p>
                          <w:p w14:paraId="4C81390F" w14:textId="77777777" w:rsidR="003F3433" w:rsidRDefault="003F3433" w:rsidP="003F3433">
                            <w:pPr>
                              <w:pStyle w:val="PulloutBoxHeading"/>
                              <w:numPr>
                                <w:ilvl w:val="0"/>
                                <w:numId w:val="18"/>
                              </w:numPr>
                              <w:ind w:left="426"/>
                              <w:rPr>
                                <w:b w:val="0"/>
                                <w:bCs w:val="0"/>
                                <w:color w:val="auto"/>
                                <w:sz w:val="22"/>
                                <w:szCs w:val="22"/>
                              </w:rPr>
                            </w:pPr>
                            <w:r w:rsidRPr="004E5CCB">
                              <w:rPr>
                                <w:b w:val="0"/>
                                <w:bCs w:val="0"/>
                                <w:color w:val="auto"/>
                                <w:sz w:val="22"/>
                                <w:szCs w:val="22"/>
                              </w:rPr>
                              <w:t>the insulin cartridge is loaded into the reusable pen with the medicine name clearly visible through the</w:t>
                            </w:r>
                            <w:r>
                              <w:rPr>
                                <w:b w:val="0"/>
                                <w:bCs w:val="0"/>
                                <w:color w:val="auto"/>
                                <w:sz w:val="22"/>
                                <w:szCs w:val="22"/>
                              </w:rPr>
                              <w:t xml:space="preserve"> </w:t>
                            </w:r>
                            <w:r w:rsidRPr="004E5CCB">
                              <w:rPr>
                                <w:b w:val="0"/>
                                <w:bCs w:val="0"/>
                                <w:color w:val="auto"/>
                                <w:sz w:val="22"/>
                                <w:szCs w:val="22"/>
                              </w:rPr>
                              <w:t>‘window’ of the delivery device</w:t>
                            </w:r>
                          </w:p>
                          <w:p w14:paraId="1476D64F" w14:textId="77777777" w:rsidR="003F3433" w:rsidRPr="004E5CCB" w:rsidRDefault="003F3433" w:rsidP="003F3433">
                            <w:pPr>
                              <w:pStyle w:val="PulloutBoxHeading"/>
                              <w:numPr>
                                <w:ilvl w:val="0"/>
                                <w:numId w:val="18"/>
                              </w:numPr>
                              <w:ind w:left="426"/>
                              <w:rPr>
                                <w:b w:val="0"/>
                                <w:bCs w:val="0"/>
                                <w:color w:val="auto"/>
                                <w:sz w:val="22"/>
                                <w:szCs w:val="22"/>
                              </w:rPr>
                            </w:pPr>
                            <w:r w:rsidRPr="004E5CCB">
                              <w:rPr>
                                <w:b w:val="0"/>
                                <w:bCs w:val="0"/>
                                <w:color w:val="auto"/>
                                <w:sz w:val="22"/>
                                <w:szCs w:val="22"/>
                              </w:rPr>
                              <w:t>engagement of the cartridge within the insulin pen when it is first loaded by priming appropriately</w:t>
                            </w:r>
                          </w:p>
                          <w:p w14:paraId="2E0850B8" w14:textId="77777777" w:rsidR="003F3433" w:rsidRPr="004E5CCB" w:rsidRDefault="003F3433" w:rsidP="003F3433">
                            <w:pPr>
                              <w:pStyle w:val="PulloutBoxHeading"/>
                              <w:numPr>
                                <w:ilvl w:val="0"/>
                                <w:numId w:val="18"/>
                              </w:numPr>
                              <w:ind w:left="426"/>
                              <w:rPr>
                                <w:b w:val="0"/>
                                <w:bCs w:val="0"/>
                                <w:color w:val="auto"/>
                                <w:sz w:val="22"/>
                                <w:szCs w:val="22"/>
                              </w:rPr>
                            </w:pPr>
                            <w:r w:rsidRPr="004E5CCB">
                              <w:rPr>
                                <w:b w:val="0"/>
                                <w:bCs w:val="0"/>
                                <w:color w:val="auto"/>
                                <w:sz w:val="22"/>
                                <w:szCs w:val="22"/>
                              </w:rPr>
                              <w:t>the insulin cartridge is checked to</w:t>
                            </w:r>
                            <w:r>
                              <w:rPr>
                                <w:b w:val="0"/>
                                <w:bCs w:val="0"/>
                                <w:color w:val="auto"/>
                                <w:sz w:val="22"/>
                                <w:szCs w:val="22"/>
                              </w:rPr>
                              <w:t xml:space="preserve"> </w:t>
                            </w:r>
                            <w:r w:rsidRPr="004E5CCB">
                              <w:rPr>
                                <w:b w:val="0"/>
                                <w:bCs w:val="0"/>
                                <w:color w:val="auto"/>
                                <w:sz w:val="22"/>
                                <w:szCs w:val="22"/>
                              </w:rPr>
                              <w:t>confirm it contains the correct insulin and is within the expiry date before each administration (without removing it from the reusable pen</w:t>
                            </w:r>
                            <w:r>
                              <w:rPr>
                                <w:b w:val="0"/>
                                <w:bCs w:val="0"/>
                                <w:color w:val="auto"/>
                                <w:sz w:val="22"/>
                                <w:szCs w:val="22"/>
                              </w:rPr>
                              <w:t>)</w:t>
                            </w:r>
                          </w:p>
                          <w:p w14:paraId="100D6948" w14:textId="51558DA5" w:rsidR="003F3433" w:rsidRDefault="003F3433" w:rsidP="003F3433">
                            <w:pPr>
                              <w:pStyle w:val="PulloutBoxHeading"/>
                              <w:numPr>
                                <w:ilvl w:val="0"/>
                                <w:numId w:val="18"/>
                              </w:numPr>
                              <w:ind w:left="426"/>
                              <w:rPr>
                                <w:b w:val="0"/>
                                <w:bCs w:val="0"/>
                                <w:color w:val="auto"/>
                                <w:sz w:val="22"/>
                                <w:szCs w:val="22"/>
                              </w:rPr>
                            </w:pPr>
                            <w:r w:rsidRPr="004E5CCB">
                              <w:rPr>
                                <w:b w:val="0"/>
                                <w:bCs w:val="0"/>
                                <w:color w:val="auto"/>
                                <w:sz w:val="22"/>
                                <w:szCs w:val="22"/>
                              </w:rPr>
                              <w:t xml:space="preserve">the pen is primed by expelling </w:t>
                            </w:r>
                            <w:r>
                              <w:rPr>
                                <w:b w:val="0"/>
                                <w:bCs w:val="0"/>
                                <w:color w:val="auto"/>
                                <w:sz w:val="22"/>
                                <w:szCs w:val="22"/>
                              </w:rPr>
                              <w:t>two</w:t>
                            </w:r>
                            <w:r w:rsidRPr="004E5CCB">
                              <w:rPr>
                                <w:b w:val="0"/>
                                <w:bCs w:val="0"/>
                                <w:color w:val="auto"/>
                                <w:sz w:val="22"/>
                                <w:szCs w:val="22"/>
                              </w:rPr>
                              <w:t xml:space="preserve"> units of insulin (repeat until insulin is visibly expelled from the needle)</w:t>
                            </w:r>
                            <w:r>
                              <w:rPr>
                                <w:b w:val="0"/>
                                <w:bCs w:val="0"/>
                                <w:color w:val="auto"/>
                                <w:sz w:val="22"/>
                                <w:szCs w:val="22"/>
                              </w:rPr>
                              <w:t xml:space="preserve"> </w:t>
                            </w:r>
                            <w:r w:rsidRPr="004E5CCB">
                              <w:rPr>
                                <w:b w:val="0"/>
                                <w:bCs w:val="0"/>
                                <w:color w:val="auto"/>
                                <w:sz w:val="22"/>
                                <w:szCs w:val="22"/>
                              </w:rPr>
                              <w:t>prior to dialling up each required dose so that an accurate dose is delivered</w:t>
                            </w:r>
                            <w:r>
                              <w:rPr>
                                <w:b w:val="0"/>
                                <w:bCs w:val="0"/>
                                <w:color w:val="auto"/>
                                <w:sz w:val="22"/>
                                <w:szCs w:val="22"/>
                              </w:rPr>
                              <w:t>. T</w:t>
                            </w:r>
                            <w:r w:rsidRPr="000139A6">
                              <w:rPr>
                                <w:b w:val="0"/>
                                <w:bCs w:val="0"/>
                                <w:color w:val="auto"/>
                                <w:sz w:val="22"/>
                                <w:szCs w:val="22"/>
                              </w:rPr>
                              <w:t>he device may need to be dialled up much further than 2 units to successfully engage the cartridge and prime the device</w:t>
                            </w:r>
                            <w:r>
                              <w:rPr>
                                <w:b w:val="0"/>
                                <w:bCs w:val="0"/>
                                <w:color w:val="auto"/>
                                <w:sz w:val="22"/>
                                <w:szCs w:val="22"/>
                              </w:rPr>
                              <w:t>.</w:t>
                            </w:r>
                          </w:p>
                          <w:p w14:paraId="6D8C98BD" w14:textId="77777777" w:rsidR="003F3433" w:rsidRDefault="003F3433" w:rsidP="003F3433">
                            <w:pPr>
                              <w:pStyle w:val="PulloutBoxHeading"/>
                              <w:numPr>
                                <w:ilvl w:val="0"/>
                                <w:numId w:val="18"/>
                              </w:numPr>
                              <w:ind w:left="426"/>
                              <w:rPr>
                                <w:b w:val="0"/>
                                <w:bCs w:val="0"/>
                                <w:color w:val="auto"/>
                                <w:sz w:val="22"/>
                                <w:szCs w:val="22"/>
                              </w:rPr>
                            </w:pPr>
                            <w:r>
                              <w:rPr>
                                <w:b w:val="0"/>
                                <w:bCs w:val="0"/>
                                <w:color w:val="auto"/>
                                <w:sz w:val="22"/>
                                <w:szCs w:val="22"/>
                              </w:rPr>
                              <w:t>the</w:t>
                            </w:r>
                            <w:r w:rsidRPr="00634B4B">
                              <w:rPr>
                                <w:b w:val="0"/>
                                <w:bCs w:val="0"/>
                                <w:color w:val="auto"/>
                                <w:sz w:val="22"/>
                                <w:szCs w:val="22"/>
                              </w:rPr>
                              <w:t xml:space="preserve"> reusable pens</w:t>
                            </w:r>
                            <w:r>
                              <w:rPr>
                                <w:b w:val="0"/>
                                <w:bCs w:val="0"/>
                                <w:color w:val="auto"/>
                                <w:sz w:val="22"/>
                                <w:szCs w:val="22"/>
                              </w:rPr>
                              <w:t xml:space="preserve"> are not disposed of and retained for future use.</w:t>
                            </w:r>
                          </w:p>
                          <w:p w14:paraId="05D9E098" w14:textId="77777777" w:rsidR="00816967" w:rsidRDefault="003F3433" w:rsidP="003F3433">
                            <w:pPr>
                              <w:rPr>
                                <w:color w:val="auto"/>
                              </w:rPr>
                            </w:pPr>
                            <w:r>
                              <w:rPr>
                                <w:color w:val="auto"/>
                              </w:rPr>
                              <w:t>It is important that the person using the product is educated on how insulin cartridges are loaded into the delivery device; ideally at the point of dispensing and when administering the insulin</w:t>
                            </w:r>
                            <w:r w:rsidR="004621C9">
                              <w:rPr>
                                <w:color w:val="auto"/>
                              </w:rPr>
                              <w:t>.</w:t>
                            </w:r>
                          </w:p>
                          <w:p w14:paraId="5A30129E" w14:textId="1289C857" w:rsidR="004621C9" w:rsidRDefault="004621C9" w:rsidP="003F3433">
                            <w:r>
                              <w:rPr>
                                <w:vertAlign w:val="superscript"/>
                              </w:rPr>
                              <w:t>1</w:t>
                            </w:r>
                            <w:r>
                              <w:t xml:space="preserve">Adapted from Clinical Excellence Commission </w:t>
                            </w:r>
                            <w:hyperlink r:id="rId35" w:history="1">
                              <w:r w:rsidRPr="004E5CCB">
                                <w:rPr>
                                  <w:rStyle w:val="Hyperlink"/>
                                </w:rPr>
                                <w:t>Safety Notice (SN:035/24):</w:t>
                              </w:r>
                              <w:r>
                                <w:rPr>
                                  <w:rStyle w:val="Hyperlink"/>
                                </w:rPr>
                                <w:t xml:space="preserve"> </w:t>
                              </w:r>
                              <w:r w:rsidRPr="004E5CCB">
                                <w:rPr>
                                  <w:rStyle w:val="Hyperlink"/>
                                </w:rPr>
                                <w:t>Discontinuation of multiple insulin products</w:t>
                              </w:r>
                            </w:hyperlink>
                          </w:p>
                        </w:tc>
                      </w:tr>
                    </w:tbl>
                    <w:p w14:paraId="2266B50E" w14:textId="77777777" w:rsidR="00816967" w:rsidRPr="00402F1C" w:rsidRDefault="00816967" w:rsidP="00816967">
                      <w:pPr>
                        <w:pStyle w:val="NoSpacing"/>
                        <w:spacing w:line="240" w:lineRule="auto"/>
                        <w:rPr>
                          <w:sz w:val="2"/>
                          <w:szCs w:val="2"/>
                        </w:rPr>
                      </w:pPr>
                    </w:p>
                  </w:txbxContent>
                </v:textbox>
                <w10:anchorlock/>
              </v:shape>
            </w:pict>
          </mc:Fallback>
        </mc:AlternateContent>
      </w:r>
    </w:p>
    <w:p w14:paraId="3DE71FDB" w14:textId="7629D41E" w:rsidR="0056502E" w:rsidRDefault="0056502E" w:rsidP="0056502E">
      <w:pPr>
        <w:pStyle w:val="Heading1"/>
      </w:pPr>
      <w:r>
        <w:t>Future considerations</w:t>
      </w:r>
    </w:p>
    <w:p w14:paraId="2FB58D04" w14:textId="77777777" w:rsidR="009F6B96" w:rsidRDefault="009F6B96" w:rsidP="009F6B96">
      <w:pPr>
        <w:tabs>
          <w:tab w:val="num" w:pos="720"/>
        </w:tabs>
      </w:pPr>
      <w:r>
        <w:t xml:space="preserve">Future considerations include </w:t>
      </w:r>
      <w:r w:rsidRPr="0010339A">
        <w:t xml:space="preserve">strategies to address the risks from </w:t>
      </w:r>
      <w:r>
        <w:t xml:space="preserve">other insulin </w:t>
      </w:r>
      <w:r w:rsidRPr="0010339A">
        <w:t xml:space="preserve">product </w:t>
      </w:r>
      <w:r>
        <w:t>discontinuations,</w:t>
      </w:r>
      <w:r w:rsidRPr="0010339A">
        <w:t xml:space="preserve"> particularly Levemir</w:t>
      </w:r>
      <w:r w:rsidRPr="00AF6A44">
        <w:rPr>
          <w:rFonts w:cs="Arial"/>
          <w:color w:val="000000"/>
          <w:vertAlign w:val="superscript"/>
          <w:lang w:eastAsia="en-GB"/>
        </w:rPr>
        <w:t>®</w:t>
      </w:r>
      <w:r w:rsidRPr="0010339A">
        <w:t>. Levemir</w:t>
      </w:r>
      <w:r w:rsidRPr="00AF6A44">
        <w:rPr>
          <w:rFonts w:cs="Arial"/>
          <w:color w:val="000000"/>
          <w:vertAlign w:val="superscript"/>
          <w:lang w:eastAsia="en-GB"/>
        </w:rPr>
        <w:t>®</w:t>
      </w:r>
      <w:r w:rsidRPr="0010339A">
        <w:t xml:space="preserve"> has no comparable substitute and migration to a replacement will </w:t>
      </w:r>
      <w:r>
        <w:t>involve transition to a different intermediate-acting or long-acting insulin.</w:t>
      </w:r>
    </w:p>
    <w:p w14:paraId="55A0690E" w14:textId="716E87E0" w:rsidR="006D252A" w:rsidRDefault="006D252A" w:rsidP="006D252A">
      <w:pPr>
        <w:pStyle w:val="Heading1"/>
      </w:pPr>
      <w:r>
        <w:lastRenderedPageBreak/>
        <w:t>Useful resources</w:t>
      </w:r>
    </w:p>
    <w:p w14:paraId="799366AB" w14:textId="5C36CCE6" w:rsidR="00324DE8" w:rsidRDefault="00324DE8" w:rsidP="00324DE8">
      <w:pPr>
        <w:pStyle w:val="ListParagraph"/>
        <w:numPr>
          <w:ilvl w:val="0"/>
          <w:numId w:val="19"/>
        </w:numPr>
        <w:spacing w:after="100" w:afterAutospacing="1" w:line="240" w:lineRule="auto"/>
      </w:pPr>
      <w:bookmarkStart w:id="4" w:name="_Hlk178241239"/>
      <w:r w:rsidRPr="0039209D">
        <w:t xml:space="preserve">Australian Commission on Safety and Quality in Health Care </w:t>
      </w:r>
      <w:hyperlink r:id="rId36" w:history="1">
        <w:r w:rsidRPr="00C56594">
          <w:rPr>
            <w:rStyle w:val="Hyperlink"/>
          </w:rPr>
          <w:t>High risk medicine resources: Safer Prescribing, dispensing and use of insulins</w:t>
        </w:r>
      </w:hyperlink>
      <w:r>
        <w:t xml:space="preserve"> </w:t>
      </w:r>
    </w:p>
    <w:p w14:paraId="26D69CF1" w14:textId="77777777" w:rsidR="00324DE8" w:rsidRDefault="00324DE8" w:rsidP="00324DE8">
      <w:pPr>
        <w:pStyle w:val="ListParagraph"/>
        <w:numPr>
          <w:ilvl w:val="0"/>
          <w:numId w:val="19"/>
        </w:numPr>
        <w:spacing w:after="100" w:afterAutospacing="1" w:line="240" w:lineRule="auto"/>
      </w:pPr>
      <w:hyperlink r:id="rId37" w:history="1">
        <w:r w:rsidRPr="00247EC1">
          <w:rPr>
            <w:rStyle w:val="Hyperlink"/>
          </w:rPr>
          <w:t xml:space="preserve">Consensus advice for health services and clinicians following the discontinuation of Novo Nordisk’s </w:t>
        </w:r>
        <w:proofErr w:type="spellStart"/>
        <w:r w:rsidRPr="00247EC1">
          <w:rPr>
            <w:rStyle w:val="Hyperlink"/>
          </w:rPr>
          <w:t>InnoLet</w:t>
        </w:r>
        <w:proofErr w:type="spellEnd"/>
        <w:r w:rsidRPr="00247EC1">
          <w:rPr>
            <w:rStyle w:val="Hyperlink"/>
          </w:rPr>
          <w:t xml:space="preserve"> (</w:t>
        </w:r>
        <w:proofErr w:type="spellStart"/>
        <w:r w:rsidRPr="00247EC1">
          <w:rPr>
            <w:rStyle w:val="Hyperlink"/>
          </w:rPr>
          <w:t>Protaphane</w:t>
        </w:r>
        <w:proofErr w:type="spellEnd"/>
        <w:r w:rsidRPr="00247EC1">
          <w:rPr>
            <w:rStyle w:val="Hyperlink"/>
          </w:rPr>
          <w:t xml:space="preserve"> Insulin) Device</w:t>
        </w:r>
      </w:hyperlink>
      <w:r>
        <w:t>. Australasian Diabetes in Pregnancy Society (ADIPS), Australian Diabetes Educators Association (ADEA), Australian Diabetes Society (ADS), Diabetes Australia (DA), Society of Obstetrics Medicine Australia and New Zealand (SOMANZ) and Royal Australian College of General Practitioners. [cited 2 Jan 2025]</w:t>
      </w:r>
    </w:p>
    <w:p w14:paraId="124F95E8" w14:textId="0C2BB849" w:rsidR="00324DE8" w:rsidRDefault="00615CA5" w:rsidP="00324DE8">
      <w:pPr>
        <w:pStyle w:val="ListParagraph"/>
        <w:numPr>
          <w:ilvl w:val="0"/>
          <w:numId w:val="19"/>
        </w:numPr>
        <w:spacing w:after="100" w:afterAutospacing="1" w:line="240" w:lineRule="auto"/>
      </w:pPr>
      <w:hyperlink r:id="rId38" w:history="1">
        <w:r w:rsidRPr="00615CA5">
          <w:rPr>
            <w:rStyle w:val="Hyperlink"/>
          </w:rPr>
          <w:t>Changes to the supply of insulin products</w:t>
        </w:r>
        <w:r w:rsidR="00324DE8" w:rsidRPr="00615CA5">
          <w:rPr>
            <w:rStyle w:val="Hyperlink"/>
          </w:rPr>
          <w:t>.</w:t>
        </w:r>
      </w:hyperlink>
      <w:r w:rsidR="00324DE8">
        <w:t xml:space="preserve"> Th</w:t>
      </w:r>
      <w:r w:rsidR="00324DE8" w:rsidRPr="00BC2DFF">
        <w:t>erapeutic Goods Administration (TGA). [cited 1</w:t>
      </w:r>
      <w:r>
        <w:t>5 Jun</w:t>
      </w:r>
      <w:r w:rsidR="00324DE8" w:rsidRPr="00BC2DFF">
        <w:t xml:space="preserve"> 202</w:t>
      </w:r>
      <w:r>
        <w:t>6</w:t>
      </w:r>
      <w:r w:rsidR="00324DE8" w:rsidRPr="00BC2DFF">
        <w:t>]</w:t>
      </w:r>
    </w:p>
    <w:p w14:paraId="538EA244" w14:textId="77777777" w:rsidR="00A9396B" w:rsidRDefault="00A9396B" w:rsidP="00A9396B">
      <w:pPr>
        <w:pStyle w:val="ListParagraph"/>
        <w:numPr>
          <w:ilvl w:val="0"/>
          <w:numId w:val="19"/>
        </w:numPr>
        <w:spacing w:after="100" w:afterAutospacing="1" w:line="240" w:lineRule="auto"/>
      </w:pPr>
      <w:hyperlink r:id="rId39" w:history="1">
        <w:r w:rsidRPr="00A9396B">
          <w:rPr>
            <w:rStyle w:val="Hyperlink"/>
          </w:rPr>
          <w:t>About the changes to the supply of insulin products</w:t>
        </w:r>
      </w:hyperlink>
      <w:r>
        <w:t>. Th</w:t>
      </w:r>
      <w:r w:rsidRPr="00BC2DFF">
        <w:t>erapeutic Goods Administration (TGA). [cited 1</w:t>
      </w:r>
      <w:r>
        <w:t>5 Jun</w:t>
      </w:r>
      <w:r w:rsidRPr="00BC2DFF">
        <w:t xml:space="preserve"> 202</w:t>
      </w:r>
      <w:r>
        <w:t>6</w:t>
      </w:r>
      <w:r w:rsidRPr="00BC2DFF">
        <w:t>]</w:t>
      </w:r>
    </w:p>
    <w:p w14:paraId="7325280D" w14:textId="77777777" w:rsidR="00324DE8" w:rsidRDefault="00324DE8" w:rsidP="00324DE8">
      <w:pPr>
        <w:pStyle w:val="ListParagraph"/>
        <w:numPr>
          <w:ilvl w:val="0"/>
          <w:numId w:val="19"/>
        </w:numPr>
        <w:spacing w:after="100" w:afterAutospacing="1" w:line="240" w:lineRule="auto"/>
      </w:pPr>
      <w:hyperlink r:id="rId40" w:history="1">
        <w:r w:rsidRPr="00222444">
          <w:rPr>
            <w:rStyle w:val="Hyperlink"/>
          </w:rPr>
          <w:t>Serious Scarcity Substitution Instruments (SSSIs).</w:t>
        </w:r>
      </w:hyperlink>
      <w:r>
        <w:t xml:space="preserve"> Therapeutic Goods Administration (TGA). [cited 17 Dec 2024]</w:t>
      </w:r>
    </w:p>
    <w:p w14:paraId="737E80EB" w14:textId="0ED13E41" w:rsidR="00324DE8" w:rsidRDefault="00C53A1F" w:rsidP="00324DE8">
      <w:pPr>
        <w:pStyle w:val="ListParagraph"/>
        <w:numPr>
          <w:ilvl w:val="0"/>
          <w:numId w:val="19"/>
        </w:numPr>
        <w:spacing w:after="100" w:afterAutospacing="1" w:line="240" w:lineRule="auto"/>
      </w:pPr>
      <w:hyperlink r:id="rId41" w:history="1">
        <w:r w:rsidRPr="00B95B1E">
          <w:rPr>
            <w:rStyle w:val="Hyperlink"/>
          </w:rPr>
          <w:t>Insulin – High Risk Medicine Standard Clinical Excellence Commission</w:t>
        </w:r>
      </w:hyperlink>
      <w:r w:rsidR="00324DE8" w:rsidRPr="004353B9">
        <w:rPr>
          <w:color w:val="0000FF"/>
        </w:rPr>
        <w:t xml:space="preserve"> </w:t>
      </w:r>
      <w:r w:rsidR="00324DE8" w:rsidRPr="004353B9">
        <w:t>[cited 23 Dec 2024]</w:t>
      </w:r>
    </w:p>
    <w:p w14:paraId="57249D7F" w14:textId="77777777" w:rsidR="00324DE8" w:rsidRDefault="00324DE8" w:rsidP="00324DE8">
      <w:pPr>
        <w:pStyle w:val="ListParagraph"/>
        <w:numPr>
          <w:ilvl w:val="0"/>
          <w:numId w:val="19"/>
        </w:numPr>
        <w:spacing w:after="100" w:afterAutospacing="1" w:line="240" w:lineRule="auto"/>
      </w:pPr>
      <w:r>
        <w:t xml:space="preserve">Diabetes Australia: </w:t>
      </w:r>
      <w:hyperlink r:id="rId42" w:history="1">
        <w:r w:rsidRPr="00A16AB4">
          <w:rPr>
            <w:rStyle w:val="Hyperlink"/>
          </w:rPr>
          <w:t>Best Practice Guidelines</w:t>
        </w:r>
      </w:hyperlink>
      <w:r>
        <w:t xml:space="preserve"> [cited 20 Jan 2025]</w:t>
      </w:r>
    </w:p>
    <w:p w14:paraId="32BB0128" w14:textId="77777777" w:rsidR="00324DE8" w:rsidRDefault="00324DE8" w:rsidP="00324DE8">
      <w:pPr>
        <w:pStyle w:val="ListParagraph"/>
        <w:numPr>
          <w:ilvl w:val="0"/>
          <w:numId w:val="19"/>
        </w:numPr>
        <w:spacing w:after="100" w:afterAutospacing="1" w:line="240" w:lineRule="auto"/>
      </w:pPr>
      <w:r>
        <w:t xml:space="preserve">Diabetes Australia </w:t>
      </w:r>
      <w:hyperlink r:id="rId43" w:history="1">
        <w:r w:rsidRPr="00674FC8">
          <w:rPr>
            <w:rStyle w:val="Hyperlink"/>
          </w:rPr>
          <w:t xml:space="preserve">Diabetes </w:t>
        </w:r>
        <w:r>
          <w:rPr>
            <w:rStyle w:val="Hyperlink"/>
          </w:rPr>
          <w:t>q</w:t>
        </w:r>
        <w:r w:rsidRPr="00674FC8">
          <w:rPr>
            <w:rStyle w:val="Hyperlink"/>
          </w:rPr>
          <w:t>uick guides</w:t>
        </w:r>
      </w:hyperlink>
      <w:r>
        <w:t xml:space="preserve">: </w:t>
      </w:r>
      <w:r w:rsidRPr="002203E3">
        <w:t>[cited 16 Dec 2024]</w:t>
      </w:r>
    </w:p>
    <w:p w14:paraId="4B282436" w14:textId="77777777" w:rsidR="00324DE8" w:rsidRDefault="00324DE8" w:rsidP="00324DE8">
      <w:pPr>
        <w:pStyle w:val="ListParagraph"/>
        <w:numPr>
          <w:ilvl w:val="0"/>
          <w:numId w:val="19"/>
        </w:numPr>
        <w:spacing w:after="100" w:afterAutospacing="1" w:line="240" w:lineRule="auto"/>
      </w:pPr>
      <w:hyperlink r:id="rId44" w:history="1">
        <w:r w:rsidRPr="00BC4D9B">
          <w:rPr>
            <w:rStyle w:val="Hyperlink"/>
          </w:rPr>
          <w:t>Insulin fact sheet</w:t>
        </w:r>
      </w:hyperlink>
      <w:r>
        <w:t xml:space="preserve">: National Diabetes Services </w:t>
      </w:r>
      <w:r w:rsidRPr="00893EF0">
        <w:t xml:space="preserve">Scheme </w:t>
      </w:r>
      <w:r w:rsidRPr="00893EF0">
        <w:rPr>
          <w:u w:val="single"/>
        </w:rPr>
        <w:t>[cited 17 Dec 2024]</w:t>
      </w:r>
    </w:p>
    <w:p w14:paraId="5E020CCC" w14:textId="77777777" w:rsidR="00324DE8" w:rsidRPr="0039209D" w:rsidRDefault="00324DE8" w:rsidP="00324DE8">
      <w:pPr>
        <w:pStyle w:val="ListParagraph"/>
        <w:numPr>
          <w:ilvl w:val="0"/>
          <w:numId w:val="19"/>
        </w:numPr>
        <w:spacing w:after="100" w:afterAutospacing="1" w:line="240" w:lineRule="auto"/>
        <w:ind w:left="714" w:hanging="357"/>
      </w:pPr>
      <w:bookmarkStart w:id="5" w:name="_Hlk188268972"/>
      <w:r w:rsidRPr="0039209D">
        <w:t xml:space="preserve">Australian Commission on Safety and Quality in Health Care </w:t>
      </w:r>
      <w:bookmarkEnd w:id="5"/>
      <w:r>
        <w:rPr>
          <w:color w:val="auto"/>
        </w:rPr>
        <w:fldChar w:fldCharType="begin"/>
      </w:r>
      <w:r>
        <w:instrText>HYPERLINK "https://www.safetyandquality.gov.au/publications-and-resources/resource-library/conserving-medicines-focus-medicines-shortages"</w:instrText>
      </w:r>
      <w:r>
        <w:rPr>
          <w:color w:val="auto"/>
        </w:rPr>
      </w:r>
      <w:r>
        <w:rPr>
          <w:color w:val="auto"/>
        </w:rPr>
        <w:fldChar w:fldCharType="separate"/>
      </w:r>
      <w:r w:rsidRPr="002203E3">
        <w:rPr>
          <w:color w:val="005370"/>
          <w:u w:val="single"/>
        </w:rPr>
        <w:t>guidance on conserving medicines within a focus on medicines shortages</w:t>
      </w:r>
      <w:r>
        <w:rPr>
          <w:color w:val="005370"/>
          <w:u w:val="single"/>
        </w:rPr>
        <w:fldChar w:fldCharType="end"/>
      </w:r>
      <w:r w:rsidRPr="0039209D">
        <w:t>.</w:t>
      </w:r>
    </w:p>
    <w:p w14:paraId="0FB1DE81" w14:textId="77777777" w:rsidR="00324DE8" w:rsidRDefault="00324DE8" w:rsidP="00324DE8">
      <w:pPr>
        <w:pStyle w:val="ListParagraph"/>
        <w:numPr>
          <w:ilvl w:val="0"/>
          <w:numId w:val="19"/>
        </w:numPr>
        <w:spacing w:after="100" w:afterAutospacing="1" w:line="240" w:lineRule="auto"/>
        <w:ind w:left="714" w:hanging="357"/>
      </w:pPr>
      <w:r w:rsidRPr="0039209D">
        <w:t xml:space="preserve">Australian Commission on Safety and Quality in Health Care </w:t>
      </w:r>
      <w:hyperlink r:id="rId45" w:history="1">
        <w:r w:rsidRPr="008230E2">
          <w:rPr>
            <w:color w:val="005370"/>
            <w:u w:val="single"/>
          </w:rPr>
          <w:t>Principles for safe selection and storage of medicines</w:t>
        </w:r>
      </w:hyperlink>
      <w:r w:rsidRPr="0039209D">
        <w:t>.</w:t>
      </w:r>
    </w:p>
    <w:p w14:paraId="35B1C006" w14:textId="77777777" w:rsidR="00324DE8" w:rsidRPr="008230E2" w:rsidRDefault="00324DE8" w:rsidP="00324DE8">
      <w:pPr>
        <w:pStyle w:val="ListParagraph"/>
        <w:numPr>
          <w:ilvl w:val="0"/>
          <w:numId w:val="19"/>
        </w:numPr>
        <w:spacing w:after="100" w:afterAutospacing="1" w:line="240" w:lineRule="auto"/>
        <w:ind w:left="714" w:hanging="357"/>
        <w:rPr>
          <w:rStyle w:val="Hyperlink"/>
          <w:color w:val="auto"/>
          <w:u w:val="none"/>
        </w:rPr>
      </w:pPr>
      <w:r>
        <w:t xml:space="preserve">Australian Commission on Safety and Quality in Health Care </w:t>
      </w:r>
      <w:hyperlink r:id="rId46" w:history="1">
        <w:r w:rsidRPr="00A24E70">
          <w:rPr>
            <w:rStyle w:val="Hyperlink"/>
          </w:rPr>
          <w:t>National Safety and Quality Health Service</w:t>
        </w:r>
        <w:r>
          <w:rPr>
            <w:rStyle w:val="Hyperlink"/>
          </w:rPr>
          <w:t xml:space="preserve"> (NSQHS)</w:t>
        </w:r>
        <w:r w:rsidRPr="00A24E70">
          <w:rPr>
            <w:rStyle w:val="Hyperlink"/>
          </w:rPr>
          <w:t xml:space="preserve"> Medication Safety Standard</w:t>
        </w:r>
      </w:hyperlink>
    </w:p>
    <w:p w14:paraId="7F2072C1" w14:textId="77777777" w:rsidR="00324DE8" w:rsidRDefault="00324DE8" w:rsidP="00324DE8">
      <w:pPr>
        <w:pStyle w:val="ListParagraph"/>
        <w:numPr>
          <w:ilvl w:val="0"/>
          <w:numId w:val="19"/>
        </w:numPr>
        <w:spacing w:after="100" w:afterAutospacing="1" w:line="240" w:lineRule="auto"/>
        <w:ind w:left="714" w:hanging="357"/>
      </w:pPr>
      <w:r>
        <w:t xml:space="preserve">Australian Department of Health and Aged Care </w:t>
      </w:r>
      <w:hyperlink r:id="rId47" w:history="1">
        <w:r w:rsidRPr="00902E00">
          <w:rPr>
            <w:rStyle w:val="Hyperlink"/>
          </w:rPr>
          <w:t>Medication management in residential aged care facilities guiding principles</w:t>
        </w:r>
      </w:hyperlink>
    </w:p>
    <w:p w14:paraId="1ADF4862" w14:textId="77777777" w:rsidR="00324DE8" w:rsidRPr="008230E2" w:rsidRDefault="00324DE8" w:rsidP="00324DE8">
      <w:pPr>
        <w:pStyle w:val="ListParagraph"/>
        <w:numPr>
          <w:ilvl w:val="0"/>
          <w:numId w:val="19"/>
        </w:numPr>
        <w:spacing w:after="100" w:afterAutospacing="1" w:line="240" w:lineRule="auto"/>
        <w:ind w:left="714" w:hanging="357"/>
        <w:rPr>
          <w:rStyle w:val="Hyperlink"/>
          <w:color w:val="auto"/>
          <w:u w:val="none"/>
        </w:rPr>
      </w:pPr>
      <w:r>
        <w:t xml:space="preserve">Australian Department of Health and Aged Care </w:t>
      </w:r>
      <w:hyperlink r:id="rId48" w:history="1">
        <w:r w:rsidRPr="003F6E99">
          <w:rPr>
            <w:rStyle w:val="Hyperlink"/>
          </w:rPr>
          <w:t>Medication management in the community guiding principles</w:t>
        </w:r>
      </w:hyperlink>
      <w:r>
        <w:rPr>
          <w:rStyle w:val="Hyperlink"/>
        </w:rPr>
        <w:t xml:space="preserve"> </w:t>
      </w:r>
    </w:p>
    <w:p w14:paraId="02E88B3B" w14:textId="24D49AED" w:rsidR="00324DE8" w:rsidRDefault="00324DE8" w:rsidP="00324DE8">
      <w:pPr>
        <w:pStyle w:val="ListParagraph"/>
        <w:numPr>
          <w:ilvl w:val="0"/>
          <w:numId w:val="19"/>
        </w:numPr>
        <w:spacing w:after="100" w:afterAutospacing="1" w:line="240" w:lineRule="auto"/>
        <w:ind w:left="714" w:hanging="357"/>
      </w:pPr>
      <w:r w:rsidRPr="008230E2">
        <w:rPr>
          <w:rStyle w:val="Hyperlink"/>
          <w:color w:val="auto"/>
          <w:u w:val="none"/>
        </w:rPr>
        <w:t>Australian Commission on Safety and Quality in Health Care</w:t>
      </w:r>
      <w:r w:rsidRPr="008230E2">
        <w:rPr>
          <w:rStyle w:val="Hyperlink"/>
          <w:u w:val="none"/>
        </w:rPr>
        <w:t xml:space="preserve"> </w:t>
      </w:r>
      <w:hyperlink r:id="rId49" w:history="1">
        <w:r w:rsidR="00CE065B" w:rsidRPr="00B15CD2">
          <w:rPr>
            <w:rStyle w:val="Hyperlink"/>
          </w:rPr>
          <w:t>Principles for safe and high-quality transitions of care fact sheet</w:t>
        </w:r>
      </w:hyperlink>
    </w:p>
    <w:p w14:paraId="2E320FAE" w14:textId="77777777" w:rsidR="00324DE8" w:rsidRDefault="00324DE8" w:rsidP="00324DE8">
      <w:pPr>
        <w:pStyle w:val="ListParagraph"/>
        <w:numPr>
          <w:ilvl w:val="0"/>
          <w:numId w:val="19"/>
        </w:numPr>
        <w:spacing w:after="100" w:afterAutospacing="1" w:line="240" w:lineRule="auto"/>
      </w:pPr>
      <w:hyperlink r:id="rId50" w:history="1">
        <w:r w:rsidRPr="00BF1BD4">
          <w:rPr>
            <w:rStyle w:val="Hyperlink"/>
          </w:rPr>
          <w:t>Management of type 2 diabetes: A handbook for general practice</w:t>
        </w:r>
      </w:hyperlink>
      <w:r>
        <w:t xml:space="preserve">. The Royal Australian College of General Practitioners (RACGP) </w:t>
      </w:r>
      <w:r w:rsidRPr="00893EF0">
        <w:t>[cited 17 Dec 2024]</w:t>
      </w:r>
    </w:p>
    <w:p w14:paraId="5190575C" w14:textId="77777777" w:rsidR="00324DE8" w:rsidRDefault="00324DE8" w:rsidP="00324DE8">
      <w:pPr>
        <w:pStyle w:val="ListParagraph"/>
        <w:numPr>
          <w:ilvl w:val="0"/>
          <w:numId w:val="19"/>
        </w:numPr>
        <w:spacing w:after="100" w:afterAutospacing="1" w:line="240" w:lineRule="auto"/>
      </w:pPr>
      <w:hyperlink r:id="rId51" w:history="1">
        <w:r w:rsidRPr="00837317">
          <w:rPr>
            <w:rStyle w:val="Hyperlink"/>
          </w:rPr>
          <w:t>Clinical guidelines</w:t>
        </w:r>
      </w:hyperlink>
      <w:r>
        <w:t xml:space="preserve">: Australian Diabetes Society (ADS) </w:t>
      </w:r>
      <w:r w:rsidRPr="00893EF0">
        <w:t>[cited 17 Dec 2024]</w:t>
      </w:r>
    </w:p>
    <w:p w14:paraId="29744A67" w14:textId="77777777" w:rsidR="00324DE8" w:rsidRDefault="00324DE8" w:rsidP="00324DE8">
      <w:pPr>
        <w:pStyle w:val="ListParagraph"/>
        <w:numPr>
          <w:ilvl w:val="0"/>
          <w:numId w:val="19"/>
        </w:numPr>
        <w:spacing w:after="100" w:afterAutospacing="1" w:line="240" w:lineRule="auto"/>
      </w:pPr>
      <w:hyperlink r:id="rId52" w:history="1">
        <w:r w:rsidRPr="00CB1F2B">
          <w:rPr>
            <w:rStyle w:val="Hyperlink"/>
          </w:rPr>
          <w:t>Guidelines and Consensus Statements</w:t>
        </w:r>
      </w:hyperlink>
      <w:r>
        <w:t xml:space="preserve">: Australia and New Zealand Society for Paediatric Endocrinology and Diabetes (ANZSPED) </w:t>
      </w:r>
      <w:r w:rsidRPr="00893EF0">
        <w:t>[cited 17 Dec 2024]</w:t>
      </w:r>
    </w:p>
    <w:p w14:paraId="6D570D0F" w14:textId="77777777" w:rsidR="00324DE8" w:rsidRDefault="00324DE8" w:rsidP="00324DE8">
      <w:pPr>
        <w:pStyle w:val="ListParagraph"/>
        <w:numPr>
          <w:ilvl w:val="0"/>
          <w:numId w:val="19"/>
        </w:numPr>
        <w:spacing w:after="100" w:afterAutospacing="1" w:line="240" w:lineRule="auto"/>
      </w:pPr>
      <w:hyperlink r:id="rId53" w:history="1">
        <w:r w:rsidRPr="00077332">
          <w:rPr>
            <w:rStyle w:val="Hyperlink"/>
          </w:rPr>
          <w:t>Standards, position statements and other resources</w:t>
        </w:r>
      </w:hyperlink>
      <w:r>
        <w:t>: Australian Diabetes Educators Association (ADEA</w:t>
      </w:r>
      <w:r w:rsidRPr="00893EF0">
        <w:t>) [cited 17 Dec 2024]</w:t>
      </w:r>
    </w:p>
    <w:p w14:paraId="3F9CE8C4" w14:textId="77777777" w:rsidR="00324DE8" w:rsidRDefault="00324DE8" w:rsidP="00324DE8">
      <w:pPr>
        <w:pStyle w:val="ListParagraph"/>
        <w:numPr>
          <w:ilvl w:val="0"/>
          <w:numId w:val="19"/>
        </w:numPr>
        <w:spacing w:after="100" w:afterAutospacing="1" w:line="240" w:lineRule="auto"/>
        <w:ind w:left="714" w:hanging="357"/>
      </w:pPr>
      <w:hyperlink r:id="rId54" w:history="1">
        <w:r w:rsidRPr="00A16801">
          <w:rPr>
            <w:rStyle w:val="Hyperlink"/>
          </w:rPr>
          <w:t>Information for Health Care Providers</w:t>
        </w:r>
      </w:hyperlink>
      <w:r>
        <w:t xml:space="preserve">: </w:t>
      </w:r>
      <w:bookmarkStart w:id="6" w:name="_Hlk185259064"/>
      <w:r>
        <w:t>Australasian Diabetes in Pregnancy Society (ADIPS)</w:t>
      </w:r>
      <w:bookmarkEnd w:id="6"/>
    </w:p>
    <w:p w14:paraId="019A8BD6" w14:textId="77777777" w:rsidR="00324DE8" w:rsidRPr="000F2ACE" w:rsidRDefault="00324DE8" w:rsidP="00324DE8">
      <w:pPr>
        <w:pStyle w:val="ListParagraph"/>
        <w:numPr>
          <w:ilvl w:val="0"/>
          <w:numId w:val="19"/>
        </w:numPr>
        <w:spacing w:after="100" w:afterAutospacing="1" w:line="240" w:lineRule="auto"/>
        <w:ind w:left="714" w:hanging="357"/>
        <w:rPr>
          <w:rStyle w:val="Hyperlink"/>
          <w:rFonts w:cs="Arial"/>
          <w:color w:val="auto"/>
          <w:u w:val="none"/>
        </w:rPr>
      </w:pPr>
      <w:r w:rsidRPr="000F2ACE">
        <w:rPr>
          <w:rFonts w:cs="Arial"/>
        </w:rPr>
        <w:t xml:space="preserve">The Pharmaceutical Benefits Scheme </w:t>
      </w:r>
      <w:hyperlink r:id="rId55" w:history="1">
        <w:r w:rsidRPr="000F2ACE">
          <w:rPr>
            <w:rStyle w:val="Hyperlink"/>
            <w:rFonts w:cs="Arial"/>
          </w:rPr>
          <w:t>PBS website</w:t>
        </w:r>
      </w:hyperlink>
    </w:p>
    <w:p w14:paraId="20F3420C" w14:textId="77777777" w:rsidR="00324DE8" w:rsidRPr="000F2ACE" w:rsidRDefault="00324DE8" w:rsidP="00324DE8">
      <w:pPr>
        <w:pStyle w:val="ListParagraph"/>
        <w:numPr>
          <w:ilvl w:val="0"/>
          <w:numId w:val="19"/>
        </w:numPr>
        <w:spacing w:after="100" w:afterAutospacing="1" w:line="240" w:lineRule="auto"/>
        <w:ind w:left="714" w:hanging="357"/>
        <w:rPr>
          <w:rFonts w:cs="Arial"/>
        </w:rPr>
      </w:pPr>
      <w:hyperlink r:id="rId56" w:history="1">
        <w:r w:rsidRPr="000F2ACE">
          <w:rPr>
            <w:rStyle w:val="Hyperlink"/>
            <w:rFonts w:cs="Arial"/>
          </w:rPr>
          <w:t>National Association of Diabetes Centres</w:t>
        </w:r>
      </w:hyperlink>
    </w:p>
    <w:bookmarkEnd w:id="4"/>
    <w:p w14:paraId="65613C9C" w14:textId="77777777" w:rsidR="004D1301" w:rsidRPr="0039209D" w:rsidRDefault="004D1301" w:rsidP="004D1301">
      <w:pPr>
        <w:rPr>
          <w:b/>
          <w:bCs/>
          <w:sz w:val="24"/>
          <w:szCs w:val="24"/>
          <w:lang w:val="en-US"/>
        </w:rPr>
      </w:pPr>
      <w:r w:rsidRPr="0039209D">
        <w:rPr>
          <w:b/>
          <w:bCs/>
          <w:sz w:val="24"/>
          <w:szCs w:val="24"/>
          <w:lang w:val="en-US"/>
        </w:rPr>
        <w:t>State and Territory safety alerts and guidance</w:t>
      </w:r>
    </w:p>
    <w:p w14:paraId="5E5F07DC" w14:textId="56E0C371" w:rsidR="004D1301" w:rsidRDefault="004D1301" w:rsidP="004D1301">
      <w:pPr>
        <w:numPr>
          <w:ilvl w:val="0"/>
          <w:numId w:val="20"/>
        </w:numPr>
        <w:spacing w:line="240" w:lineRule="auto"/>
        <w:contextualSpacing/>
        <w:rPr>
          <w:lang w:val="en-US"/>
        </w:rPr>
      </w:pPr>
      <w:r w:rsidRPr="0039209D">
        <w:rPr>
          <w:lang w:val="en-US"/>
        </w:rPr>
        <w:t>NSW Health</w:t>
      </w:r>
      <w:r>
        <w:rPr>
          <w:lang w:val="en-US"/>
        </w:rPr>
        <w:t xml:space="preserve"> </w:t>
      </w:r>
      <w:r w:rsidRPr="00A42C0E">
        <w:rPr>
          <w:lang w:val="en-US"/>
        </w:rPr>
        <w:t>Safety Notice 035/24</w:t>
      </w:r>
      <w:r>
        <w:rPr>
          <w:lang w:val="en-US"/>
        </w:rPr>
        <w:t xml:space="preserve"> - </w:t>
      </w:r>
      <w:hyperlink r:id="rId57" w:history="1">
        <w:r w:rsidRPr="00A42C0E">
          <w:rPr>
            <w:rStyle w:val="Hyperlink"/>
            <w:lang w:val="en-US"/>
          </w:rPr>
          <w:t>Discontinuation of multiple insulin products</w:t>
        </w:r>
      </w:hyperlink>
      <w:r>
        <w:rPr>
          <w:lang w:val="en-US"/>
        </w:rPr>
        <w:t xml:space="preserve"> </w:t>
      </w:r>
      <w:r w:rsidRPr="0039209D">
        <w:rPr>
          <w:lang w:val="en-US"/>
        </w:rPr>
        <w:t>(</w:t>
      </w:r>
      <w:r>
        <w:rPr>
          <w:lang w:val="en-US"/>
        </w:rPr>
        <w:t xml:space="preserve">16 Dec </w:t>
      </w:r>
      <w:r w:rsidRPr="0039209D">
        <w:rPr>
          <w:lang w:val="en-US"/>
        </w:rPr>
        <w:t>2024</w:t>
      </w:r>
      <w:r w:rsidR="00A9396B">
        <w:rPr>
          <w:lang w:val="en-US"/>
        </w:rPr>
        <w:t>; made obsolete 23 Sept 2025</w:t>
      </w:r>
      <w:r w:rsidRPr="0039209D">
        <w:rPr>
          <w:lang w:val="en-US"/>
        </w:rPr>
        <w:t>)</w:t>
      </w:r>
    </w:p>
    <w:p w14:paraId="7F8FF121" w14:textId="5D62C83B" w:rsidR="00A9396B" w:rsidRDefault="00A9396B" w:rsidP="00A9396B">
      <w:pPr>
        <w:numPr>
          <w:ilvl w:val="0"/>
          <w:numId w:val="20"/>
        </w:numPr>
        <w:spacing w:line="240" w:lineRule="auto"/>
        <w:contextualSpacing/>
        <w:rPr>
          <w:lang w:val="en-US"/>
        </w:rPr>
      </w:pPr>
      <w:r>
        <w:rPr>
          <w:lang w:val="en-US"/>
        </w:rPr>
        <w:t xml:space="preserve">NSW Health Safety Notice 023/25 – </w:t>
      </w:r>
      <w:hyperlink r:id="rId58" w:history="1">
        <w:r w:rsidRPr="00A9396B">
          <w:rPr>
            <w:rStyle w:val="Hyperlink"/>
            <w:lang w:val="en-US"/>
          </w:rPr>
          <w:t>UPDATED: Discontinuation of multiple insulin products</w:t>
        </w:r>
      </w:hyperlink>
      <w:r>
        <w:rPr>
          <w:lang w:val="en-US"/>
        </w:rPr>
        <w:t xml:space="preserve"> (23 Sept 2025)</w:t>
      </w:r>
    </w:p>
    <w:p w14:paraId="7EBD5EEE" w14:textId="77777777" w:rsidR="004D1301" w:rsidRDefault="004D1301" w:rsidP="004D1301">
      <w:pPr>
        <w:numPr>
          <w:ilvl w:val="0"/>
          <w:numId w:val="20"/>
        </w:numPr>
        <w:spacing w:line="240" w:lineRule="auto"/>
        <w:contextualSpacing/>
        <w:rPr>
          <w:lang w:val="en-US"/>
        </w:rPr>
      </w:pPr>
      <w:r>
        <w:rPr>
          <w:lang w:val="en-US"/>
        </w:rPr>
        <w:t xml:space="preserve">Queensland Health </w:t>
      </w:r>
      <w:hyperlink r:id="rId59" w:history="1">
        <w:r w:rsidRPr="00774216">
          <w:rPr>
            <w:rStyle w:val="Hyperlink"/>
            <w:lang w:val="en-US"/>
          </w:rPr>
          <w:t xml:space="preserve">Fact Sheet – Discontinuation of </w:t>
        </w:r>
        <w:proofErr w:type="spellStart"/>
        <w:r w:rsidRPr="00774216">
          <w:rPr>
            <w:rStyle w:val="Hyperlink"/>
            <w:lang w:val="en-US"/>
          </w:rPr>
          <w:t>Protaphane</w:t>
        </w:r>
        <w:proofErr w:type="spellEnd"/>
        <w:r w:rsidRPr="00774216">
          <w:rPr>
            <w:rStyle w:val="Hyperlink"/>
            <w:vertAlign w:val="superscript"/>
            <w:lang w:val="en-US"/>
          </w:rPr>
          <w:t>®</w:t>
        </w:r>
        <w:r w:rsidRPr="00774216">
          <w:rPr>
            <w:rStyle w:val="Hyperlink"/>
            <w:lang w:val="en-US"/>
          </w:rPr>
          <w:t xml:space="preserve"> </w:t>
        </w:r>
        <w:proofErr w:type="spellStart"/>
        <w:r w:rsidRPr="00774216">
          <w:rPr>
            <w:rStyle w:val="Hyperlink"/>
            <w:lang w:val="en-US"/>
          </w:rPr>
          <w:t>InnoLet</w:t>
        </w:r>
        <w:proofErr w:type="spellEnd"/>
        <w:r w:rsidRPr="00774216">
          <w:rPr>
            <w:rStyle w:val="Hyperlink"/>
            <w:vertAlign w:val="superscript"/>
            <w:lang w:val="en-US"/>
          </w:rPr>
          <w:t>®</w:t>
        </w:r>
        <w:r w:rsidRPr="00774216">
          <w:rPr>
            <w:rStyle w:val="Hyperlink"/>
            <w:lang w:val="en-US"/>
          </w:rPr>
          <w:t xml:space="preserve"> and other insulin products</w:t>
        </w:r>
      </w:hyperlink>
      <w:r>
        <w:rPr>
          <w:lang w:val="en-US"/>
        </w:rPr>
        <w:t xml:space="preserve"> (20 Dec 2024)</w:t>
      </w:r>
    </w:p>
    <w:p w14:paraId="5845EB3C" w14:textId="77777777" w:rsidR="006D252A" w:rsidRPr="006D252A" w:rsidRDefault="006D252A" w:rsidP="006D252A"/>
    <w:p w14:paraId="03E47315" w14:textId="77777777" w:rsidR="000A7C68" w:rsidRPr="004F4210" w:rsidRDefault="000A7C68" w:rsidP="000A7C68">
      <w:pPr>
        <w:rPr>
          <w:b/>
          <w:bCs/>
        </w:rPr>
      </w:pPr>
      <w:r w:rsidRPr="004F4210">
        <w:rPr>
          <w:b/>
          <w:bCs/>
        </w:rPr>
        <w:lastRenderedPageBreak/>
        <w:t>For more information</w:t>
      </w:r>
    </w:p>
    <w:p w14:paraId="6E1FA9C5" w14:textId="77777777" w:rsidR="000A7C68" w:rsidRDefault="000A7C68" w:rsidP="000A7C68">
      <w:r>
        <w:t xml:space="preserve">Please visit: </w:t>
      </w:r>
      <w:hyperlink r:id="rId60" w:history="1">
        <w:r w:rsidRPr="00CB4803">
          <w:rPr>
            <w:rStyle w:val="Hyperlink"/>
          </w:rPr>
          <w:t>TGA Medicine Shortage Reports Database</w:t>
        </w:r>
      </w:hyperlink>
      <w:r w:rsidRPr="0039209D">
        <w:t xml:space="preserve"> or contact the </w:t>
      </w:r>
      <w:r>
        <w:t>Commission</w:t>
      </w:r>
      <w:r w:rsidRPr="0039209D">
        <w:t xml:space="preserve"> at </w:t>
      </w:r>
      <w:hyperlink r:id="rId61" w:history="1">
        <w:r w:rsidRPr="0045236C">
          <w:rPr>
            <w:rStyle w:val="Hyperlink"/>
          </w:rPr>
          <w:t>medsafety@safetyandquality.gov.au</w:t>
        </w:r>
      </w:hyperlink>
      <w:r w:rsidRPr="0039209D">
        <w:t xml:space="preserve"> or call 1800 304 056.</w:t>
      </w:r>
    </w:p>
    <w:p w14:paraId="62AC23F4" w14:textId="72012A1A" w:rsidR="005915AE" w:rsidRDefault="006B31AD" w:rsidP="004E2765">
      <w:pPr>
        <w:rPr>
          <w:color w:val="EE0000"/>
        </w:rPr>
      </w:pPr>
      <w:r>
        <w:t>© Australian Commission on Safety and Quality in Health Care</w:t>
      </w:r>
      <w:r w:rsidRPr="00B95B1E">
        <w:rPr>
          <w:color w:val="auto"/>
        </w:rPr>
        <w:t xml:space="preserve"> 20</w:t>
      </w:r>
      <w:r w:rsidR="00A40526" w:rsidRPr="00B95B1E">
        <w:rPr>
          <w:color w:val="auto"/>
        </w:rPr>
        <w:t>26</w:t>
      </w:r>
    </w:p>
    <w:p w14:paraId="00EC3A23" w14:textId="77777777" w:rsidR="00D32FB1" w:rsidRDefault="00D32FB1" w:rsidP="004E2765">
      <w:pPr>
        <w:rPr>
          <w:color w:val="EE0000"/>
        </w:rPr>
      </w:pPr>
    </w:p>
    <w:p w14:paraId="7E35BB79" w14:textId="77777777" w:rsidR="00A22106" w:rsidRDefault="00A22106" w:rsidP="004E2765">
      <w:pPr>
        <w:rPr>
          <w:color w:val="EE0000"/>
        </w:rPr>
      </w:pPr>
    </w:p>
    <w:p w14:paraId="6E661936" w14:textId="77777777" w:rsidR="00A22106" w:rsidRDefault="00A22106" w:rsidP="004E2765">
      <w:pPr>
        <w:rPr>
          <w:color w:val="EE0000"/>
        </w:rPr>
      </w:pPr>
    </w:p>
    <w:p w14:paraId="5DE20EB2" w14:textId="77777777" w:rsidR="00235529" w:rsidRDefault="00235529" w:rsidP="004E2765">
      <w:pPr>
        <w:rPr>
          <w:color w:val="EE0000"/>
        </w:rPr>
      </w:pPr>
    </w:p>
    <w:p w14:paraId="445ABA06" w14:textId="77777777" w:rsidR="00235529" w:rsidRPr="004E2765" w:rsidRDefault="00235529" w:rsidP="004E2765"/>
    <w:sectPr w:rsidR="00235529" w:rsidRPr="004E2765" w:rsidSect="00B967A4">
      <w:headerReference w:type="even" r:id="rId62"/>
      <w:footerReference w:type="even" r:id="rId63"/>
      <w:footerReference w:type="default" r:id="rId64"/>
      <w:headerReference w:type="first" r:id="rId65"/>
      <w:footerReference w:type="first" r:id="rId66"/>
      <w:pgSz w:w="11906" w:h="16838" w:code="9"/>
      <w:pgMar w:top="1418" w:right="1361" w:bottom="1361" w:left="1361" w:header="624" w:footer="6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F8DAB" w14:textId="77777777" w:rsidR="005E4085" w:rsidRDefault="005E4085" w:rsidP="001D0AFC">
      <w:r>
        <w:separator/>
      </w:r>
    </w:p>
    <w:p w14:paraId="738A9D27" w14:textId="77777777" w:rsidR="005E4085" w:rsidRDefault="005E4085"/>
    <w:p w14:paraId="27BBDEAD" w14:textId="77777777" w:rsidR="005E4085" w:rsidRDefault="005E4085"/>
    <w:p w14:paraId="6D5A4FE9" w14:textId="77777777" w:rsidR="005E4085" w:rsidRDefault="005E4085"/>
  </w:endnote>
  <w:endnote w:type="continuationSeparator" w:id="0">
    <w:p w14:paraId="11C2FD33" w14:textId="77777777" w:rsidR="005E4085" w:rsidRDefault="005E4085" w:rsidP="001D0AFC">
      <w:r>
        <w:continuationSeparator/>
      </w:r>
    </w:p>
    <w:p w14:paraId="00784CEC" w14:textId="77777777" w:rsidR="005E4085" w:rsidRDefault="005E4085"/>
    <w:p w14:paraId="222BA079" w14:textId="77777777" w:rsidR="005E4085" w:rsidRDefault="005E4085"/>
    <w:p w14:paraId="7EB81846" w14:textId="77777777" w:rsidR="005E4085" w:rsidRDefault="005E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7F0E" w14:textId="40ED0DBB" w:rsidR="00FB57D3" w:rsidRDefault="00FB57D3">
    <w:pPr>
      <w:pStyle w:val="Footer"/>
    </w:pPr>
    <w:r>
      <w:rPr>
        <w:noProof/>
      </w:rPr>
      <mc:AlternateContent>
        <mc:Choice Requires="wps">
          <w:drawing>
            <wp:anchor distT="0" distB="0" distL="0" distR="0" simplePos="0" relativeHeight="251671552" behindDoc="0" locked="0" layoutInCell="1" allowOverlap="1" wp14:anchorId="61349E8A" wp14:editId="7B01F21F">
              <wp:simplePos x="635" y="635"/>
              <wp:positionH relativeFrom="page">
                <wp:align>center</wp:align>
              </wp:positionH>
              <wp:positionV relativeFrom="page">
                <wp:align>bottom</wp:align>
              </wp:positionV>
              <wp:extent cx="622300" cy="452755"/>
              <wp:effectExtent l="0" t="0" r="6350" b="0"/>
              <wp:wrapNone/>
              <wp:docPr id="119634544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4B50716" w14:textId="2FDD79C3" w:rsidR="00FB57D3" w:rsidRPr="00FB57D3" w:rsidRDefault="00FB57D3" w:rsidP="00FB57D3">
                          <w:pPr>
                            <w:spacing w:after="0"/>
                            <w:rPr>
                              <w:rFonts w:ascii="Aptos" w:eastAsia="Aptos" w:hAnsi="Aptos" w:cs="Aptos"/>
                              <w:noProof/>
                              <w:color w:val="FF0000"/>
                              <w:sz w:val="24"/>
                              <w:szCs w:val="24"/>
                            </w:rPr>
                          </w:pPr>
                          <w:r w:rsidRPr="00FB57D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349E8A" id="_x0000_t202" coordsize="21600,21600" o:spt="202" path="m,l,21600r21600,l21600,xe">
              <v:stroke joinstyle="miter"/>
              <v:path gradientshapeok="t" o:connecttype="rect"/>
            </v:shapetype>
            <v:shape id="Text Box 5" o:spid="_x0000_s1030" type="#_x0000_t202" alt="OFFICIAL" style="position:absolute;margin-left:0;margin-top:0;width:49pt;height:35.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75DA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fPZ5Po8o2eWyQx++KTAsGiVH2koiSxzu&#10;fRhSx5RYy8K6adu0mdb+5iDM6MkuHUYr9NueNdWr7rdQHWkohGHf3sl1Q6XvhQ9PAmnB1C2JNjzS&#10;oVvoSg4ni7Ma8Off/DGfeKcoZx0JpuSWFM1Z+93SPqK2RgNHY5uM6Zd8Humxe3MLJMMpvQgnk0le&#10;DO1oagTzQnJexUIUElZSuZJvR/M2DMql5yDVapWSSEZOhHu7cTJCR7oil8/9i0B3IjzQph5gVJMo&#10;3vA+5Mab3q32gdhPS4nUDkSeGCcJprWenkvU+Ov/lHV51MtfA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ugMe+QwCAAAcBAAA&#10;DgAAAAAAAAAAAAAAAAAuAgAAZHJzL2Uyb0RvYy54bWxQSwECLQAUAAYACAAAACEApl/EdtoAAAAD&#10;AQAADwAAAAAAAAAAAAAAAABmBAAAZHJzL2Rvd25yZXYueG1sUEsFBgAAAAAEAAQA8wAAAG0FAAAA&#10;AA==&#10;" filled="f" stroked="f">
              <v:textbox style="mso-fit-shape-to-text:t" inset="0,0,0,15pt">
                <w:txbxContent>
                  <w:p w14:paraId="04B50716" w14:textId="2FDD79C3" w:rsidR="00FB57D3" w:rsidRPr="00FB57D3" w:rsidRDefault="00FB57D3" w:rsidP="00FB57D3">
                    <w:pPr>
                      <w:spacing w:after="0"/>
                      <w:rPr>
                        <w:rFonts w:ascii="Aptos" w:eastAsia="Aptos" w:hAnsi="Aptos" w:cs="Aptos"/>
                        <w:noProof/>
                        <w:color w:val="FF0000"/>
                        <w:sz w:val="24"/>
                        <w:szCs w:val="24"/>
                      </w:rPr>
                    </w:pPr>
                    <w:r w:rsidRPr="00FB57D3">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9671C" w14:textId="314E64AC" w:rsidR="00F67850" w:rsidRDefault="00790310" w:rsidP="00F67850">
    <w:pPr>
      <w:pStyle w:val="Footer"/>
      <w:ind w:left="284"/>
    </w:pPr>
    <w:r w:rsidRPr="00790310">
      <w:t xml:space="preserve">Guidance – Discontinuation of insulin products: Strategies and safety considerations                                     </w:t>
    </w:r>
    <w:r w:rsidR="00F67850" w:rsidRPr="00F54926">
      <w:rPr>
        <w:noProof/>
        <w:color w:val="FF0000"/>
      </w:rPr>
      <w:drawing>
        <wp:anchor distT="0" distB="0" distL="114300" distR="114300" simplePos="0" relativeHeight="251664384" behindDoc="0" locked="0" layoutInCell="1" allowOverlap="1" wp14:anchorId="3D3DE669" wp14:editId="291CE055">
          <wp:simplePos x="0" y="0"/>
          <wp:positionH relativeFrom="column">
            <wp:posOffset>0</wp:posOffset>
          </wp:positionH>
          <wp:positionV relativeFrom="paragraph">
            <wp:posOffset>-20320</wp:posOffset>
          </wp:positionV>
          <wp:extent cx="138430" cy="179705"/>
          <wp:effectExtent l="0" t="0" r="0" b="0"/>
          <wp:wrapNone/>
          <wp:docPr id="3759673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2494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00F67850" w:rsidRPr="00F67850">
      <w:tab/>
    </w:r>
    <w:r w:rsidR="00F67850" w:rsidRPr="00F67850">
      <w:rPr>
        <w:b/>
        <w:bCs/>
      </w:rPr>
      <w:fldChar w:fldCharType="begin"/>
    </w:r>
    <w:r w:rsidR="00F67850" w:rsidRPr="00F67850">
      <w:rPr>
        <w:b/>
        <w:bCs/>
      </w:rPr>
      <w:instrText xml:space="preserve"> PAGE   \* MERGEFORMAT </w:instrText>
    </w:r>
    <w:r w:rsidR="00F67850" w:rsidRPr="00F67850">
      <w:rPr>
        <w:b/>
        <w:bCs/>
      </w:rPr>
      <w:fldChar w:fldCharType="separate"/>
    </w:r>
    <w:r w:rsidR="00F67850" w:rsidRPr="00F67850">
      <w:rPr>
        <w:b/>
        <w:bCs/>
      </w:rPr>
      <w:t>1</w:t>
    </w:r>
    <w:r w:rsidR="00F67850" w:rsidRPr="00F67850">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3331B" w14:textId="72E54194" w:rsidR="00F67850" w:rsidRDefault="00F67850">
    <w:pPr>
      <w:pStyle w:val="Footer"/>
    </w:pPr>
    <w:r w:rsidRPr="00790310">
      <w:rPr>
        <w:noProof/>
        <w:color w:val="auto"/>
      </w:rPr>
      <w:drawing>
        <wp:anchor distT="0" distB="0" distL="114300" distR="114300" simplePos="0" relativeHeight="251662336" behindDoc="0" locked="0" layoutInCell="1" allowOverlap="1" wp14:anchorId="62F93E0C" wp14:editId="3C8A7C2A">
          <wp:simplePos x="0" y="0"/>
          <wp:positionH relativeFrom="column">
            <wp:posOffset>-135890</wp:posOffset>
          </wp:positionH>
          <wp:positionV relativeFrom="paragraph">
            <wp:posOffset>-26035</wp:posOffset>
          </wp:positionV>
          <wp:extent cx="138430" cy="179705"/>
          <wp:effectExtent l="0" t="0" r="0" b="0"/>
          <wp:wrapNone/>
          <wp:docPr id="1895484310"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2494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0310">
      <w:rPr>
        <w:color w:val="auto"/>
      </w:rPr>
      <w:t xml:space="preserve"> </w:t>
    </w:r>
    <w:r w:rsidR="00790310" w:rsidRPr="00790310">
      <w:rPr>
        <w:color w:val="auto"/>
      </w:rPr>
      <w:t xml:space="preserve">Guidance – Discontinuation of insulin products: Strategies and safety considerations                                     </w:t>
    </w:r>
    <w:r w:rsidRPr="00F67850">
      <w:tab/>
    </w:r>
    <w:r w:rsidRPr="00F67850">
      <w:rPr>
        <w:b/>
        <w:bCs/>
      </w:rPr>
      <w:fldChar w:fldCharType="begin"/>
    </w:r>
    <w:r w:rsidRPr="00F67850">
      <w:rPr>
        <w:b/>
        <w:bCs/>
      </w:rPr>
      <w:instrText xml:space="preserve"> PAGE   \* MERGEFORMAT </w:instrText>
    </w:r>
    <w:r w:rsidRPr="00F67850">
      <w:rPr>
        <w:b/>
        <w:bCs/>
      </w:rPr>
      <w:fldChar w:fldCharType="separate"/>
    </w:r>
    <w:r w:rsidRPr="00F67850">
      <w:rPr>
        <w:b/>
        <w:bCs/>
        <w:noProof/>
      </w:rPr>
      <w:t>1</w:t>
    </w:r>
    <w:r w:rsidRPr="00F67850">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3795E" w14:textId="77777777" w:rsidR="005E4085" w:rsidRDefault="005E4085" w:rsidP="001D0AFC">
      <w:r>
        <w:separator/>
      </w:r>
    </w:p>
    <w:p w14:paraId="6A03F000" w14:textId="77777777" w:rsidR="005E4085" w:rsidRDefault="005E4085"/>
  </w:footnote>
  <w:footnote w:type="continuationSeparator" w:id="0">
    <w:p w14:paraId="0F29AE31" w14:textId="77777777" w:rsidR="005E4085" w:rsidRDefault="005E4085" w:rsidP="001D0AFC">
      <w:r>
        <w:continuationSeparator/>
      </w:r>
    </w:p>
    <w:p w14:paraId="4D0C3E21" w14:textId="77777777" w:rsidR="005E4085" w:rsidRDefault="005E4085"/>
  </w:footnote>
  <w:footnote w:type="continuationNotice" w:id="1">
    <w:p w14:paraId="6010D936" w14:textId="77777777" w:rsidR="005E4085" w:rsidRDefault="005E4085">
      <w:pPr>
        <w:spacing w:before="0" w:after="0"/>
      </w:pPr>
    </w:p>
    <w:p w14:paraId="0169D17A" w14:textId="77777777" w:rsidR="005E4085" w:rsidRDefault="005E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11E9B" w14:textId="291CAC20" w:rsidR="00FB57D3" w:rsidRDefault="00FB57D3">
    <w:pPr>
      <w:pStyle w:val="Header"/>
    </w:pPr>
    <w:r>
      <w:rPr>
        <w:noProof/>
      </w:rPr>
      <mc:AlternateContent>
        <mc:Choice Requires="wps">
          <w:drawing>
            <wp:anchor distT="0" distB="0" distL="0" distR="0" simplePos="0" relativeHeight="251668480" behindDoc="0" locked="0" layoutInCell="1" allowOverlap="1" wp14:anchorId="4C040AAF" wp14:editId="5A8055F5">
              <wp:simplePos x="635" y="635"/>
              <wp:positionH relativeFrom="page">
                <wp:align>center</wp:align>
              </wp:positionH>
              <wp:positionV relativeFrom="page">
                <wp:align>top</wp:align>
              </wp:positionV>
              <wp:extent cx="622300" cy="452755"/>
              <wp:effectExtent l="0" t="0" r="6350" b="4445"/>
              <wp:wrapNone/>
              <wp:docPr id="138155458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ADC9D48" w14:textId="0C8AC1AE" w:rsidR="00FB57D3" w:rsidRPr="00FB57D3" w:rsidRDefault="00FB57D3" w:rsidP="00FB57D3">
                          <w:pPr>
                            <w:spacing w:after="0"/>
                            <w:rPr>
                              <w:rFonts w:ascii="Aptos" w:eastAsia="Aptos" w:hAnsi="Aptos" w:cs="Aptos"/>
                              <w:noProof/>
                              <w:color w:val="FF0000"/>
                              <w:sz w:val="24"/>
                              <w:szCs w:val="24"/>
                            </w:rPr>
                          </w:pPr>
                          <w:r w:rsidRPr="00FB57D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040AAF" id="_x0000_t202" coordsize="21600,21600" o:spt="202" path="m,l,21600r21600,l21600,xe">
              <v:stroke joinstyle="miter"/>
              <v:path gradientshapeok="t" o:connecttype="rect"/>
            </v:shapetype>
            <v:shape id="Text Box 2" o:spid="_x0000_s1029" type="#_x0000_t202" alt="OFFICIAL" style="position:absolute;margin-left:0;margin-top:0;width:49pt;height:35.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4ADC9D48" w14:textId="0C8AC1AE" w:rsidR="00FB57D3" w:rsidRPr="00FB57D3" w:rsidRDefault="00FB57D3" w:rsidP="00FB57D3">
                    <w:pPr>
                      <w:spacing w:after="0"/>
                      <w:rPr>
                        <w:rFonts w:ascii="Aptos" w:eastAsia="Aptos" w:hAnsi="Aptos" w:cs="Aptos"/>
                        <w:noProof/>
                        <w:color w:val="FF0000"/>
                        <w:sz w:val="24"/>
                        <w:szCs w:val="24"/>
                      </w:rPr>
                    </w:pPr>
                    <w:r w:rsidRPr="00FB57D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84099" w14:textId="74AFB22F" w:rsidR="007F549A" w:rsidRPr="007F549A" w:rsidRDefault="00496CCB" w:rsidP="007F549A">
    <w:pPr>
      <w:spacing w:before="0" w:after="0" w:line="240" w:lineRule="auto"/>
      <w:rPr>
        <w:rFonts w:ascii="Times New Roman" w:eastAsia="Times New Roman" w:hAnsi="Times New Roman"/>
        <w:color w:val="auto"/>
        <w:sz w:val="24"/>
        <w:szCs w:val="24"/>
        <w:lang w:eastAsia="en-AU"/>
      </w:rPr>
    </w:pPr>
    <w:r>
      <w:rPr>
        <w:noProof/>
      </w:rPr>
      <w:drawing>
        <wp:anchor distT="0" distB="0" distL="114300" distR="114300" simplePos="0" relativeHeight="251666432" behindDoc="1" locked="0" layoutInCell="1" allowOverlap="1" wp14:anchorId="15034D42" wp14:editId="1353AC70">
          <wp:simplePos x="0" y="0"/>
          <wp:positionH relativeFrom="column">
            <wp:posOffset>-872490</wp:posOffset>
          </wp:positionH>
          <wp:positionV relativeFrom="paragraph">
            <wp:posOffset>-396240</wp:posOffset>
          </wp:positionV>
          <wp:extent cx="7578000" cy="4147200"/>
          <wp:effectExtent l="0" t="0" r="4445" b="5715"/>
          <wp:wrapNone/>
          <wp:docPr id="152228090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8090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00" cy="414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02E4E0" w14:textId="77777777" w:rsidR="00B967A4" w:rsidRDefault="00B967A4" w:rsidP="00B967A4">
    <w:pPr>
      <w:pStyle w:val="NormalWeb"/>
    </w:pPr>
    <w:r w:rsidRPr="009527AE">
      <w:rPr>
        <w:noProof/>
        <w:color w:val="FFFFFF" w:themeColor="background1"/>
        <w:sz w:val="16"/>
        <w:szCs w:val="16"/>
      </w:rPr>
      <w:drawing>
        <wp:anchor distT="0" distB="0" distL="114300" distR="114300" simplePos="0" relativeHeight="251661312" behindDoc="0" locked="1" layoutInCell="1" allowOverlap="1" wp14:anchorId="2E4D4DE7" wp14:editId="1731DDB7">
          <wp:simplePos x="0" y="0"/>
          <wp:positionH relativeFrom="page">
            <wp:posOffset>864235</wp:posOffset>
          </wp:positionH>
          <wp:positionV relativeFrom="page">
            <wp:posOffset>648335</wp:posOffset>
          </wp:positionV>
          <wp:extent cx="1814400" cy="648000"/>
          <wp:effectExtent l="0" t="0" r="0" b="0"/>
          <wp:wrapNone/>
          <wp:docPr id="1015010643" name="Graphic 11">
            <a:extLst xmlns:a="http://schemas.openxmlformats.org/drawingml/2006/main">
              <a:ext uri="{FF2B5EF4-FFF2-40B4-BE49-F238E27FC236}">
                <a16:creationId xmlns:a16="http://schemas.microsoft.com/office/drawing/2014/main" id="{03A7763C-B648-1C2B-592F-16266CACB7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010643" name="Graphic 11">
                    <a:extLst>
                      <a:ext uri="{FF2B5EF4-FFF2-40B4-BE49-F238E27FC236}">
                        <a16:creationId xmlns:a16="http://schemas.microsoft.com/office/drawing/2014/main" id="{03A7763C-B648-1C2B-592F-16266CACB79A}"/>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814400" cy="648000"/>
                  </a:xfrm>
                  <a:prstGeom prst="rect">
                    <a:avLst/>
                  </a:prstGeom>
                </pic:spPr>
              </pic:pic>
            </a:graphicData>
          </a:graphic>
          <wp14:sizeRelH relativeFrom="page">
            <wp14:pctWidth>0</wp14:pctWidth>
          </wp14:sizeRelH>
          <wp14:sizeRelV relativeFrom="page">
            <wp14:pctHeight>0</wp14:pctHeight>
          </wp14:sizeRelV>
        </wp:anchor>
      </w:drawing>
    </w:r>
  </w:p>
  <w:p w14:paraId="17136787" w14:textId="77777777" w:rsidR="00F9109B" w:rsidRDefault="00F91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3D78"/>
    <w:multiLevelType w:val="hybridMultilevel"/>
    <w:tmpl w:val="AC9A3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BC5D76"/>
    <w:multiLevelType w:val="hybridMultilevel"/>
    <w:tmpl w:val="9BFC9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CD562D"/>
    <w:multiLevelType w:val="hybridMultilevel"/>
    <w:tmpl w:val="A71EA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E2695A"/>
    <w:multiLevelType w:val="hybridMultilevel"/>
    <w:tmpl w:val="4CEE9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F77E30"/>
    <w:multiLevelType w:val="multilevel"/>
    <w:tmpl w:val="F3AA75CA"/>
    <w:lvl w:ilvl="0">
      <w:start w:val="1"/>
      <w:numFmt w:val="lowerLetter"/>
      <w:pStyle w:val="List"/>
      <w:lvlText w:val="%1."/>
      <w:lvlJc w:val="left"/>
      <w:pPr>
        <w:ind w:left="426" w:hanging="360"/>
      </w:pPr>
      <w:rPr>
        <w:rFonts w:asciiTheme="minorHAnsi" w:hAnsiTheme="minorHAnsi" w:hint="default"/>
        <w:b/>
        <w:i w:val="0"/>
        <w:color w:val="auto"/>
        <w:sz w:val="20"/>
      </w:rPr>
    </w:lvl>
    <w:lvl w:ilvl="1">
      <w:start w:val="1"/>
      <w:numFmt w:val="lowerRoman"/>
      <w:lvlText w:val="%2."/>
      <w:lvlJc w:val="left"/>
      <w:pPr>
        <w:ind w:left="786" w:hanging="360"/>
      </w:pPr>
      <w:rPr>
        <w:rFonts w:asciiTheme="minorHAnsi" w:hAnsiTheme="minorHAnsi" w:hint="default"/>
        <w:b/>
        <w:i w:val="0"/>
        <w:color w:val="auto"/>
        <w:sz w:val="20"/>
      </w:rPr>
    </w:lvl>
    <w:lvl w:ilvl="2">
      <w:start w:val="1"/>
      <w:numFmt w:val="upperLetter"/>
      <w:lvlText w:val="%3."/>
      <w:lvlJc w:val="left"/>
      <w:pPr>
        <w:ind w:left="1146" w:hanging="360"/>
      </w:pPr>
      <w:rPr>
        <w:rFonts w:asciiTheme="minorHAnsi" w:hAnsiTheme="minorHAnsi" w:hint="default"/>
        <w:b/>
        <w:i w:val="0"/>
        <w:color w:val="auto"/>
        <w:sz w:val="20"/>
      </w:rPr>
    </w:lvl>
    <w:lvl w:ilvl="3">
      <w:start w:val="1"/>
      <w:numFmt w:val="lowerLetter"/>
      <w:lvlText w:val="(%4)"/>
      <w:lvlJc w:val="left"/>
      <w:pPr>
        <w:ind w:left="1506" w:hanging="360"/>
      </w:pPr>
      <w:rPr>
        <w:rFonts w:hint="default"/>
        <w:color w:val="auto"/>
      </w:rPr>
    </w:lvl>
    <w:lvl w:ilvl="4">
      <w:start w:val="1"/>
      <w:numFmt w:val="lowerRoman"/>
      <w:lvlText w:val="(%5)"/>
      <w:lvlJc w:val="left"/>
      <w:pPr>
        <w:ind w:left="1866" w:hanging="360"/>
      </w:pPr>
      <w:rPr>
        <w:rFonts w:hint="default"/>
        <w:color w:val="auto"/>
      </w:rPr>
    </w:lvl>
    <w:lvl w:ilvl="5">
      <w:start w:val="1"/>
      <w:numFmt w:val="upperLetter"/>
      <w:lvlText w:val="(%6)"/>
      <w:lvlJc w:val="left"/>
      <w:pPr>
        <w:ind w:left="2226" w:hanging="360"/>
      </w:pPr>
      <w:rPr>
        <w:rFonts w:hint="default"/>
        <w:color w:val="auto"/>
      </w:rPr>
    </w:lvl>
    <w:lvl w:ilvl="6">
      <w:start w:val="1"/>
      <w:numFmt w:val="lowerLetter"/>
      <w:lvlText w:val="%7."/>
      <w:lvlJc w:val="left"/>
      <w:pPr>
        <w:ind w:left="2586" w:hanging="360"/>
      </w:pPr>
      <w:rPr>
        <w:rFonts w:hint="default"/>
        <w:color w:val="auto"/>
      </w:rPr>
    </w:lvl>
    <w:lvl w:ilvl="7">
      <w:start w:val="1"/>
      <w:numFmt w:val="lowerRoman"/>
      <w:lvlText w:val="%8."/>
      <w:lvlJc w:val="left"/>
      <w:pPr>
        <w:ind w:left="2946" w:hanging="360"/>
      </w:pPr>
      <w:rPr>
        <w:rFonts w:hint="default"/>
        <w:color w:val="auto"/>
      </w:rPr>
    </w:lvl>
    <w:lvl w:ilvl="8">
      <w:start w:val="1"/>
      <w:numFmt w:val="upperLetter"/>
      <w:lvlText w:val="%9."/>
      <w:lvlJc w:val="left"/>
      <w:pPr>
        <w:ind w:left="3306" w:hanging="360"/>
      </w:pPr>
      <w:rPr>
        <w:rFonts w:hint="default"/>
        <w:color w:val="auto"/>
      </w:rPr>
    </w:lvl>
  </w:abstractNum>
  <w:abstractNum w:abstractNumId="5" w15:restartNumberingAfterBreak="0">
    <w:nsid w:val="2F6578CC"/>
    <w:multiLevelType w:val="hybridMultilevel"/>
    <w:tmpl w:val="097C2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713E13"/>
    <w:multiLevelType w:val="hybridMultilevel"/>
    <w:tmpl w:val="7A7EA42A"/>
    <w:lvl w:ilvl="0" w:tplc="774C2216">
      <w:start w:val="1"/>
      <w:numFmt w:val="decimal"/>
      <w:pStyle w:val="TableCaption"/>
      <w:lvlText w:val="Table %1"/>
      <w:lvlJc w:val="left"/>
      <w:pPr>
        <w:ind w:left="72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2494B6A"/>
    <w:multiLevelType w:val="hybridMultilevel"/>
    <w:tmpl w:val="A8DCB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A667B0"/>
    <w:multiLevelType w:val="hybridMultilevel"/>
    <w:tmpl w:val="47063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F04F46"/>
    <w:multiLevelType w:val="hybridMultilevel"/>
    <w:tmpl w:val="D206C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504CD1"/>
    <w:multiLevelType w:val="hybridMultilevel"/>
    <w:tmpl w:val="78FA8B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61F7723"/>
    <w:multiLevelType w:val="multilevel"/>
    <w:tmpl w:val="9808093A"/>
    <w:lvl w:ilvl="0">
      <w:start w:val="1"/>
      <w:numFmt w:val="decimal"/>
      <w:pStyle w:val="Caption"/>
      <w:lvlText w:val="Figure %1"/>
      <w:lvlJc w:val="left"/>
      <w:pPr>
        <w:ind w:left="36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81546A7"/>
    <w:multiLevelType w:val="multilevel"/>
    <w:tmpl w:val="6F709864"/>
    <w:lvl w:ilvl="0">
      <w:start w:val="1"/>
      <w:numFmt w:val="decimal"/>
      <w:pStyle w:val="ListNumber"/>
      <w:lvlText w:val="%1."/>
      <w:lvlJc w:val="left"/>
      <w:pPr>
        <w:ind w:left="360" w:hanging="360"/>
      </w:pPr>
      <w:rPr>
        <w:rFonts w:asciiTheme="minorHAnsi" w:hAnsiTheme="minorHAnsi" w:hint="default"/>
        <w:b/>
        <w:i w:val="0"/>
        <w:color w:val="auto"/>
        <w:sz w:val="20"/>
      </w:rPr>
    </w:lvl>
    <w:lvl w:ilvl="1">
      <w:start w:val="1"/>
      <w:numFmt w:val="lowerLetter"/>
      <w:pStyle w:val="ListNumber2"/>
      <w:lvlText w:val="%2."/>
      <w:lvlJc w:val="left"/>
      <w:pPr>
        <w:ind w:left="720" w:hanging="360"/>
      </w:pPr>
      <w:rPr>
        <w:rFonts w:asciiTheme="minorHAnsi" w:hAnsiTheme="minorHAnsi" w:hint="default"/>
        <w:b/>
        <w:i w:val="0"/>
        <w:color w:val="auto"/>
        <w:sz w:val="20"/>
      </w:rPr>
    </w:lvl>
    <w:lvl w:ilvl="2">
      <w:start w:val="1"/>
      <w:numFmt w:val="lowerRoman"/>
      <w:pStyle w:val="ListNumber3"/>
      <w:lvlText w:val="%3."/>
      <w:lvlJc w:val="left"/>
      <w:pPr>
        <w:ind w:left="1080" w:hanging="360"/>
      </w:pPr>
      <w:rPr>
        <w:rFonts w:asciiTheme="minorHAnsi" w:hAnsiTheme="minorHAnsi" w:hint="default"/>
        <w:b/>
        <w:i w:val="0"/>
        <w:color w:val="auto"/>
        <w:sz w:val="20"/>
      </w:rPr>
    </w:lvl>
    <w:lvl w:ilvl="3">
      <w:start w:val="1"/>
      <w:numFmt w:val="decimal"/>
      <w:pStyle w:val="ListNumber4"/>
      <w:lvlText w:val="(%4)"/>
      <w:lvlJc w:val="left"/>
      <w:pPr>
        <w:ind w:left="1440" w:hanging="360"/>
      </w:pPr>
      <w:rPr>
        <w:rFonts w:asciiTheme="minorHAnsi" w:hAnsiTheme="minorHAnsi" w:hint="default"/>
        <w:b/>
        <w:i w:val="0"/>
        <w:color w:val="auto"/>
        <w:sz w:val="20"/>
      </w:rPr>
    </w:lvl>
    <w:lvl w:ilvl="4">
      <w:start w:val="1"/>
      <w:numFmt w:val="lowerLetter"/>
      <w:pStyle w:val="ListNumber5"/>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13" w15:restartNumberingAfterBreak="0">
    <w:nsid w:val="6AC42B06"/>
    <w:multiLevelType w:val="hybridMultilevel"/>
    <w:tmpl w:val="6F2EB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BF84F78"/>
    <w:multiLevelType w:val="hybridMultilevel"/>
    <w:tmpl w:val="E72E8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142E41"/>
    <w:multiLevelType w:val="hybridMultilevel"/>
    <w:tmpl w:val="C89A597E"/>
    <w:lvl w:ilvl="0" w:tplc="87F66650">
      <w:start w:val="1"/>
      <w:numFmt w:val="bullet"/>
      <w:lvlText w:val=""/>
      <w:lvlJc w:val="left"/>
      <w:pPr>
        <w:ind w:left="454" w:hanging="309"/>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41557D"/>
    <w:multiLevelType w:val="hybridMultilevel"/>
    <w:tmpl w:val="58FAD820"/>
    <w:lvl w:ilvl="0" w:tplc="E3D86758">
      <w:start w:val="1"/>
      <w:numFmt w:val="bullet"/>
      <w:lvlText w:val=""/>
      <w:lvlJc w:val="left"/>
      <w:pPr>
        <w:ind w:left="454" w:hanging="309"/>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7E4D88"/>
    <w:multiLevelType w:val="multilevel"/>
    <w:tmpl w:val="790ACF80"/>
    <w:lvl w:ilvl="0">
      <w:start w:val="1"/>
      <w:numFmt w:val="bullet"/>
      <w:pStyle w:val="ListBullet"/>
      <w:lvlText w:val=""/>
      <w:lvlJc w:val="left"/>
      <w:pPr>
        <w:ind w:left="360" w:hanging="360"/>
      </w:pPr>
      <w:rPr>
        <w:rFonts w:ascii="Symbol" w:hAnsi="Symbol" w:hint="default"/>
        <w:color w:val="auto"/>
        <w:sz w:val="22"/>
      </w:rPr>
    </w:lvl>
    <w:lvl w:ilvl="1">
      <w:start w:val="1"/>
      <w:numFmt w:val="bullet"/>
      <w:pStyle w:val="ListBullet2"/>
      <w:lvlText w:val="o"/>
      <w:lvlJc w:val="left"/>
      <w:pPr>
        <w:ind w:left="720" w:hanging="360"/>
      </w:pPr>
      <w:rPr>
        <w:rFonts w:ascii="Courier New" w:hAnsi="Courier New" w:hint="default"/>
        <w:color w:val="auto"/>
        <w:sz w:val="22"/>
      </w:rPr>
    </w:lvl>
    <w:lvl w:ilvl="2">
      <w:start w:val="1"/>
      <w:numFmt w:val="bullet"/>
      <w:pStyle w:val="ListBullet3"/>
      <w:lvlText w:val=""/>
      <w:lvlJc w:val="left"/>
      <w:pPr>
        <w:ind w:left="1080" w:hanging="360"/>
      </w:pPr>
      <w:rPr>
        <w:rFonts w:ascii="Wingdings" w:hAnsi="Wingdings" w:hint="default"/>
        <w:color w:val="auto"/>
        <w:sz w:val="22"/>
      </w:rPr>
    </w:lvl>
    <w:lvl w:ilvl="3">
      <w:start w:val="1"/>
      <w:numFmt w:val="bullet"/>
      <w:pStyle w:val="ListBullet4"/>
      <w:lvlText w:val="–"/>
      <w:lvlJc w:val="left"/>
      <w:pPr>
        <w:ind w:left="1440" w:hanging="360"/>
      </w:pPr>
      <w:rPr>
        <w:rFonts w:ascii="Arial" w:hAnsi="Arial" w:hint="default"/>
        <w:color w:val="auto"/>
        <w:sz w:val="22"/>
      </w:rPr>
    </w:lvl>
    <w:lvl w:ilvl="4">
      <w:start w:val="1"/>
      <w:numFmt w:val="bullet"/>
      <w:pStyle w:val="ListBullet5"/>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15:restartNumberingAfterBreak="0">
    <w:nsid w:val="7DEC10D7"/>
    <w:multiLevelType w:val="hybridMultilevel"/>
    <w:tmpl w:val="70083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523040">
    <w:abstractNumId w:val="4"/>
  </w:num>
  <w:num w:numId="2" w16cid:durableId="1741051169">
    <w:abstractNumId w:val="17"/>
  </w:num>
  <w:num w:numId="3" w16cid:durableId="1155560808">
    <w:abstractNumId w:val="11"/>
  </w:num>
  <w:num w:numId="4" w16cid:durableId="1231190212">
    <w:abstractNumId w:val="12"/>
  </w:num>
  <w:num w:numId="5" w16cid:durableId="1479827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3592745">
    <w:abstractNumId w:val="6"/>
  </w:num>
  <w:num w:numId="7" w16cid:durableId="1599407385">
    <w:abstractNumId w:val="9"/>
  </w:num>
  <w:num w:numId="8" w16cid:durableId="1824736540">
    <w:abstractNumId w:val="18"/>
  </w:num>
  <w:num w:numId="9" w16cid:durableId="143205925">
    <w:abstractNumId w:val="2"/>
  </w:num>
  <w:num w:numId="10" w16cid:durableId="1830051985">
    <w:abstractNumId w:val="15"/>
  </w:num>
  <w:num w:numId="11" w16cid:durableId="1910770107">
    <w:abstractNumId w:val="16"/>
  </w:num>
  <w:num w:numId="12" w16cid:durableId="571744140">
    <w:abstractNumId w:val="13"/>
  </w:num>
  <w:num w:numId="13" w16cid:durableId="754011956">
    <w:abstractNumId w:val="7"/>
  </w:num>
  <w:num w:numId="14" w16cid:durableId="459618952">
    <w:abstractNumId w:val="10"/>
  </w:num>
  <w:num w:numId="15" w16cid:durableId="1114013161">
    <w:abstractNumId w:val="3"/>
  </w:num>
  <w:num w:numId="16" w16cid:durableId="2060977806">
    <w:abstractNumId w:val="1"/>
  </w:num>
  <w:num w:numId="17" w16cid:durableId="1083650489">
    <w:abstractNumId w:val="8"/>
  </w:num>
  <w:num w:numId="18" w16cid:durableId="526599976">
    <w:abstractNumId w:val="0"/>
  </w:num>
  <w:num w:numId="19" w16cid:durableId="203060327">
    <w:abstractNumId w:val="14"/>
  </w:num>
  <w:num w:numId="20" w16cid:durableId="63664033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27"/>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FB57D3"/>
    <w:rsid w:val="00011EBE"/>
    <w:rsid w:val="000121BA"/>
    <w:rsid w:val="000136A5"/>
    <w:rsid w:val="00013E33"/>
    <w:rsid w:val="00015555"/>
    <w:rsid w:val="0001627D"/>
    <w:rsid w:val="000164A5"/>
    <w:rsid w:val="00020CF3"/>
    <w:rsid w:val="0002234B"/>
    <w:rsid w:val="000237BA"/>
    <w:rsid w:val="00023DDC"/>
    <w:rsid w:val="00024813"/>
    <w:rsid w:val="0002528E"/>
    <w:rsid w:val="00026E4C"/>
    <w:rsid w:val="0003148E"/>
    <w:rsid w:val="00032388"/>
    <w:rsid w:val="00033439"/>
    <w:rsid w:val="00034043"/>
    <w:rsid w:val="0003501D"/>
    <w:rsid w:val="000369EA"/>
    <w:rsid w:val="00036C75"/>
    <w:rsid w:val="00036FE5"/>
    <w:rsid w:val="00037DE5"/>
    <w:rsid w:val="00041055"/>
    <w:rsid w:val="00041141"/>
    <w:rsid w:val="00046136"/>
    <w:rsid w:val="00056BC0"/>
    <w:rsid w:val="000577A4"/>
    <w:rsid w:val="00061B61"/>
    <w:rsid w:val="000635BC"/>
    <w:rsid w:val="0006369F"/>
    <w:rsid w:val="00064283"/>
    <w:rsid w:val="0006584D"/>
    <w:rsid w:val="00065887"/>
    <w:rsid w:val="000658B5"/>
    <w:rsid w:val="00065F7E"/>
    <w:rsid w:val="000723BC"/>
    <w:rsid w:val="000760F4"/>
    <w:rsid w:val="00080037"/>
    <w:rsid w:val="000806E8"/>
    <w:rsid w:val="00081BFA"/>
    <w:rsid w:val="00083A58"/>
    <w:rsid w:val="00083FD2"/>
    <w:rsid w:val="0008584C"/>
    <w:rsid w:val="000872A3"/>
    <w:rsid w:val="00091A80"/>
    <w:rsid w:val="00093BC8"/>
    <w:rsid w:val="00095151"/>
    <w:rsid w:val="00096866"/>
    <w:rsid w:val="000A054F"/>
    <w:rsid w:val="000A1273"/>
    <w:rsid w:val="000A1738"/>
    <w:rsid w:val="000A1916"/>
    <w:rsid w:val="000A1EF9"/>
    <w:rsid w:val="000A2E7B"/>
    <w:rsid w:val="000A336E"/>
    <w:rsid w:val="000A3F90"/>
    <w:rsid w:val="000A4DA7"/>
    <w:rsid w:val="000A5B5A"/>
    <w:rsid w:val="000A66C9"/>
    <w:rsid w:val="000A6CE6"/>
    <w:rsid w:val="000A7C68"/>
    <w:rsid w:val="000B19D3"/>
    <w:rsid w:val="000B3106"/>
    <w:rsid w:val="000B3336"/>
    <w:rsid w:val="000B40C2"/>
    <w:rsid w:val="000B4363"/>
    <w:rsid w:val="000B5598"/>
    <w:rsid w:val="000B5729"/>
    <w:rsid w:val="000C0CA6"/>
    <w:rsid w:val="000C1B92"/>
    <w:rsid w:val="000C30E5"/>
    <w:rsid w:val="000C4291"/>
    <w:rsid w:val="000C5879"/>
    <w:rsid w:val="000D19FF"/>
    <w:rsid w:val="000D22A8"/>
    <w:rsid w:val="000D5E95"/>
    <w:rsid w:val="000D793D"/>
    <w:rsid w:val="000D7D92"/>
    <w:rsid w:val="000D7F92"/>
    <w:rsid w:val="000E0F11"/>
    <w:rsid w:val="000E552A"/>
    <w:rsid w:val="000E76FA"/>
    <w:rsid w:val="000F0CAD"/>
    <w:rsid w:val="000F2461"/>
    <w:rsid w:val="000F2EDC"/>
    <w:rsid w:val="000F58A7"/>
    <w:rsid w:val="000F5A29"/>
    <w:rsid w:val="000F5CB5"/>
    <w:rsid w:val="000F6463"/>
    <w:rsid w:val="000F6579"/>
    <w:rsid w:val="000F7990"/>
    <w:rsid w:val="00100584"/>
    <w:rsid w:val="001010A9"/>
    <w:rsid w:val="00103B28"/>
    <w:rsid w:val="0010640F"/>
    <w:rsid w:val="00106589"/>
    <w:rsid w:val="00106F60"/>
    <w:rsid w:val="00112DF1"/>
    <w:rsid w:val="0011366C"/>
    <w:rsid w:val="00113EA9"/>
    <w:rsid w:val="001141D0"/>
    <w:rsid w:val="001152B8"/>
    <w:rsid w:val="001175CB"/>
    <w:rsid w:val="00117894"/>
    <w:rsid w:val="001178D7"/>
    <w:rsid w:val="0012062F"/>
    <w:rsid w:val="00120E3D"/>
    <w:rsid w:val="001239E7"/>
    <w:rsid w:val="0012449A"/>
    <w:rsid w:val="001279BB"/>
    <w:rsid w:val="00133783"/>
    <w:rsid w:val="001338BA"/>
    <w:rsid w:val="00133F9D"/>
    <w:rsid w:val="001368BE"/>
    <w:rsid w:val="00136B50"/>
    <w:rsid w:val="001425A7"/>
    <w:rsid w:val="001432FE"/>
    <w:rsid w:val="00143D93"/>
    <w:rsid w:val="00144282"/>
    <w:rsid w:val="00144E74"/>
    <w:rsid w:val="001457C0"/>
    <w:rsid w:val="001523A3"/>
    <w:rsid w:val="00152AC1"/>
    <w:rsid w:val="00153AEF"/>
    <w:rsid w:val="001547CB"/>
    <w:rsid w:val="00154C1A"/>
    <w:rsid w:val="00156042"/>
    <w:rsid w:val="001566BF"/>
    <w:rsid w:val="001567DD"/>
    <w:rsid w:val="00157AB6"/>
    <w:rsid w:val="00157CE7"/>
    <w:rsid w:val="00165F83"/>
    <w:rsid w:val="001714D3"/>
    <w:rsid w:val="0017356E"/>
    <w:rsid w:val="00174708"/>
    <w:rsid w:val="00181EF2"/>
    <w:rsid w:val="00182D27"/>
    <w:rsid w:val="00184B29"/>
    <w:rsid w:val="0018654C"/>
    <w:rsid w:val="001875A7"/>
    <w:rsid w:val="00187C93"/>
    <w:rsid w:val="00191178"/>
    <w:rsid w:val="00191513"/>
    <w:rsid w:val="00191CC2"/>
    <w:rsid w:val="00192329"/>
    <w:rsid w:val="00193699"/>
    <w:rsid w:val="00197290"/>
    <w:rsid w:val="0019759D"/>
    <w:rsid w:val="00197ADC"/>
    <w:rsid w:val="00197E66"/>
    <w:rsid w:val="001A03FE"/>
    <w:rsid w:val="001A0E88"/>
    <w:rsid w:val="001A2B7F"/>
    <w:rsid w:val="001A3D99"/>
    <w:rsid w:val="001A41EB"/>
    <w:rsid w:val="001A4611"/>
    <w:rsid w:val="001A50A3"/>
    <w:rsid w:val="001A5528"/>
    <w:rsid w:val="001A5727"/>
    <w:rsid w:val="001A599E"/>
    <w:rsid w:val="001A7D74"/>
    <w:rsid w:val="001B181F"/>
    <w:rsid w:val="001B23B8"/>
    <w:rsid w:val="001B3928"/>
    <w:rsid w:val="001B709F"/>
    <w:rsid w:val="001B7FA1"/>
    <w:rsid w:val="001C1710"/>
    <w:rsid w:val="001C28D3"/>
    <w:rsid w:val="001C2C9D"/>
    <w:rsid w:val="001C3BEB"/>
    <w:rsid w:val="001C3C73"/>
    <w:rsid w:val="001C3FD0"/>
    <w:rsid w:val="001C48D8"/>
    <w:rsid w:val="001C4B8A"/>
    <w:rsid w:val="001C5149"/>
    <w:rsid w:val="001C52C2"/>
    <w:rsid w:val="001C6BB6"/>
    <w:rsid w:val="001C7889"/>
    <w:rsid w:val="001D0AFC"/>
    <w:rsid w:val="001D107C"/>
    <w:rsid w:val="001D1EF4"/>
    <w:rsid w:val="001D2019"/>
    <w:rsid w:val="001D3383"/>
    <w:rsid w:val="001D51AF"/>
    <w:rsid w:val="001D6E4A"/>
    <w:rsid w:val="001D7528"/>
    <w:rsid w:val="001D76E4"/>
    <w:rsid w:val="001D7ABB"/>
    <w:rsid w:val="001E3A54"/>
    <w:rsid w:val="001E41E5"/>
    <w:rsid w:val="001E49C9"/>
    <w:rsid w:val="001E5108"/>
    <w:rsid w:val="001E5F8E"/>
    <w:rsid w:val="001F06CA"/>
    <w:rsid w:val="001F1430"/>
    <w:rsid w:val="001F25C8"/>
    <w:rsid w:val="001F3C12"/>
    <w:rsid w:val="001F40EE"/>
    <w:rsid w:val="00200A33"/>
    <w:rsid w:val="00202C71"/>
    <w:rsid w:val="00202F7F"/>
    <w:rsid w:val="00207CBE"/>
    <w:rsid w:val="00210409"/>
    <w:rsid w:val="00210E8D"/>
    <w:rsid w:val="0021123A"/>
    <w:rsid w:val="0021134B"/>
    <w:rsid w:val="00216854"/>
    <w:rsid w:val="00217D19"/>
    <w:rsid w:val="0022009C"/>
    <w:rsid w:val="002200D3"/>
    <w:rsid w:val="00223F37"/>
    <w:rsid w:val="00226249"/>
    <w:rsid w:val="00227152"/>
    <w:rsid w:val="002307E1"/>
    <w:rsid w:val="0023112F"/>
    <w:rsid w:val="002320CE"/>
    <w:rsid w:val="00233385"/>
    <w:rsid w:val="002333C5"/>
    <w:rsid w:val="00234564"/>
    <w:rsid w:val="002349BF"/>
    <w:rsid w:val="0023510C"/>
    <w:rsid w:val="00235529"/>
    <w:rsid w:val="00236950"/>
    <w:rsid w:val="00242034"/>
    <w:rsid w:val="002422FD"/>
    <w:rsid w:val="00244887"/>
    <w:rsid w:val="00244E46"/>
    <w:rsid w:val="002468CF"/>
    <w:rsid w:val="0025221E"/>
    <w:rsid w:val="00253E2B"/>
    <w:rsid w:val="002574B2"/>
    <w:rsid w:val="00257A55"/>
    <w:rsid w:val="00260209"/>
    <w:rsid w:val="00262769"/>
    <w:rsid w:val="002632B7"/>
    <w:rsid w:val="00264464"/>
    <w:rsid w:val="0026489B"/>
    <w:rsid w:val="00264F4D"/>
    <w:rsid w:val="00272AAC"/>
    <w:rsid w:val="00274521"/>
    <w:rsid w:val="00275504"/>
    <w:rsid w:val="0027686A"/>
    <w:rsid w:val="002776FA"/>
    <w:rsid w:val="00277E47"/>
    <w:rsid w:val="0028070D"/>
    <w:rsid w:val="002871D8"/>
    <w:rsid w:val="002900D8"/>
    <w:rsid w:val="00291082"/>
    <w:rsid w:val="002917C6"/>
    <w:rsid w:val="002934C0"/>
    <w:rsid w:val="00295234"/>
    <w:rsid w:val="00296ADC"/>
    <w:rsid w:val="00297CB5"/>
    <w:rsid w:val="002A02B1"/>
    <w:rsid w:val="002A0B58"/>
    <w:rsid w:val="002A1140"/>
    <w:rsid w:val="002A1211"/>
    <w:rsid w:val="002A12DA"/>
    <w:rsid w:val="002A1929"/>
    <w:rsid w:val="002A1BC8"/>
    <w:rsid w:val="002A50AE"/>
    <w:rsid w:val="002A521B"/>
    <w:rsid w:val="002A66E5"/>
    <w:rsid w:val="002A7087"/>
    <w:rsid w:val="002B1417"/>
    <w:rsid w:val="002B157F"/>
    <w:rsid w:val="002B161A"/>
    <w:rsid w:val="002B16A7"/>
    <w:rsid w:val="002B3B7C"/>
    <w:rsid w:val="002B3C79"/>
    <w:rsid w:val="002B5C37"/>
    <w:rsid w:val="002B5D25"/>
    <w:rsid w:val="002C0BE4"/>
    <w:rsid w:val="002C147F"/>
    <w:rsid w:val="002C1A6F"/>
    <w:rsid w:val="002C1E4B"/>
    <w:rsid w:val="002C2769"/>
    <w:rsid w:val="002C27E6"/>
    <w:rsid w:val="002C2E1B"/>
    <w:rsid w:val="002C3AFC"/>
    <w:rsid w:val="002C4209"/>
    <w:rsid w:val="002C58C6"/>
    <w:rsid w:val="002D291F"/>
    <w:rsid w:val="002D374F"/>
    <w:rsid w:val="002D4F2A"/>
    <w:rsid w:val="002D521E"/>
    <w:rsid w:val="002D62CE"/>
    <w:rsid w:val="002D67D3"/>
    <w:rsid w:val="002D7462"/>
    <w:rsid w:val="002E001E"/>
    <w:rsid w:val="002E038B"/>
    <w:rsid w:val="002E1998"/>
    <w:rsid w:val="002E2CB1"/>
    <w:rsid w:val="002E2F01"/>
    <w:rsid w:val="002E41A9"/>
    <w:rsid w:val="002E6D7C"/>
    <w:rsid w:val="002E7E37"/>
    <w:rsid w:val="002F0E89"/>
    <w:rsid w:val="002F208B"/>
    <w:rsid w:val="002F2993"/>
    <w:rsid w:val="002F4488"/>
    <w:rsid w:val="002F52F7"/>
    <w:rsid w:val="002F5514"/>
    <w:rsid w:val="002F6F32"/>
    <w:rsid w:val="003004FA"/>
    <w:rsid w:val="00303CD4"/>
    <w:rsid w:val="0030578E"/>
    <w:rsid w:val="0030669E"/>
    <w:rsid w:val="0030795C"/>
    <w:rsid w:val="0031173C"/>
    <w:rsid w:val="00313F81"/>
    <w:rsid w:val="00314BB5"/>
    <w:rsid w:val="00320667"/>
    <w:rsid w:val="00321A4E"/>
    <w:rsid w:val="003233EA"/>
    <w:rsid w:val="00324DE8"/>
    <w:rsid w:val="00325A41"/>
    <w:rsid w:val="00327466"/>
    <w:rsid w:val="003300BD"/>
    <w:rsid w:val="00333BFF"/>
    <w:rsid w:val="00336E8A"/>
    <w:rsid w:val="00337255"/>
    <w:rsid w:val="00337769"/>
    <w:rsid w:val="0033785B"/>
    <w:rsid w:val="0034210B"/>
    <w:rsid w:val="00342671"/>
    <w:rsid w:val="00342B0C"/>
    <w:rsid w:val="00343C87"/>
    <w:rsid w:val="003450AC"/>
    <w:rsid w:val="00351CED"/>
    <w:rsid w:val="0035330E"/>
    <w:rsid w:val="00353DC5"/>
    <w:rsid w:val="003606B1"/>
    <w:rsid w:val="0036434E"/>
    <w:rsid w:val="00367F5E"/>
    <w:rsid w:val="00375370"/>
    <w:rsid w:val="00380AA5"/>
    <w:rsid w:val="0038259F"/>
    <w:rsid w:val="00384233"/>
    <w:rsid w:val="003845DF"/>
    <w:rsid w:val="00384CD3"/>
    <w:rsid w:val="00387AAC"/>
    <w:rsid w:val="00397A3B"/>
    <w:rsid w:val="003A0533"/>
    <w:rsid w:val="003A5810"/>
    <w:rsid w:val="003A5F1D"/>
    <w:rsid w:val="003A67D8"/>
    <w:rsid w:val="003A68CB"/>
    <w:rsid w:val="003B13D7"/>
    <w:rsid w:val="003B3D1A"/>
    <w:rsid w:val="003B4440"/>
    <w:rsid w:val="003B4928"/>
    <w:rsid w:val="003B551F"/>
    <w:rsid w:val="003B5606"/>
    <w:rsid w:val="003B5C68"/>
    <w:rsid w:val="003C1731"/>
    <w:rsid w:val="003C17BB"/>
    <w:rsid w:val="003C27E2"/>
    <w:rsid w:val="003C3CC4"/>
    <w:rsid w:val="003C469B"/>
    <w:rsid w:val="003D0D9C"/>
    <w:rsid w:val="003D1077"/>
    <w:rsid w:val="003D1716"/>
    <w:rsid w:val="003D17FB"/>
    <w:rsid w:val="003D2652"/>
    <w:rsid w:val="003D2B5A"/>
    <w:rsid w:val="003D5A24"/>
    <w:rsid w:val="003D5D9E"/>
    <w:rsid w:val="003D70C7"/>
    <w:rsid w:val="003E0987"/>
    <w:rsid w:val="003E0E97"/>
    <w:rsid w:val="003E0F3F"/>
    <w:rsid w:val="003E14DC"/>
    <w:rsid w:val="003E19F9"/>
    <w:rsid w:val="003E1AC6"/>
    <w:rsid w:val="003E37B6"/>
    <w:rsid w:val="003E3CF0"/>
    <w:rsid w:val="003E4D00"/>
    <w:rsid w:val="003E7795"/>
    <w:rsid w:val="003F0176"/>
    <w:rsid w:val="003F075C"/>
    <w:rsid w:val="003F0791"/>
    <w:rsid w:val="003F0DE2"/>
    <w:rsid w:val="003F3433"/>
    <w:rsid w:val="003F422C"/>
    <w:rsid w:val="003F4615"/>
    <w:rsid w:val="003F4678"/>
    <w:rsid w:val="003F5B8F"/>
    <w:rsid w:val="003F6013"/>
    <w:rsid w:val="004003DB"/>
    <w:rsid w:val="00401788"/>
    <w:rsid w:val="00402F1C"/>
    <w:rsid w:val="00407E7F"/>
    <w:rsid w:val="00410032"/>
    <w:rsid w:val="00411636"/>
    <w:rsid w:val="00411B7D"/>
    <w:rsid w:val="004133BD"/>
    <w:rsid w:val="00414086"/>
    <w:rsid w:val="00416267"/>
    <w:rsid w:val="00416788"/>
    <w:rsid w:val="0042039D"/>
    <w:rsid w:val="00421E99"/>
    <w:rsid w:val="004223ED"/>
    <w:rsid w:val="00424406"/>
    <w:rsid w:val="004252F4"/>
    <w:rsid w:val="0042574E"/>
    <w:rsid w:val="00425C5C"/>
    <w:rsid w:val="004265BE"/>
    <w:rsid w:val="00431975"/>
    <w:rsid w:val="00433093"/>
    <w:rsid w:val="004339D6"/>
    <w:rsid w:val="00435303"/>
    <w:rsid w:val="0044217F"/>
    <w:rsid w:val="0044237F"/>
    <w:rsid w:val="0044369F"/>
    <w:rsid w:val="004447B5"/>
    <w:rsid w:val="00444B74"/>
    <w:rsid w:val="00447F86"/>
    <w:rsid w:val="00450AEF"/>
    <w:rsid w:val="0045454F"/>
    <w:rsid w:val="0045567D"/>
    <w:rsid w:val="00456453"/>
    <w:rsid w:val="004621C9"/>
    <w:rsid w:val="004622D6"/>
    <w:rsid w:val="004624F7"/>
    <w:rsid w:val="00462C1E"/>
    <w:rsid w:val="004642D9"/>
    <w:rsid w:val="00466AF8"/>
    <w:rsid w:val="0046795B"/>
    <w:rsid w:val="00467B74"/>
    <w:rsid w:val="00467CE7"/>
    <w:rsid w:val="0047130C"/>
    <w:rsid w:val="004753EA"/>
    <w:rsid w:val="0048437F"/>
    <w:rsid w:val="00495969"/>
    <w:rsid w:val="00496220"/>
    <w:rsid w:val="00496CCB"/>
    <w:rsid w:val="00497959"/>
    <w:rsid w:val="004A0ED4"/>
    <w:rsid w:val="004A1736"/>
    <w:rsid w:val="004A1BC5"/>
    <w:rsid w:val="004A3278"/>
    <w:rsid w:val="004A4B45"/>
    <w:rsid w:val="004A58E5"/>
    <w:rsid w:val="004A6A7C"/>
    <w:rsid w:val="004A6D7F"/>
    <w:rsid w:val="004A7DA8"/>
    <w:rsid w:val="004B17FB"/>
    <w:rsid w:val="004B3359"/>
    <w:rsid w:val="004B38F6"/>
    <w:rsid w:val="004C26DA"/>
    <w:rsid w:val="004C2CBD"/>
    <w:rsid w:val="004C2D38"/>
    <w:rsid w:val="004C359D"/>
    <w:rsid w:val="004C47F5"/>
    <w:rsid w:val="004C5153"/>
    <w:rsid w:val="004C5690"/>
    <w:rsid w:val="004C6084"/>
    <w:rsid w:val="004C6C62"/>
    <w:rsid w:val="004D0DC8"/>
    <w:rsid w:val="004D1197"/>
    <w:rsid w:val="004D1301"/>
    <w:rsid w:val="004D1D34"/>
    <w:rsid w:val="004D1FE3"/>
    <w:rsid w:val="004D2FF7"/>
    <w:rsid w:val="004D3380"/>
    <w:rsid w:val="004D7430"/>
    <w:rsid w:val="004E06CD"/>
    <w:rsid w:val="004E0750"/>
    <w:rsid w:val="004E142F"/>
    <w:rsid w:val="004E169F"/>
    <w:rsid w:val="004E18F2"/>
    <w:rsid w:val="004E2765"/>
    <w:rsid w:val="004E3629"/>
    <w:rsid w:val="004E38D4"/>
    <w:rsid w:val="004E5861"/>
    <w:rsid w:val="004E5EEB"/>
    <w:rsid w:val="004E6D42"/>
    <w:rsid w:val="004F16FA"/>
    <w:rsid w:val="004F6546"/>
    <w:rsid w:val="00500B52"/>
    <w:rsid w:val="005035EB"/>
    <w:rsid w:val="00504AE4"/>
    <w:rsid w:val="00505381"/>
    <w:rsid w:val="005062D4"/>
    <w:rsid w:val="0050706D"/>
    <w:rsid w:val="005071B9"/>
    <w:rsid w:val="00507868"/>
    <w:rsid w:val="00507D3A"/>
    <w:rsid w:val="00507DED"/>
    <w:rsid w:val="00510A99"/>
    <w:rsid w:val="00512BE7"/>
    <w:rsid w:val="005138A5"/>
    <w:rsid w:val="005138DF"/>
    <w:rsid w:val="0051558C"/>
    <w:rsid w:val="00516ACB"/>
    <w:rsid w:val="00520281"/>
    <w:rsid w:val="005209B1"/>
    <w:rsid w:val="00521C5A"/>
    <w:rsid w:val="00521CCB"/>
    <w:rsid w:val="005234AB"/>
    <w:rsid w:val="00525872"/>
    <w:rsid w:val="005266C3"/>
    <w:rsid w:val="00527D0A"/>
    <w:rsid w:val="005316C5"/>
    <w:rsid w:val="0053171E"/>
    <w:rsid w:val="00534AB4"/>
    <w:rsid w:val="00536075"/>
    <w:rsid w:val="00537ECB"/>
    <w:rsid w:val="005410C1"/>
    <w:rsid w:val="00547EA5"/>
    <w:rsid w:val="00550B1A"/>
    <w:rsid w:val="005511C1"/>
    <w:rsid w:val="005516A9"/>
    <w:rsid w:val="005520BC"/>
    <w:rsid w:val="00552F86"/>
    <w:rsid w:val="005532C6"/>
    <w:rsid w:val="005559C1"/>
    <w:rsid w:val="0055601C"/>
    <w:rsid w:val="00562DF0"/>
    <w:rsid w:val="005634B4"/>
    <w:rsid w:val="0056463F"/>
    <w:rsid w:val="005646CD"/>
    <w:rsid w:val="0056489B"/>
    <w:rsid w:val="0056502E"/>
    <w:rsid w:val="00566964"/>
    <w:rsid w:val="00570151"/>
    <w:rsid w:val="005743DF"/>
    <w:rsid w:val="00582037"/>
    <w:rsid w:val="00583BF3"/>
    <w:rsid w:val="00584EA0"/>
    <w:rsid w:val="00585314"/>
    <w:rsid w:val="005853D9"/>
    <w:rsid w:val="00585D96"/>
    <w:rsid w:val="00585FC6"/>
    <w:rsid w:val="00586756"/>
    <w:rsid w:val="00586A68"/>
    <w:rsid w:val="005915AE"/>
    <w:rsid w:val="0059331F"/>
    <w:rsid w:val="00593C4E"/>
    <w:rsid w:val="005943E4"/>
    <w:rsid w:val="00594996"/>
    <w:rsid w:val="00595909"/>
    <w:rsid w:val="00597D05"/>
    <w:rsid w:val="005A094A"/>
    <w:rsid w:val="005A142A"/>
    <w:rsid w:val="005A22A5"/>
    <w:rsid w:val="005A647D"/>
    <w:rsid w:val="005B158F"/>
    <w:rsid w:val="005B1BD1"/>
    <w:rsid w:val="005B2791"/>
    <w:rsid w:val="005B3A1A"/>
    <w:rsid w:val="005B4808"/>
    <w:rsid w:val="005B5231"/>
    <w:rsid w:val="005C317B"/>
    <w:rsid w:val="005C3BCC"/>
    <w:rsid w:val="005C3C53"/>
    <w:rsid w:val="005C3D26"/>
    <w:rsid w:val="005C76E3"/>
    <w:rsid w:val="005D1997"/>
    <w:rsid w:val="005D32BE"/>
    <w:rsid w:val="005D65FE"/>
    <w:rsid w:val="005D7DCC"/>
    <w:rsid w:val="005E3C4D"/>
    <w:rsid w:val="005E3E4E"/>
    <w:rsid w:val="005E4085"/>
    <w:rsid w:val="005F08D9"/>
    <w:rsid w:val="005F36C3"/>
    <w:rsid w:val="005F4740"/>
    <w:rsid w:val="005F56D4"/>
    <w:rsid w:val="005F59AA"/>
    <w:rsid w:val="005F70DD"/>
    <w:rsid w:val="0060327D"/>
    <w:rsid w:val="00603D3A"/>
    <w:rsid w:val="00606ED1"/>
    <w:rsid w:val="0060777F"/>
    <w:rsid w:val="00607D8E"/>
    <w:rsid w:val="00610149"/>
    <w:rsid w:val="00610317"/>
    <w:rsid w:val="00612317"/>
    <w:rsid w:val="0061259C"/>
    <w:rsid w:val="00615CA5"/>
    <w:rsid w:val="00616063"/>
    <w:rsid w:val="0061628F"/>
    <w:rsid w:val="00616A8F"/>
    <w:rsid w:val="0062006A"/>
    <w:rsid w:val="00620692"/>
    <w:rsid w:val="00621DAE"/>
    <w:rsid w:val="00622240"/>
    <w:rsid w:val="00622A8D"/>
    <w:rsid w:val="0062348C"/>
    <w:rsid w:val="006330DA"/>
    <w:rsid w:val="006367D6"/>
    <w:rsid w:val="00640006"/>
    <w:rsid w:val="0064041E"/>
    <w:rsid w:val="00640B02"/>
    <w:rsid w:val="00644F41"/>
    <w:rsid w:val="006454C7"/>
    <w:rsid w:val="006458A1"/>
    <w:rsid w:val="00645B8C"/>
    <w:rsid w:val="0064638E"/>
    <w:rsid w:val="00647F38"/>
    <w:rsid w:val="00654DB0"/>
    <w:rsid w:val="00656D2E"/>
    <w:rsid w:val="0065754D"/>
    <w:rsid w:val="00657655"/>
    <w:rsid w:val="00662B82"/>
    <w:rsid w:val="00663A07"/>
    <w:rsid w:val="00663EB2"/>
    <w:rsid w:val="00663FD5"/>
    <w:rsid w:val="00664625"/>
    <w:rsid w:val="00665F53"/>
    <w:rsid w:val="006666F0"/>
    <w:rsid w:val="006741C1"/>
    <w:rsid w:val="006761D1"/>
    <w:rsid w:val="00677184"/>
    <w:rsid w:val="00680FF5"/>
    <w:rsid w:val="00681672"/>
    <w:rsid w:val="006818CB"/>
    <w:rsid w:val="00681922"/>
    <w:rsid w:val="00681DC4"/>
    <w:rsid w:val="00682690"/>
    <w:rsid w:val="00686747"/>
    <w:rsid w:val="00687FC3"/>
    <w:rsid w:val="006909B3"/>
    <w:rsid w:val="006910B9"/>
    <w:rsid w:val="00691B1E"/>
    <w:rsid w:val="00693793"/>
    <w:rsid w:val="00693A71"/>
    <w:rsid w:val="006A0D5B"/>
    <w:rsid w:val="006A261D"/>
    <w:rsid w:val="006A35DD"/>
    <w:rsid w:val="006A3CDA"/>
    <w:rsid w:val="006A3D01"/>
    <w:rsid w:val="006A7FC2"/>
    <w:rsid w:val="006B0B35"/>
    <w:rsid w:val="006B0C33"/>
    <w:rsid w:val="006B1240"/>
    <w:rsid w:val="006B31AD"/>
    <w:rsid w:val="006B3A4B"/>
    <w:rsid w:val="006B4175"/>
    <w:rsid w:val="006B6CB3"/>
    <w:rsid w:val="006B7C51"/>
    <w:rsid w:val="006C1340"/>
    <w:rsid w:val="006C1E76"/>
    <w:rsid w:val="006C2813"/>
    <w:rsid w:val="006C2EEC"/>
    <w:rsid w:val="006C3EE5"/>
    <w:rsid w:val="006C3FCD"/>
    <w:rsid w:val="006C4497"/>
    <w:rsid w:val="006C5560"/>
    <w:rsid w:val="006C5BC4"/>
    <w:rsid w:val="006C643E"/>
    <w:rsid w:val="006D0E06"/>
    <w:rsid w:val="006D118B"/>
    <w:rsid w:val="006D2526"/>
    <w:rsid w:val="006D252A"/>
    <w:rsid w:val="006D41CA"/>
    <w:rsid w:val="006D50DA"/>
    <w:rsid w:val="006D6392"/>
    <w:rsid w:val="006D7A2A"/>
    <w:rsid w:val="006E0022"/>
    <w:rsid w:val="006E281A"/>
    <w:rsid w:val="006E546F"/>
    <w:rsid w:val="006E5700"/>
    <w:rsid w:val="006E5981"/>
    <w:rsid w:val="006E6195"/>
    <w:rsid w:val="006E777C"/>
    <w:rsid w:val="006E7EA8"/>
    <w:rsid w:val="006F0D69"/>
    <w:rsid w:val="006F169C"/>
    <w:rsid w:val="006F297E"/>
    <w:rsid w:val="006F50F5"/>
    <w:rsid w:val="006F5C6F"/>
    <w:rsid w:val="006F7CB3"/>
    <w:rsid w:val="007023B2"/>
    <w:rsid w:val="0070784B"/>
    <w:rsid w:val="00707B0F"/>
    <w:rsid w:val="00710AEE"/>
    <w:rsid w:val="00711370"/>
    <w:rsid w:val="00713ADF"/>
    <w:rsid w:val="00716958"/>
    <w:rsid w:val="00722E45"/>
    <w:rsid w:val="0072344E"/>
    <w:rsid w:val="00724799"/>
    <w:rsid w:val="00732F33"/>
    <w:rsid w:val="00733BB6"/>
    <w:rsid w:val="00734448"/>
    <w:rsid w:val="007345C6"/>
    <w:rsid w:val="0073698E"/>
    <w:rsid w:val="007369FD"/>
    <w:rsid w:val="00740F95"/>
    <w:rsid w:val="00742A2A"/>
    <w:rsid w:val="00742D15"/>
    <w:rsid w:val="00743223"/>
    <w:rsid w:val="00743F2B"/>
    <w:rsid w:val="0074515D"/>
    <w:rsid w:val="007454B9"/>
    <w:rsid w:val="007467E3"/>
    <w:rsid w:val="00751B97"/>
    <w:rsid w:val="00752D37"/>
    <w:rsid w:val="007531C4"/>
    <w:rsid w:val="00754945"/>
    <w:rsid w:val="00755A69"/>
    <w:rsid w:val="00756E38"/>
    <w:rsid w:val="007577DB"/>
    <w:rsid w:val="00760E66"/>
    <w:rsid w:val="00762818"/>
    <w:rsid w:val="00763211"/>
    <w:rsid w:val="007641A7"/>
    <w:rsid w:val="0076540B"/>
    <w:rsid w:val="00772BCA"/>
    <w:rsid w:val="0077317E"/>
    <w:rsid w:val="007738AD"/>
    <w:rsid w:val="0077668B"/>
    <w:rsid w:val="007776CE"/>
    <w:rsid w:val="00780046"/>
    <w:rsid w:val="00780A83"/>
    <w:rsid w:val="007819DD"/>
    <w:rsid w:val="00781D4D"/>
    <w:rsid w:val="00790310"/>
    <w:rsid w:val="00794B20"/>
    <w:rsid w:val="00796DE6"/>
    <w:rsid w:val="007A049D"/>
    <w:rsid w:val="007A0F92"/>
    <w:rsid w:val="007A63DD"/>
    <w:rsid w:val="007B03B8"/>
    <w:rsid w:val="007B1468"/>
    <w:rsid w:val="007B20FE"/>
    <w:rsid w:val="007B2DEB"/>
    <w:rsid w:val="007B31C4"/>
    <w:rsid w:val="007B3904"/>
    <w:rsid w:val="007B4C52"/>
    <w:rsid w:val="007B5FB6"/>
    <w:rsid w:val="007B730B"/>
    <w:rsid w:val="007C0D01"/>
    <w:rsid w:val="007C13F1"/>
    <w:rsid w:val="007C5286"/>
    <w:rsid w:val="007C5B4F"/>
    <w:rsid w:val="007C5FAE"/>
    <w:rsid w:val="007C68A4"/>
    <w:rsid w:val="007D0359"/>
    <w:rsid w:val="007D1CC1"/>
    <w:rsid w:val="007E2BEB"/>
    <w:rsid w:val="007E6C0C"/>
    <w:rsid w:val="007F0D37"/>
    <w:rsid w:val="007F1006"/>
    <w:rsid w:val="007F549A"/>
    <w:rsid w:val="007F6088"/>
    <w:rsid w:val="007F7683"/>
    <w:rsid w:val="007F7C74"/>
    <w:rsid w:val="007F7F9B"/>
    <w:rsid w:val="0080000F"/>
    <w:rsid w:val="00800F49"/>
    <w:rsid w:val="00802574"/>
    <w:rsid w:val="00803042"/>
    <w:rsid w:val="008043C0"/>
    <w:rsid w:val="008044C2"/>
    <w:rsid w:val="00806A1D"/>
    <w:rsid w:val="00807516"/>
    <w:rsid w:val="0080756E"/>
    <w:rsid w:val="00807B89"/>
    <w:rsid w:val="008106C1"/>
    <w:rsid w:val="00810F2C"/>
    <w:rsid w:val="00812D3A"/>
    <w:rsid w:val="00813D71"/>
    <w:rsid w:val="00814EB6"/>
    <w:rsid w:val="00814EEE"/>
    <w:rsid w:val="00815B59"/>
    <w:rsid w:val="00816967"/>
    <w:rsid w:val="00820626"/>
    <w:rsid w:val="00823B41"/>
    <w:rsid w:val="0082499B"/>
    <w:rsid w:val="008254F9"/>
    <w:rsid w:val="00825F78"/>
    <w:rsid w:val="008263CF"/>
    <w:rsid w:val="00826D89"/>
    <w:rsid w:val="00826EB2"/>
    <w:rsid w:val="0082700C"/>
    <w:rsid w:val="00831354"/>
    <w:rsid w:val="00831855"/>
    <w:rsid w:val="008326EB"/>
    <w:rsid w:val="008327AB"/>
    <w:rsid w:val="00834459"/>
    <w:rsid w:val="00835736"/>
    <w:rsid w:val="00835877"/>
    <w:rsid w:val="00835D56"/>
    <w:rsid w:val="00837C66"/>
    <w:rsid w:val="008461CE"/>
    <w:rsid w:val="008520E2"/>
    <w:rsid w:val="00853537"/>
    <w:rsid w:val="0085724D"/>
    <w:rsid w:val="008603FF"/>
    <w:rsid w:val="008629B7"/>
    <w:rsid w:val="00862D9B"/>
    <w:rsid w:val="0086323A"/>
    <w:rsid w:val="00863D5A"/>
    <w:rsid w:val="00864F9E"/>
    <w:rsid w:val="00867C7F"/>
    <w:rsid w:val="00867FD1"/>
    <w:rsid w:val="008720F3"/>
    <w:rsid w:val="0087248E"/>
    <w:rsid w:val="00872DBB"/>
    <w:rsid w:val="00873EEA"/>
    <w:rsid w:val="00875B30"/>
    <w:rsid w:val="00876962"/>
    <w:rsid w:val="00880FAF"/>
    <w:rsid w:val="008877E5"/>
    <w:rsid w:val="0088797B"/>
    <w:rsid w:val="008969F7"/>
    <w:rsid w:val="00896BFF"/>
    <w:rsid w:val="008A1F47"/>
    <w:rsid w:val="008A3F11"/>
    <w:rsid w:val="008A6F64"/>
    <w:rsid w:val="008B0557"/>
    <w:rsid w:val="008B36DD"/>
    <w:rsid w:val="008B4110"/>
    <w:rsid w:val="008B41E5"/>
    <w:rsid w:val="008B4594"/>
    <w:rsid w:val="008B513E"/>
    <w:rsid w:val="008B591A"/>
    <w:rsid w:val="008B6BA7"/>
    <w:rsid w:val="008C20AC"/>
    <w:rsid w:val="008C2AF7"/>
    <w:rsid w:val="008C3C5D"/>
    <w:rsid w:val="008D1C45"/>
    <w:rsid w:val="008D1DE2"/>
    <w:rsid w:val="008D1E96"/>
    <w:rsid w:val="008D2A39"/>
    <w:rsid w:val="008D5EA6"/>
    <w:rsid w:val="008D6976"/>
    <w:rsid w:val="008D7966"/>
    <w:rsid w:val="008E0BDC"/>
    <w:rsid w:val="008E2748"/>
    <w:rsid w:val="008E37C3"/>
    <w:rsid w:val="008E6310"/>
    <w:rsid w:val="008E76B2"/>
    <w:rsid w:val="008E78D4"/>
    <w:rsid w:val="008F22DF"/>
    <w:rsid w:val="008F3147"/>
    <w:rsid w:val="008F348D"/>
    <w:rsid w:val="008F68E6"/>
    <w:rsid w:val="008F7ED4"/>
    <w:rsid w:val="009042B2"/>
    <w:rsid w:val="009059A0"/>
    <w:rsid w:val="00905EE7"/>
    <w:rsid w:val="00907414"/>
    <w:rsid w:val="00907D31"/>
    <w:rsid w:val="0091299E"/>
    <w:rsid w:val="009148B4"/>
    <w:rsid w:val="009173AC"/>
    <w:rsid w:val="00917DA2"/>
    <w:rsid w:val="009205AF"/>
    <w:rsid w:val="00930132"/>
    <w:rsid w:val="00930D4E"/>
    <w:rsid w:val="00932857"/>
    <w:rsid w:val="009363FF"/>
    <w:rsid w:val="0093688A"/>
    <w:rsid w:val="00943667"/>
    <w:rsid w:val="00944B83"/>
    <w:rsid w:val="00944E01"/>
    <w:rsid w:val="00950CB7"/>
    <w:rsid w:val="00951EA7"/>
    <w:rsid w:val="009527AE"/>
    <w:rsid w:val="0095289A"/>
    <w:rsid w:val="0095480D"/>
    <w:rsid w:val="00954883"/>
    <w:rsid w:val="00957C0B"/>
    <w:rsid w:val="00962401"/>
    <w:rsid w:val="0096333C"/>
    <w:rsid w:val="009643B7"/>
    <w:rsid w:val="00965892"/>
    <w:rsid w:val="0096683E"/>
    <w:rsid w:val="009673AA"/>
    <w:rsid w:val="009720E5"/>
    <w:rsid w:val="00975401"/>
    <w:rsid w:val="0097559E"/>
    <w:rsid w:val="00976FF4"/>
    <w:rsid w:val="009805D1"/>
    <w:rsid w:val="00981E87"/>
    <w:rsid w:val="00983A0C"/>
    <w:rsid w:val="0098562A"/>
    <w:rsid w:val="00985941"/>
    <w:rsid w:val="009875F1"/>
    <w:rsid w:val="009928C3"/>
    <w:rsid w:val="009939C2"/>
    <w:rsid w:val="009949CF"/>
    <w:rsid w:val="009951D1"/>
    <w:rsid w:val="009967DA"/>
    <w:rsid w:val="00996A28"/>
    <w:rsid w:val="009A1343"/>
    <w:rsid w:val="009A244B"/>
    <w:rsid w:val="009A29FA"/>
    <w:rsid w:val="009A3301"/>
    <w:rsid w:val="009A4CF8"/>
    <w:rsid w:val="009A5260"/>
    <w:rsid w:val="009A7E7C"/>
    <w:rsid w:val="009B08C9"/>
    <w:rsid w:val="009B10B1"/>
    <w:rsid w:val="009B1C03"/>
    <w:rsid w:val="009B2762"/>
    <w:rsid w:val="009B2BD5"/>
    <w:rsid w:val="009C0C46"/>
    <w:rsid w:val="009C154A"/>
    <w:rsid w:val="009C6862"/>
    <w:rsid w:val="009C69D1"/>
    <w:rsid w:val="009D04F8"/>
    <w:rsid w:val="009D13BE"/>
    <w:rsid w:val="009D18FC"/>
    <w:rsid w:val="009D27F9"/>
    <w:rsid w:val="009D5542"/>
    <w:rsid w:val="009D5614"/>
    <w:rsid w:val="009D6BAB"/>
    <w:rsid w:val="009D7365"/>
    <w:rsid w:val="009E0D5D"/>
    <w:rsid w:val="009E0DBB"/>
    <w:rsid w:val="009E3ABE"/>
    <w:rsid w:val="009E5530"/>
    <w:rsid w:val="009F1238"/>
    <w:rsid w:val="009F1578"/>
    <w:rsid w:val="009F1930"/>
    <w:rsid w:val="009F3EB9"/>
    <w:rsid w:val="009F4403"/>
    <w:rsid w:val="009F6B96"/>
    <w:rsid w:val="00A002B2"/>
    <w:rsid w:val="00A02A9D"/>
    <w:rsid w:val="00A0390D"/>
    <w:rsid w:val="00A040B2"/>
    <w:rsid w:val="00A05877"/>
    <w:rsid w:val="00A05B14"/>
    <w:rsid w:val="00A05CB3"/>
    <w:rsid w:val="00A07DEB"/>
    <w:rsid w:val="00A10C8D"/>
    <w:rsid w:val="00A11010"/>
    <w:rsid w:val="00A121BE"/>
    <w:rsid w:val="00A124BD"/>
    <w:rsid w:val="00A1456D"/>
    <w:rsid w:val="00A1740D"/>
    <w:rsid w:val="00A2102A"/>
    <w:rsid w:val="00A21250"/>
    <w:rsid w:val="00A22106"/>
    <w:rsid w:val="00A237CC"/>
    <w:rsid w:val="00A239E9"/>
    <w:rsid w:val="00A24E7E"/>
    <w:rsid w:val="00A263AC"/>
    <w:rsid w:val="00A26AB3"/>
    <w:rsid w:val="00A26FDC"/>
    <w:rsid w:val="00A305C0"/>
    <w:rsid w:val="00A30B2F"/>
    <w:rsid w:val="00A30CA2"/>
    <w:rsid w:val="00A311EC"/>
    <w:rsid w:val="00A31F47"/>
    <w:rsid w:val="00A3271C"/>
    <w:rsid w:val="00A3563F"/>
    <w:rsid w:val="00A35EB9"/>
    <w:rsid w:val="00A37834"/>
    <w:rsid w:val="00A379D0"/>
    <w:rsid w:val="00A40526"/>
    <w:rsid w:val="00A406C2"/>
    <w:rsid w:val="00A40702"/>
    <w:rsid w:val="00A40E79"/>
    <w:rsid w:val="00A41D2C"/>
    <w:rsid w:val="00A42CED"/>
    <w:rsid w:val="00A438DA"/>
    <w:rsid w:val="00A45CA9"/>
    <w:rsid w:val="00A50F2A"/>
    <w:rsid w:val="00A549C7"/>
    <w:rsid w:val="00A54B77"/>
    <w:rsid w:val="00A554CC"/>
    <w:rsid w:val="00A57BEE"/>
    <w:rsid w:val="00A60798"/>
    <w:rsid w:val="00A608A2"/>
    <w:rsid w:val="00A61580"/>
    <w:rsid w:val="00A62057"/>
    <w:rsid w:val="00A62BBD"/>
    <w:rsid w:val="00A6586C"/>
    <w:rsid w:val="00A6719F"/>
    <w:rsid w:val="00A72917"/>
    <w:rsid w:val="00A73806"/>
    <w:rsid w:val="00A738DB"/>
    <w:rsid w:val="00A73EAB"/>
    <w:rsid w:val="00A752C3"/>
    <w:rsid w:val="00A76331"/>
    <w:rsid w:val="00A7654D"/>
    <w:rsid w:val="00A76AD3"/>
    <w:rsid w:val="00A778EF"/>
    <w:rsid w:val="00A80C22"/>
    <w:rsid w:val="00A8239E"/>
    <w:rsid w:val="00A825DD"/>
    <w:rsid w:val="00A82C5F"/>
    <w:rsid w:val="00A857C9"/>
    <w:rsid w:val="00A866B8"/>
    <w:rsid w:val="00A91389"/>
    <w:rsid w:val="00A92EB7"/>
    <w:rsid w:val="00A9396B"/>
    <w:rsid w:val="00A9727D"/>
    <w:rsid w:val="00A97298"/>
    <w:rsid w:val="00A97EE7"/>
    <w:rsid w:val="00AB082E"/>
    <w:rsid w:val="00AB0BBD"/>
    <w:rsid w:val="00AB0D0F"/>
    <w:rsid w:val="00AB3114"/>
    <w:rsid w:val="00AB3259"/>
    <w:rsid w:val="00AB396A"/>
    <w:rsid w:val="00AB3C56"/>
    <w:rsid w:val="00AB3E03"/>
    <w:rsid w:val="00AB6449"/>
    <w:rsid w:val="00AB64A7"/>
    <w:rsid w:val="00AC04BB"/>
    <w:rsid w:val="00AC1695"/>
    <w:rsid w:val="00AC2041"/>
    <w:rsid w:val="00AC2C84"/>
    <w:rsid w:val="00AC4171"/>
    <w:rsid w:val="00AC4303"/>
    <w:rsid w:val="00AC4B47"/>
    <w:rsid w:val="00AC4CF0"/>
    <w:rsid w:val="00AC6350"/>
    <w:rsid w:val="00AC75DC"/>
    <w:rsid w:val="00AC7A49"/>
    <w:rsid w:val="00AD10B5"/>
    <w:rsid w:val="00AD374F"/>
    <w:rsid w:val="00AD3B5E"/>
    <w:rsid w:val="00AD54DB"/>
    <w:rsid w:val="00AD5C27"/>
    <w:rsid w:val="00AD64EA"/>
    <w:rsid w:val="00AD6E31"/>
    <w:rsid w:val="00AE2702"/>
    <w:rsid w:val="00AE4737"/>
    <w:rsid w:val="00AE4819"/>
    <w:rsid w:val="00AE50D5"/>
    <w:rsid w:val="00AE5580"/>
    <w:rsid w:val="00AE5EDF"/>
    <w:rsid w:val="00AE6670"/>
    <w:rsid w:val="00AE7410"/>
    <w:rsid w:val="00AE7D1E"/>
    <w:rsid w:val="00AF1121"/>
    <w:rsid w:val="00AF60F6"/>
    <w:rsid w:val="00AF72A3"/>
    <w:rsid w:val="00AF74B0"/>
    <w:rsid w:val="00B00592"/>
    <w:rsid w:val="00B014AA"/>
    <w:rsid w:val="00B01E7B"/>
    <w:rsid w:val="00B0201E"/>
    <w:rsid w:val="00B02197"/>
    <w:rsid w:val="00B03FC2"/>
    <w:rsid w:val="00B044AE"/>
    <w:rsid w:val="00B05D94"/>
    <w:rsid w:val="00B0751F"/>
    <w:rsid w:val="00B12ADD"/>
    <w:rsid w:val="00B146CB"/>
    <w:rsid w:val="00B14FD4"/>
    <w:rsid w:val="00B15399"/>
    <w:rsid w:val="00B15CD2"/>
    <w:rsid w:val="00B21920"/>
    <w:rsid w:val="00B22EE5"/>
    <w:rsid w:val="00B232F6"/>
    <w:rsid w:val="00B23442"/>
    <w:rsid w:val="00B265C9"/>
    <w:rsid w:val="00B26D2F"/>
    <w:rsid w:val="00B3112C"/>
    <w:rsid w:val="00B33686"/>
    <w:rsid w:val="00B36484"/>
    <w:rsid w:val="00B37CD6"/>
    <w:rsid w:val="00B41C57"/>
    <w:rsid w:val="00B42F1B"/>
    <w:rsid w:val="00B46E65"/>
    <w:rsid w:val="00B50CF8"/>
    <w:rsid w:val="00B52143"/>
    <w:rsid w:val="00B543B5"/>
    <w:rsid w:val="00B57046"/>
    <w:rsid w:val="00B5778A"/>
    <w:rsid w:val="00B60932"/>
    <w:rsid w:val="00B6203C"/>
    <w:rsid w:val="00B62237"/>
    <w:rsid w:val="00B62340"/>
    <w:rsid w:val="00B64364"/>
    <w:rsid w:val="00B67DE1"/>
    <w:rsid w:val="00B71030"/>
    <w:rsid w:val="00B715FF"/>
    <w:rsid w:val="00B72F90"/>
    <w:rsid w:val="00B761FF"/>
    <w:rsid w:val="00B81FB3"/>
    <w:rsid w:val="00B830EC"/>
    <w:rsid w:val="00B846A2"/>
    <w:rsid w:val="00B848DC"/>
    <w:rsid w:val="00B87EE4"/>
    <w:rsid w:val="00B90471"/>
    <w:rsid w:val="00B91278"/>
    <w:rsid w:val="00B937C2"/>
    <w:rsid w:val="00B93D2E"/>
    <w:rsid w:val="00B94743"/>
    <w:rsid w:val="00B949E0"/>
    <w:rsid w:val="00B94A36"/>
    <w:rsid w:val="00B95B1E"/>
    <w:rsid w:val="00B967A4"/>
    <w:rsid w:val="00BA28F9"/>
    <w:rsid w:val="00BA2B7C"/>
    <w:rsid w:val="00BA2D5F"/>
    <w:rsid w:val="00BA2F61"/>
    <w:rsid w:val="00BA32F1"/>
    <w:rsid w:val="00BA6AD7"/>
    <w:rsid w:val="00BA7EF2"/>
    <w:rsid w:val="00BB03F1"/>
    <w:rsid w:val="00BB1DCF"/>
    <w:rsid w:val="00BB3E60"/>
    <w:rsid w:val="00BB4210"/>
    <w:rsid w:val="00BB6D5E"/>
    <w:rsid w:val="00BB7373"/>
    <w:rsid w:val="00BC05DE"/>
    <w:rsid w:val="00BC2986"/>
    <w:rsid w:val="00BC4040"/>
    <w:rsid w:val="00BC4754"/>
    <w:rsid w:val="00BC488E"/>
    <w:rsid w:val="00BC4E55"/>
    <w:rsid w:val="00BC736D"/>
    <w:rsid w:val="00BD2982"/>
    <w:rsid w:val="00BD4A3B"/>
    <w:rsid w:val="00BD7AD8"/>
    <w:rsid w:val="00BE0FE6"/>
    <w:rsid w:val="00BE29D9"/>
    <w:rsid w:val="00BE2A20"/>
    <w:rsid w:val="00BE2DF2"/>
    <w:rsid w:val="00BE55DC"/>
    <w:rsid w:val="00BE5DF1"/>
    <w:rsid w:val="00BE6AD3"/>
    <w:rsid w:val="00BE6C26"/>
    <w:rsid w:val="00BE75B6"/>
    <w:rsid w:val="00BF0041"/>
    <w:rsid w:val="00BF3013"/>
    <w:rsid w:val="00BF4602"/>
    <w:rsid w:val="00BF5F0E"/>
    <w:rsid w:val="00BF6B6C"/>
    <w:rsid w:val="00BF6D6A"/>
    <w:rsid w:val="00C00A73"/>
    <w:rsid w:val="00C0177A"/>
    <w:rsid w:val="00C02412"/>
    <w:rsid w:val="00C02EA8"/>
    <w:rsid w:val="00C049E5"/>
    <w:rsid w:val="00C05BC6"/>
    <w:rsid w:val="00C05C65"/>
    <w:rsid w:val="00C064C8"/>
    <w:rsid w:val="00C06C5D"/>
    <w:rsid w:val="00C10D9D"/>
    <w:rsid w:val="00C115C2"/>
    <w:rsid w:val="00C11AB0"/>
    <w:rsid w:val="00C1216D"/>
    <w:rsid w:val="00C1257C"/>
    <w:rsid w:val="00C127FA"/>
    <w:rsid w:val="00C1394E"/>
    <w:rsid w:val="00C15873"/>
    <w:rsid w:val="00C16318"/>
    <w:rsid w:val="00C1659D"/>
    <w:rsid w:val="00C2062C"/>
    <w:rsid w:val="00C207DA"/>
    <w:rsid w:val="00C21194"/>
    <w:rsid w:val="00C213C2"/>
    <w:rsid w:val="00C217DF"/>
    <w:rsid w:val="00C227EC"/>
    <w:rsid w:val="00C238D8"/>
    <w:rsid w:val="00C24FE9"/>
    <w:rsid w:val="00C263F4"/>
    <w:rsid w:val="00C26D49"/>
    <w:rsid w:val="00C31329"/>
    <w:rsid w:val="00C313A3"/>
    <w:rsid w:val="00C31441"/>
    <w:rsid w:val="00C328CC"/>
    <w:rsid w:val="00C34610"/>
    <w:rsid w:val="00C34E35"/>
    <w:rsid w:val="00C366A8"/>
    <w:rsid w:val="00C37BE3"/>
    <w:rsid w:val="00C409A5"/>
    <w:rsid w:val="00C40BE1"/>
    <w:rsid w:val="00C41AFF"/>
    <w:rsid w:val="00C45B5E"/>
    <w:rsid w:val="00C46294"/>
    <w:rsid w:val="00C46F97"/>
    <w:rsid w:val="00C471C4"/>
    <w:rsid w:val="00C50BB7"/>
    <w:rsid w:val="00C50FF3"/>
    <w:rsid w:val="00C51F57"/>
    <w:rsid w:val="00C53A1F"/>
    <w:rsid w:val="00C5647F"/>
    <w:rsid w:val="00C56594"/>
    <w:rsid w:val="00C56A46"/>
    <w:rsid w:val="00C57E87"/>
    <w:rsid w:val="00C61B89"/>
    <w:rsid w:val="00C646A8"/>
    <w:rsid w:val="00C6547C"/>
    <w:rsid w:val="00C6566B"/>
    <w:rsid w:val="00C66147"/>
    <w:rsid w:val="00C663C0"/>
    <w:rsid w:val="00C671BA"/>
    <w:rsid w:val="00C67F2A"/>
    <w:rsid w:val="00C72800"/>
    <w:rsid w:val="00C7645F"/>
    <w:rsid w:val="00C765F4"/>
    <w:rsid w:val="00C76B8E"/>
    <w:rsid w:val="00C80B2D"/>
    <w:rsid w:val="00C80DDE"/>
    <w:rsid w:val="00C812A9"/>
    <w:rsid w:val="00C8199C"/>
    <w:rsid w:val="00C82729"/>
    <w:rsid w:val="00C840D8"/>
    <w:rsid w:val="00C84E10"/>
    <w:rsid w:val="00C85349"/>
    <w:rsid w:val="00C86AF1"/>
    <w:rsid w:val="00C87D99"/>
    <w:rsid w:val="00C9029F"/>
    <w:rsid w:val="00C9039F"/>
    <w:rsid w:val="00C923AD"/>
    <w:rsid w:val="00C92477"/>
    <w:rsid w:val="00C92A32"/>
    <w:rsid w:val="00C94113"/>
    <w:rsid w:val="00C9668B"/>
    <w:rsid w:val="00C96C49"/>
    <w:rsid w:val="00CA1EE9"/>
    <w:rsid w:val="00CA27B7"/>
    <w:rsid w:val="00CA2E95"/>
    <w:rsid w:val="00CA7572"/>
    <w:rsid w:val="00CA794C"/>
    <w:rsid w:val="00CA7F74"/>
    <w:rsid w:val="00CB0C32"/>
    <w:rsid w:val="00CB1248"/>
    <w:rsid w:val="00CB16D2"/>
    <w:rsid w:val="00CB1DFC"/>
    <w:rsid w:val="00CB2D65"/>
    <w:rsid w:val="00CB6246"/>
    <w:rsid w:val="00CC0759"/>
    <w:rsid w:val="00CC3160"/>
    <w:rsid w:val="00CC6953"/>
    <w:rsid w:val="00CD2A69"/>
    <w:rsid w:val="00CD2DBF"/>
    <w:rsid w:val="00CD4E24"/>
    <w:rsid w:val="00CD6207"/>
    <w:rsid w:val="00CD6F94"/>
    <w:rsid w:val="00CD72A6"/>
    <w:rsid w:val="00CE065B"/>
    <w:rsid w:val="00CE1AA9"/>
    <w:rsid w:val="00CE39B8"/>
    <w:rsid w:val="00CE4A83"/>
    <w:rsid w:val="00CE4BBF"/>
    <w:rsid w:val="00CE525E"/>
    <w:rsid w:val="00CE7DFF"/>
    <w:rsid w:val="00CF1591"/>
    <w:rsid w:val="00CF1689"/>
    <w:rsid w:val="00CF3DAC"/>
    <w:rsid w:val="00CF4344"/>
    <w:rsid w:val="00CF5164"/>
    <w:rsid w:val="00CF55E6"/>
    <w:rsid w:val="00CF5B88"/>
    <w:rsid w:val="00CF72D7"/>
    <w:rsid w:val="00D00689"/>
    <w:rsid w:val="00D014A6"/>
    <w:rsid w:val="00D015A4"/>
    <w:rsid w:val="00D02F69"/>
    <w:rsid w:val="00D044FB"/>
    <w:rsid w:val="00D108BF"/>
    <w:rsid w:val="00D1092B"/>
    <w:rsid w:val="00D11DB8"/>
    <w:rsid w:val="00D1423F"/>
    <w:rsid w:val="00D14B43"/>
    <w:rsid w:val="00D167D0"/>
    <w:rsid w:val="00D177A0"/>
    <w:rsid w:val="00D20092"/>
    <w:rsid w:val="00D2293A"/>
    <w:rsid w:val="00D22E65"/>
    <w:rsid w:val="00D22EAF"/>
    <w:rsid w:val="00D2430E"/>
    <w:rsid w:val="00D251B7"/>
    <w:rsid w:val="00D26410"/>
    <w:rsid w:val="00D2717B"/>
    <w:rsid w:val="00D3078B"/>
    <w:rsid w:val="00D3118E"/>
    <w:rsid w:val="00D32B88"/>
    <w:rsid w:val="00D32E8F"/>
    <w:rsid w:val="00D32FB1"/>
    <w:rsid w:val="00D34BC5"/>
    <w:rsid w:val="00D36BA1"/>
    <w:rsid w:val="00D36C76"/>
    <w:rsid w:val="00D37F07"/>
    <w:rsid w:val="00D41BB8"/>
    <w:rsid w:val="00D444E3"/>
    <w:rsid w:val="00D50850"/>
    <w:rsid w:val="00D52AFA"/>
    <w:rsid w:val="00D54285"/>
    <w:rsid w:val="00D5566B"/>
    <w:rsid w:val="00D6102D"/>
    <w:rsid w:val="00D63381"/>
    <w:rsid w:val="00D643F8"/>
    <w:rsid w:val="00D64F3A"/>
    <w:rsid w:val="00D67892"/>
    <w:rsid w:val="00D7119E"/>
    <w:rsid w:val="00D71BF6"/>
    <w:rsid w:val="00D72BF8"/>
    <w:rsid w:val="00D7590F"/>
    <w:rsid w:val="00D75ED8"/>
    <w:rsid w:val="00D7685A"/>
    <w:rsid w:val="00D85656"/>
    <w:rsid w:val="00D927DF"/>
    <w:rsid w:val="00D938D8"/>
    <w:rsid w:val="00DA0143"/>
    <w:rsid w:val="00DA0378"/>
    <w:rsid w:val="00DA0EA5"/>
    <w:rsid w:val="00DA1664"/>
    <w:rsid w:val="00DA258B"/>
    <w:rsid w:val="00DA33AC"/>
    <w:rsid w:val="00DA4D73"/>
    <w:rsid w:val="00DB13D3"/>
    <w:rsid w:val="00DB14A1"/>
    <w:rsid w:val="00DB4283"/>
    <w:rsid w:val="00DB62E8"/>
    <w:rsid w:val="00DB65A3"/>
    <w:rsid w:val="00DB78FC"/>
    <w:rsid w:val="00DB7E4B"/>
    <w:rsid w:val="00DC0F26"/>
    <w:rsid w:val="00DC0F37"/>
    <w:rsid w:val="00DC18AE"/>
    <w:rsid w:val="00DC33B0"/>
    <w:rsid w:val="00DC57CD"/>
    <w:rsid w:val="00DC58F4"/>
    <w:rsid w:val="00DC5BFB"/>
    <w:rsid w:val="00DC6912"/>
    <w:rsid w:val="00DD3C3B"/>
    <w:rsid w:val="00DD3EA6"/>
    <w:rsid w:val="00DD588C"/>
    <w:rsid w:val="00DD5CF9"/>
    <w:rsid w:val="00DD6787"/>
    <w:rsid w:val="00DE0022"/>
    <w:rsid w:val="00DE08B3"/>
    <w:rsid w:val="00DE1D8B"/>
    <w:rsid w:val="00DE251A"/>
    <w:rsid w:val="00DE29A8"/>
    <w:rsid w:val="00DE2C1D"/>
    <w:rsid w:val="00DE4533"/>
    <w:rsid w:val="00DE49E1"/>
    <w:rsid w:val="00DE596C"/>
    <w:rsid w:val="00DE6739"/>
    <w:rsid w:val="00DE7206"/>
    <w:rsid w:val="00DF0CB9"/>
    <w:rsid w:val="00DF172C"/>
    <w:rsid w:val="00DF20F4"/>
    <w:rsid w:val="00DF4A67"/>
    <w:rsid w:val="00DF5286"/>
    <w:rsid w:val="00DF571E"/>
    <w:rsid w:val="00DF7FFC"/>
    <w:rsid w:val="00E01D1F"/>
    <w:rsid w:val="00E048BE"/>
    <w:rsid w:val="00E055E6"/>
    <w:rsid w:val="00E05B3F"/>
    <w:rsid w:val="00E06A0A"/>
    <w:rsid w:val="00E06A9D"/>
    <w:rsid w:val="00E07146"/>
    <w:rsid w:val="00E0783E"/>
    <w:rsid w:val="00E15F80"/>
    <w:rsid w:val="00E23775"/>
    <w:rsid w:val="00E238C6"/>
    <w:rsid w:val="00E26DB0"/>
    <w:rsid w:val="00E277FE"/>
    <w:rsid w:val="00E315FC"/>
    <w:rsid w:val="00E352A5"/>
    <w:rsid w:val="00E35E2E"/>
    <w:rsid w:val="00E364A7"/>
    <w:rsid w:val="00E36B78"/>
    <w:rsid w:val="00E3732F"/>
    <w:rsid w:val="00E40C21"/>
    <w:rsid w:val="00E40DD3"/>
    <w:rsid w:val="00E410F8"/>
    <w:rsid w:val="00E41313"/>
    <w:rsid w:val="00E42FFF"/>
    <w:rsid w:val="00E433F1"/>
    <w:rsid w:val="00E442CC"/>
    <w:rsid w:val="00E46236"/>
    <w:rsid w:val="00E47469"/>
    <w:rsid w:val="00E570B7"/>
    <w:rsid w:val="00E573AC"/>
    <w:rsid w:val="00E579E2"/>
    <w:rsid w:val="00E6120F"/>
    <w:rsid w:val="00E63092"/>
    <w:rsid w:val="00E65AC2"/>
    <w:rsid w:val="00E66116"/>
    <w:rsid w:val="00E714C7"/>
    <w:rsid w:val="00E74653"/>
    <w:rsid w:val="00E7489D"/>
    <w:rsid w:val="00E753E2"/>
    <w:rsid w:val="00E7548B"/>
    <w:rsid w:val="00E75C04"/>
    <w:rsid w:val="00E768ED"/>
    <w:rsid w:val="00E76C1B"/>
    <w:rsid w:val="00E7711C"/>
    <w:rsid w:val="00E773FF"/>
    <w:rsid w:val="00E77A3D"/>
    <w:rsid w:val="00E80627"/>
    <w:rsid w:val="00E817BE"/>
    <w:rsid w:val="00E82046"/>
    <w:rsid w:val="00E82472"/>
    <w:rsid w:val="00E84D83"/>
    <w:rsid w:val="00E866C7"/>
    <w:rsid w:val="00E87DED"/>
    <w:rsid w:val="00E956CF"/>
    <w:rsid w:val="00E957A3"/>
    <w:rsid w:val="00E97CE9"/>
    <w:rsid w:val="00EA114E"/>
    <w:rsid w:val="00EA1341"/>
    <w:rsid w:val="00EA1B2E"/>
    <w:rsid w:val="00EA1C66"/>
    <w:rsid w:val="00EA73F8"/>
    <w:rsid w:val="00EB4D1D"/>
    <w:rsid w:val="00EC21BE"/>
    <w:rsid w:val="00EC3938"/>
    <w:rsid w:val="00EC4D13"/>
    <w:rsid w:val="00EC4F17"/>
    <w:rsid w:val="00EC643A"/>
    <w:rsid w:val="00EC6B5C"/>
    <w:rsid w:val="00EC71D8"/>
    <w:rsid w:val="00ED244D"/>
    <w:rsid w:val="00ED4559"/>
    <w:rsid w:val="00ED7ED8"/>
    <w:rsid w:val="00EE0E86"/>
    <w:rsid w:val="00EE36E8"/>
    <w:rsid w:val="00EE49E7"/>
    <w:rsid w:val="00EE54B9"/>
    <w:rsid w:val="00EE5707"/>
    <w:rsid w:val="00EE5A67"/>
    <w:rsid w:val="00EF11B5"/>
    <w:rsid w:val="00EF23CE"/>
    <w:rsid w:val="00EF4E2A"/>
    <w:rsid w:val="00EF53BF"/>
    <w:rsid w:val="00EF5E63"/>
    <w:rsid w:val="00EF7E9B"/>
    <w:rsid w:val="00F0134F"/>
    <w:rsid w:val="00F0366B"/>
    <w:rsid w:val="00F04440"/>
    <w:rsid w:val="00F05DDD"/>
    <w:rsid w:val="00F07DC3"/>
    <w:rsid w:val="00F07E01"/>
    <w:rsid w:val="00F1155F"/>
    <w:rsid w:val="00F1198E"/>
    <w:rsid w:val="00F12B0C"/>
    <w:rsid w:val="00F13AC6"/>
    <w:rsid w:val="00F14231"/>
    <w:rsid w:val="00F14EA5"/>
    <w:rsid w:val="00F15CD5"/>
    <w:rsid w:val="00F16059"/>
    <w:rsid w:val="00F16393"/>
    <w:rsid w:val="00F17C14"/>
    <w:rsid w:val="00F20C42"/>
    <w:rsid w:val="00F210BE"/>
    <w:rsid w:val="00F216CD"/>
    <w:rsid w:val="00F2533F"/>
    <w:rsid w:val="00F30EEE"/>
    <w:rsid w:val="00F34316"/>
    <w:rsid w:val="00F3483C"/>
    <w:rsid w:val="00F348CF"/>
    <w:rsid w:val="00F35E47"/>
    <w:rsid w:val="00F364CB"/>
    <w:rsid w:val="00F36D7A"/>
    <w:rsid w:val="00F37592"/>
    <w:rsid w:val="00F400A4"/>
    <w:rsid w:val="00F400EF"/>
    <w:rsid w:val="00F41EF2"/>
    <w:rsid w:val="00F42218"/>
    <w:rsid w:val="00F43D14"/>
    <w:rsid w:val="00F45ABD"/>
    <w:rsid w:val="00F46705"/>
    <w:rsid w:val="00F46CFF"/>
    <w:rsid w:val="00F47F82"/>
    <w:rsid w:val="00F50457"/>
    <w:rsid w:val="00F504A8"/>
    <w:rsid w:val="00F515E6"/>
    <w:rsid w:val="00F5161D"/>
    <w:rsid w:val="00F51E7E"/>
    <w:rsid w:val="00F52BFF"/>
    <w:rsid w:val="00F538A1"/>
    <w:rsid w:val="00F53E64"/>
    <w:rsid w:val="00F540B3"/>
    <w:rsid w:val="00F545EB"/>
    <w:rsid w:val="00F54926"/>
    <w:rsid w:val="00F56218"/>
    <w:rsid w:val="00F56615"/>
    <w:rsid w:val="00F57150"/>
    <w:rsid w:val="00F601E2"/>
    <w:rsid w:val="00F631A1"/>
    <w:rsid w:val="00F673DE"/>
    <w:rsid w:val="00F676E2"/>
    <w:rsid w:val="00F67850"/>
    <w:rsid w:val="00F71556"/>
    <w:rsid w:val="00F72E68"/>
    <w:rsid w:val="00F73845"/>
    <w:rsid w:val="00F76366"/>
    <w:rsid w:val="00F807B4"/>
    <w:rsid w:val="00F82439"/>
    <w:rsid w:val="00F834B3"/>
    <w:rsid w:val="00F85300"/>
    <w:rsid w:val="00F86761"/>
    <w:rsid w:val="00F87AFD"/>
    <w:rsid w:val="00F90B8D"/>
    <w:rsid w:val="00F9109B"/>
    <w:rsid w:val="00F92885"/>
    <w:rsid w:val="00F93693"/>
    <w:rsid w:val="00F93B56"/>
    <w:rsid w:val="00F95BEA"/>
    <w:rsid w:val="00F95FEA"/>
    <w:rsid w:val="00F967D7"/>
    <w:rsid w:val="00FA1B12"/>
    <w:rsid w:val="00FA1ED8"/>
    <w:rsid w:val="00FA4795"/>
    <w:rsid w:val="00FA4CC6"/>
    <w:rsid w:val="00FA51DF"/>
    <w:rsid w:val="00FB0353"/>
    <w:rsid w:val="00FB2995"/>
    <w:rsid w:val="00FB49DA"/>
    <w:rsid w:val="00FB5748"/>
    <w:rsid w:val="00FB57D3"/>
    <w:rsid w:val="00FB5DAB"/>
    <w:rsid w:val="00FB67B6"/>
    <w:rsid w:val="00FB6ACA"/>
    <w:rsid w:val="00FC2C83"/>
    <w:rsid w:val="00FC3883"/>
    <w:rsid w:val="00FC3E07"/>
    <w:rsid w:val="00FC6061"/>
    <w:rsid w:val="00FC6086"/>
    <w:rsid w:val="00FC7517"/>
    <w:rsid w:val="00FD0EEF"/>
    <w:rsid w:val="00FD1232"/>
    <w:rsid w:val="00FD2908"/>
    <w:rsid w:val="00FD3A12"/>
    <w:rsid w:val="00FD3AC0"/>
    <w:rsid w:val="00FD5900"/>
    <w:rsid w:val="00FD59F8"/>
    <w:rsid w:val="00FD6016"/>
    <w:rsid w:val="00FD662D"/>
    <w:rsid w:val="00FD766A"/>
    <w:rsid w:val="00FD7896"/>
    <w:rsid w:val="00FE0D43"/>
    <w:rsid w:val="00FE13CD"/>
    <w:rsid w:val="00FE19A6"/>
    <w:rsid w:val="00FE1D8F"/>
    <w:rsid w:val="00FE1E79"/>
    <w:rsid w:val="00FE380D"/>
    <w:rsid w:val="00FE5BFC"/>
    <w:rsid w:val="00FF1032"/>
    <w:rsid w:val="00FF2332"/>
    <w:rsid w:val="00FF302B"/>
    <w:rsid w:val="00FF4975"/>
    <w:rsid w:val="00FF4A25"/>
    <w:rsid w:val="00FF4D6B"/>
    <w:rsid w:val="00FF52CA"/>
    <w:rsid w:val="00FF5897"/>
    <w:rsid w:val="00FF5FE1"/>
    <w:rsid w:val="00FF6A46"/>
    <w:rsid w:val="00FF7A53"/>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6E48B"/>
  <w15:docId w15:val="{2F78E376-CBD0-4687-9D5D-3F986683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pPr>
        <w:spacing w:before="120" w:after="120" w:line="26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D94"/>
  </w:style>
  <w:style w:type="paragraph" w:styleId="Heading1">
    <w:name w:val="heading 1"/>
    <w:basedOn w:val="Normal"/>
    <w:next w:val="Normal"/>
    <w:link w:val="Heading1Char"/>
    <w:autoRedefine/>
    <w:uiPriority w:val="9"/>
    <w:rsid w:val="00235529"/>
    <w:pPr>
      <w:keepNext/>
      <w:keepLines/>
      <w:spacing w:before="480" w:after="240"/>
      <w:contextualSpacing/>
      <w:outlineLvl w:val="0"/>
    </w:pPr>
    <w:rPr>
      <w:rFonts w:asciiTheme="majorHAnsi" w:hAnsiTheme="majorHAnsi"/>
      <w:b/>
      <w:sz w:val="30"/>
      <w:szCs w:val="44"/>
    </w:rPr>
  </w:style>
  <w:style w:type="paragraph" w:styleId="Heading2">
    <w:name w:val="heading 2"/>
    <w:basedOn w:val="Normal"/>
    <w:next w:val="Normal"/>
    <w:link w:val="Heading2Char"/>
    <w:autoRedefine/>
    <w:uiPriority w:val="9"/>
    <w:qFormat/>
    <w:rsid w:val="00235529"/>
    <w:pPr>
      <w:keepNext/>
      <w:keepLines/>
      <w:spacing w:before="240" w:after="240"/>
      <w:contextualSpacing/>
      <w:outlineLvl w:val="1"/>
    </w:pPr>
    <w:rPr>
      <w:rFonts w:asciiTheme="majorHAnsi" w:hAnsiTheme="majorHAnsi"/>
      <w:b/>
      <w:sz w:val="26"/>
      <w:szCs w:val="28"/>
    </w:rPr>
  </w:style>
  <w:style w:type="paragraph" w:styleId="Heading3">
    <w:name w:val="heading 3"/>
    <w:basedOn w:val="Normal"/>
    <w:next w:val="Normal"/>
    <w:link w:val="Heading3Char"/>
    <w:uiPriority w:val="9"/>
    <w:qFormat/>
    <w:rsid w:val="00235529"/>
    <w:pPr>
      <w:keepNext/>
      <w:keepLines/>
      <w:spacing w:before="240"/>
      <w:contextualSpacing/>
      <w:outlineLvl w:val="2"/>
    </w:pPr>
    <w:rPr>
      <w:rFonts w:asciiTheme="majorHAnsi" w:hAnsiTheme="majorHAnsi"/>
      <w:b/>
      <w:color w:val="auto"/>
    </w:rPr>
  </w:style>
  <w:style w:type="paragraph" w:styleId="Heading4">
    <w:name w:val="heading 4"/>
    <w:basedOn w:val="Normal"/>
    <w:next w:val="Normal"/>
    <w:link w:val="Heading4Char"/>
    <w:autoRedefine/>
    <w:uiPriority w:val="9"/>
    <w:qFormat/>
    <w:rsid w:val="00235529"/>
    <w:pPr>
      <w:keepNext/>
      <w:keepLines/>
      <w:spacing w:before="240"/>
      <w:contextualSpacing/>
      <w:outlineLvl w:val="3"/>
    </w:pPr>
    <w:rPr>
      <w:rFonts w:asciiTheme="majorHAnsi" w:eastAsiaTheme="majorEastAsia" w:hAnsiTheme="majorHAnsi" w:cstheme="majorBidi"/>
      <w:b/>
      <w:i/>
      <w:iCs/>
    </w:rPr>
  </w:style>
  <w:style w:type="paragraph" w:styleId="Heading5">
    <w:name w:val="heading 5"/>
    <w:basedOn w:val="Normal"/>
    <w:next w:val="Normal"/>
    <w:link w:val="Heading5Char"/>
    <w:autoRedefine/>
    <w:uiPriority w:val="9"/>
    <w:qFormat/>
    <w:rsid w:val="005138DF"/>
    <w:pPr>
      <w:keepNext/>
      <w:keepLines/>
      <w:spacing w:before="240"/>
      <w:contextualSpacing/>
      <w:outlineLvl w:val="4"/>
    </w:pPr>
    <w:rPr>
      <w:rFonts w:asciiTheme="majorHAnsi" w:eastAsiaTheme="majorEastAsia" w:hAnsiTheme="majorHAnsi" w:cstheme="majorBidi"/>
      <w:b/>
      <w:color w:val="auto"/>
      <w:sz w:val="20"/>
    </w:rPr>
  </w:style>
  <w:style w:type="paragraph" w:styleId="Heading6">
    <w:name w:val="heading 6"/>
    <w:basedOn w:val="Normal"/>
    <w:next w:val="Normal"/>
    <w:link w:val="Heading6Char"/>
    <w:autoRedefine/>
    <w:uiPriority w:val="9"/>
    <w:qFormat/>
    <w:rsid w:val="007E2BEB"/>
    <w:pPr>
      <w:keepNext/>
      <w:keepLines/>
      <w:spacing w:before="240"/>
      <w:contextualSpacing/>
      <w:outlineLvl w:val="5"/>
    </w:pPr>
    <w:rPr>
      <w:rFonts w:asciiTheme="majorHAnsi" w:eastAsiaTheme="majorEastAsia" w:hAnsiTheme="majorHAnsi" w:cstheme="majorBidi"/>
      <w:b/>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qFormat/>
    <w:rsid w:val="00496CCB"/>
    <w:pPr>
      <w:tabs>
        <w:tab w:val="right" w:pos="9184"/>
      </w:tabs>
      <w:spacing w:before="360" w:after="360"/>
    </w:pPr>
    <w:rPr>
      <w:b/>
      <w:bCs/>
      <w:sz w:val="24"/>
      <w:szCs w:val="24"/>
    </w:rPr>
  </w:style>
  <w:style w:type="character" w:customStyle="1" w:styleId="SubtitleChar">
    <w:name w:val="Subtitle Char"/>
    <w:basedOn w:val="DefaultParagraphFont"/>
    <w:link w:val="Subtitle"/>
    <w:uiPriority w:val="18"/>
    <w:rsid w:val="00496CCB"/>
    <w:rPr>
      <w:b/>
      <w:bCs/>
      <w:sz w:val="24"/>
      <w:szCs w:val="24"/>
    </w:rPr>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FC7517"/>
    <w:pPr>
      <w:tabs>
        <w:tab w:val="center" w:pos="4513"/>
        <w:tab w:val="right" w:pos="9026"/>
      </w:tabs>
      <w:spacing w:before="0" w:after="0" w:line="240" w:lineRule="auto"/>
    </w:pPr>
    <w:rPr>
      <w:sz w:val="20"/>
    </w:rPr>
  </w:style>
  <w:style w:type="character" w:customStyle="1" w:styleId="HeaderChar">
    <w:name w:val="Header Char"/>
    <w:basedOn w:val="DefaultParagraphFont"/>
    <w:link w:val="Header"/>
    <w:uiPriority w:val="99"/>
    <w:rsid w:val="00FC7517"/>
    <w:rPr>
      <w:sz w:val="20"/>
    </w:rPr>
  </w:style>
  <w:style w:type="paragraph" w:styleId="Footer">
    <w:name w:val="footer"/>
    <w:basedOn w:val="Normal"/>
    <w:link w:val="FooterChar"/>
    <w:uiPriority w:val="99"/>
    <w:unhideWhenUsed/>
    <w:rsid w:val="00E74653"/>
    <w:pPr>
      <w:tabs>
        <w:tab w:val="right" w:pos="10206"/>
      </w:tabs>
      <w:spacing w:before="0" w:after="0" w:line="240" w:lineRule="auto"/>
    </w:pPr>
    <w:rPr>
      <w:sz w:val="18"/>
    </w:rPr>
  </w:style>
  <w:style w:type="character" w:customStyle="1" w:styleId="FooterChar">
    <w:name w:val="Footer Char"/>
    <w:basedOn w:val="DefaultParagraphFont"/>
    <w:link w:val="Footer"/>
    <w:uiPriority w:val="99"/>
    <w:rsid w:val="00E74653"/>
    <w:rPr>
      <w:sz w:val="18"/>
    </w:rPr>
  </w:style>
  <w:style w:type="paragraph" w:styleId="Title">
    <w:name w:val="Title"/>
    <w:basedOn w:val="Normal"/>
    <w:link w:val="TitleChar"/>
    <w:autoRedefine/>
    <w:uiPriority w:val="17"/>
    <w:qFormat/>
    <w:rsid w:val="00235529"/>
    <w:rPr>
      <w:sz w:val="64"/>
    </w:rPr>
  </w:style>
  <w:style w:type="character" w:customStyle="1" w:styleId="TitleChar">
    <w:name w:val="Title Char"/>
    <w:basedOn w:val="DefaultParagraphFont"/>
    <w:link w:val="Title"/>
    <w:uiPriority w:val="17"/>
    <w:rsid w:val="00235529"/>
    <w:rPr>
      <w:sz w:val="64"/>
    </w:rPr>
  </w:style>
  <w:style w:type="paragraph" w:customStyle="1" w:styleId="Address">
    <w:name w:val="Address"/>
    <w:basedOn w:val="Normal"/>
    <w:semiHidden/>
    <w:rsid w:val="00191178"/>
    <w:pPr>
      <w:spacing w:before="0" w:after="0"/>
    </w:pPr>
    <w:rPr>
      <w:b/>
      <w:color w:val="421A75" w:themeColor="accent1"/>
    </w:rPr>
  </w:style>
  <w:style w:type="character" w:customStyle="1" w:styleId="Heading1Char">
    <w:name w:val="Heading 1 Char"/>
    <w:basedOn w:val="DefaultParagraphFont"/>
    <w:link w:val="Heading1"/>
    <w:uiPriority w:val="9"/>
    <w:rsid w:val="00235529"/>
    <w:rPr>
      <w:rFonts w:asciiTheme="majorHAnsi" w:hAnsiTheme="majorHAnsi"/>
      <w:b/>
      <w:sz w:val="30"/>
      <w:szCs w:val="44"/>
    </w:rPr>
  </w:style>
  <w:style w:type="character" w:customStyle="1" w:styleId="Heading2Char">
    <w:name w:val="Heading 2 Char"/>
    <w:basedOn w:val="DefaultParagraphFont"/>
    <w:link w:val="Heading2"/>
    <w:uiPriority w:val="9"/>
    <w:rsid w:val="00235529"/>
    <w:rPr>
      <w:rFonts w:asciiTheme="majorHAnsi" w:hAnsiTheme="majorHAnsi"/>
      <w:b/>
      <w:sz w:val="26"/>
      <w:szCs w:val="28"/>
    </w:rPr>
  </w:style>
  <w:style w:type="character" w:customStyle="1" w:styleId="Heading3Char">
    <w:name w:val="Heading 3 Char"/>
    <w:basedOn w:val="DefaultParagraphFont"/>
    <w:link w:val="Heading3"/>
    <w:uiPriority w:val="9"/>
    <w:rsid w:val="00235529"/>
    <w:rPr>
      <w:rFonts w:asciiTheme="majorHAnsi" w:hAnsiTheme="majorHAnsi"/>
      <w:b/>
      <w:color w:val="auto"/>
    </w:rPr>
  </w:style>
  <w:style w:type="paragraph" w:styleId="TOCHeading">
    <w:name w:val="TOC Heading"/>
    <w:basedOn w:val="Heading1"/>
    <w:next w:val="Normal"/>
    <w:uiPriority w:val="39"/>
    <w:rsid w:val="00FF52CA"/>
    <w:pPr>
      <w:spacing w:after="1080"/>
      <w:outlineLvl w:val="9"/>
    </w:pPr>
    <w:rPr>
      <w:rFonts w:eastAsiaTheme="majorEastAsia"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4D0DC8"/>
    <w:pPr>
      <w:spacing w:before="0" w:after="0" w:line="240" w:lineRule="auto"/>
    </w:pPr>
    <w:rPr>
      <w:sz w:val="14"/>
    </w:rPr>
  </w:style>
  <w:style w:type="character" w:customStyle="1" w:styleId="FootnoteTextChar">
    <w:name w:val="Footnote Text Char"/>
    <w:basedOn w:val="DefaultParagraphFont"/>
    <w:link w:val="FootnoteText"/>
    <w:uiPriority w:val="99"/>
    <w:rsid w:val="004D0DC8"/>
    <w:rPr>
      <w:sz w:val="14"/>
    </w:rPr>
  </w:style>
  <w:style w:type="character" w:styleId="Hyperlink">
    <w:name w:val="Hyperlink"/>
    <w:basedOn w:val="DefaultParagraphFont"/>
    <w:uiPriority w:val="99"/>
    <w:unhideWhenUsed/>
    <w:qFormat/>
    <w:rsid w:val="00F54926"/>
    <w:rPr>
      <w:b w:val="0"/>
      <w:color w:val="282EA0"/>
      <w:u w:val="single"/>
    </w:rPr>
  </w:style>
  <w:style w:type="paragraph" w:styleId="ListBullet">
    <w:name w:val="List Bullet"/>
    <w:basedOn w:val="Normal"/>
    <w:uiPriority w:val="2"/>
    <w:qFormat/>
    <w:rsid w:val="00F71556"/>
    <w:pPr>
      <w:numPr>
        <w:numId w:val="2"/>
      </w:numPr>
    </w:pPr>
    <w:rPr>
      <w:rFonts w:eastAsia="Times New Roman"/>
      <w:lang w:eastAsia="en-AU"/>
    </w:rPr>
  </w:style>
  <w:style w:type="paragraph" w:styleId="ListNumber">
    <w:name w:val="List Number"/>
    <w:basedOn w:val="Normal"/>
    <w:uiPriority w:val="2"/>
    <w:qFormat/>
    <w:rsid w:val="00F71556"/>
    <w:pPr>
      <w:numPr>
        <w:numId w:val="4"/>
      </w:numPr>
    </w:pPr>
    <w:rPr>
      <w:rFonts w:eastAsia="Times New Roman"/>
      <w:lang w:eastAsia="en-AU"/>
    </w:rPr>
  </w:style>
  <w:style w:type="table" w:customStyle="1" w:styleId="SQHTable">
    <w:name w:val="SQH Table"/>
    <w:basedOn w:val="TableNormal"/>
    <w:uiPriority w:val="99"/>
    <w:rsid w:val="009D13BE"/>
    <w:pPr>
      <w:spacing w:line="240" w:lineRule="auto"/>
    </w:pPr>
    <w:rPr>
      <w:sz w:val="20"/>
    </w:rPr>
    <w:tblPr>
      <w:tblStyleRowBandSize w:val="1"/>
      <w:tblBorders>
        <w:top w:val="single" w:sz="4" w:space="0" w:color="F0E8FE" w:themeColor="background2"/>
        <w:bottom w:val="single" w:sz="4" w:space="0" w:color="F0E8FE" w:themeColor="background2"/>
        <w:insideH w:val="single" w:sz="4" w:space="0" w:color="F0E8FE" w:themeColor="background2"/>
      </w:tblBorders>
    </w:tblPr>
    <w:tblStylePr w:type="firstRow">
      <w:rPr>
        <w:b/>
        <w:color w:val="FFFFFF" w:themeColor="background1"/>
        <w:sz w:val="20"/>
      </w:rPr>
      <w:tblPr/>
      <w:tcPr>
        <w:tcBorders>
          <w:top w:val="nil"/>
          <w:left w:val="nil"/>
          <w:bottom w:val="nil"/>
          <w:right w:val="nil"/>
          <w:insideH w:val="nil"/>
          <w:insideV w:val="nil"/>
          <w:tl2br w:val="nil"/>
          <w:tr2bl w:val="nil"/>
        </w:tcBorders>
        <w:shd w:val="clear" w:color="auto" w:fill="421A75" w:themeFill="accent1"/>
      </w:tcPr>
    </w:tblStylePr>
    <w:tblStylePr w:type="band2Horz">
      <w:tblPr/>
      <w:tcPr>
        <w:shd w:val="clear" w:color="auto" w:fill="F0E8FE" w:themeFill="background2"/>
      </w:tcPr>
    </w:tblStylePr>
  </w:style>
  <w:style w:type="paragraph" w:styleId="TOC1">
    <w:name w:val="toc 1"/>
    <w:basedOn w:val="Normal"/>
    <w:next w:val="Normal"/>
    <w:autoRedefine/>
    <w:uiPriority w:val="39"/>
    <w:rsid w:val="008C3C5D"/>
    <w:pPr>
      <w:tabs>
        <w:tab w:val="right" w:pos="9174"/>
      </w:tabs>
      <w:spacing w:before="360" w:line="240" w:lineRule="auto"/>
    </w:pPr>
    <w:rPr>
      <w:b/>
    </w:rPr>
  </w:style>
  <w:style w:type="table" w:styleId="LightShading-Accent1">
    <w:name w:val="Light Shading Accent 1"/>
    <w:basedOn w:val="TableNormal"/>
    <w:uiPriority w:val="60"/>
    <w:rsid w:val="00056BC0"/>
    <w:rPr>
      <w:color w:val="311357" w:themeColor="accent1" w:themeShade="BF"/>
    </w:rPr>
    <w:tblPr>
      <w:tblStyleRowBandSize w:val="1"/>
      <w:tblStyleColBandSize w:val="1"/>
      <w:tblBorders>
        <w:top w:val="single" w:sz="8" w:space="0" w:color="421A75" w:themeColor="accent1"/>
        <w:bottom w:val="single" w:sz="8" w:space="0" w:color="421A75" w:themeColor="accent1"/>
      </w:tblBorders>
    </w:tblPr>
    <w:tblStylePr w:type="firstRow">
      <w:pPr>
        <w:spacing w:before="0" w:after="0" w:line="240" w:lineRule="auto"/>
      </w:pPr>
      <w:rPr>
        <w:b/>
        <w:bCs/>
      </w:rPr>
      <w:tblPr/>
      <w:tcPr>
        <w:tcBorders>
          <w:top w:val="single" w:sz="8" w:space="0" w:color="421A75" w:themeColor="accent1"/>
          <w:left w:val="nil"/>
          <w:bottom w:val="single" w:sz="8" w:space="0" w:color="421A75" w:themeColor="accent1"/>
          <w:right w:val="nil"/>
          <w:insideH w:val="nil"/>
          <w:insideV w:val="nil"/>
        </w:tcBorders>
      </w:tcPr>
    </w:tblStylePr>
    <w:tblStylePr w:type="lastRow">
      <w:pPr>
        <w:spacing w:before="0" w:after="0" w:line="240" w:lineRule="auto"/>
      </w:pPr>
      <w:rPr>
        <w:b/>
        <w:bCs/>
      </w:rPr>
      <w:tblPr/>
      <w:tcPr>
        <w:tcBorders>
          <w:top w:val="single" w:sz="8" w:space="0" w:color="421A75" w:themeColor="accent1"/>
          <w:left w:val="nil"/>
          <w:bottom w:val="single" w:sz="8" w:space="0" w:color="421A7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B4EE" w:themeFill="accent1" w:themeFillTint="3F"/>
      </w:tcPr>
    </w:tblStylePr>
    <w:tblStylePr w:type="band1Horz">
      <w:tblPr/>
      <w:tcPr>
        <w:tcBorders>
          <w:left w:val="nil"/>
          <w:right w:val="nil"/>
          <w:insideH w:val="nil"/>
          <w:insideV w:val="nil"/>
        </w:tcBorders>
        <w:shd w:val="clear" w:color="auto" w:fill="CDB4EE"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1A7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21A75" w:themeFill="accent1"/>
      </w:tcPr>
    </w:tblStylePr>
    <w:tblStylePr w:type="lastCol">
      <w:rPr>
        <w:b/>
        <w:bCs/>
        <w:color w:val="FFFFFF" w:themeColor="background1"/>
      </w:rPr>
      <w:tblPr/>
      <w:tcPr>
        <w:tcBorders>
          <w:left w:val="nil"/>
          <w:right w:val="nil"/>
          <w:insideH w:val="nil"/>
          <w:insideV w:val="nil"/>
        </w:tcBorders>
        <w:shd w:val="clear" w:color="auto" w:fill="421A7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8C3C5D"/>
    <w:pPr>
      <w:pBdr>
        <w:bottom w:val="single" w:sz="4" w:space="4" w:color="D3BBFD" w:themeColor="text2"/>
        <w:between w:val="single" w:sz="4" w:space="4" w:color="D3BBFD" w:themeColor="text2"/>
      </w:pBdr>
      <w:tabs>
        <w:tab w:val="right" w:pos="9174"/>
      </w:tabs>
      <w:spacing w:before="0" w:after="0" w:line="240" w:lineRule="auto"/>
    </w:pPr>
    <w:rPr>
      <w:noProof/>
    </w:rPr>
  </w:style>
  <w:style w:type="paragraph" w:styleId="ListBullet2">
    <w:name w:val="List Bullet 2"/>
    <w:basedOn w:val="Normal"/>
    <w:uiPriority w:val="2"/>
    <w:semiHidden/>
    <w:qFormat/>
    <w:rsid w:val="00F71556"/>
    <w:pPr>
      <w:numPr>
        <w:ilvl w:val="1"/>
        <w:numId w:val="2"/>
      </w:numPr>
    </w:pPr>
    <w:rPr>
      <w:rFonts w:eastAsia="Times New Roman"/>
      <w:lang w:eastAsia="en-AU"/>
    </w:rPr>
  </w:style>
  <w:style w:type="character" w:customStyle="1" w:styleId="Heading4Char">
    <w:name w:val="Heading 4 Char"/>
    <w:basedOn w:val="DefaultParagraphFont"/>
    <w:link w:val="Heading4"/>
    <w:uiPriority w:val="9"/>
    <w:rsid w:val="00235529"/>
    <w:rPr>
      <w:rFonts w:asciiTheme="majorHAnsi" w:eastAsiaTheme="majorEastAsia" w:hAnsiTheme="majorHAnsi" w:cstheme="majorBidi"/>
      <w:b/>
      <w:i/>
      <w:iCs/>
    </w:rPr>
  </w:style>
  <w:style w:type="paragraph" w:styleId="ListBullet3">
    <w:name w:val="List Bullet 3"/>
    <w:basedOn w:val="Normal"/>
    <w:uiPriority w:val="2"/>
    <w:semiHidden/>
    <w:rsid w:val="00F71556"/>
    <w:pPr>
      <w:numPr>
        <w:ilvl w:val="2"/>
        <w:numId w:val="2"/>
      </w:numPr>
    </w:pPr>
    <w:rPr>
      <w:rFonts w:eastAsia="Times New Roman"/>
      <w:lang w:eastAsia="en-AU"/>
    </w:rPr>
  </w:style>
  <w:style w:type="paragraph" w:styleId="ListBullet4">
    <w:name w:val="List Bullet 4"/>
    <w:basedOn w:val="Normal"/>
    <w:uiPriority w:val="2"/>
    <w:semiHidden/>
    <w:rsid w:val="00F71556"/>
    <w:pPr>
      <w:numPr>
        <w:ilvl w:val="3"/>
        <w:numId w:val="2"/>
      </w:numPr>
      <w:tabs>
        <w:tab w:val="num" w:pos="360"/>
      </w:tabs>
      <w:ind w:left="0" w:firstLine="0"/>
    </w:pPr>
    <w:rPr>
      <w:rFonts w:eastAsia="Times New Roman"/>
      <w:lang w:eastAsia="en-AU"/>
    </w:rPr>
  </w:style>
  <w:style w:type="paragraph" w:styleId="ListBullet5">
    <w:name w:val="List Bullet 5"/>
    <w:basedOn w:val="Normal"/>
    <w:uiPriority w:val="2"/>
    <w:semiHidden/>
    <w:rsid w:val="00F71556"/>
    <w:pPr>
      <w:numPr>
        <w:ilvl w:val="4"/>
        <w:numId w:val="2"/>
      </w:numPr>
      <w:tabs>
        <w:tab w:val="num" w:pos="360"/>
      </w:tabs>
      <w:ind w:left="0" w:firstLine="0"/>
    </w:pPr>
    <w:rPr>
      <w:rFonts w:eastAsia="Times New Roman"/>
      <w:lang w:eastAsia="en-AU"/>
    </w:rPr>
  </w:style>
  <w:style w:type="paragraph" w:styleId="ListNumber2">
    <w:name w:val="List Number 2"/>
    <w:basedOn w:val="Normal"/>
    <w:uiPriority w:val="2"/>
    <w:semiHidden/>
    <w:rsid w:val="00F71556"/>
    <w:pPr>
      <w:numPr>
        <w:ilvl w:val="1"/>
        <w:numId w:val="4"/>
      </w:numPr>
    </w:pPr>
    <w:rPr>
      <w:rFonts w:eastAsia="Times New Roman"/>
      <w:lang w:eastAsia="en-AU"/>
    </w:rPr>
  </w:style>
  <w:style w:type="paragraph" w:styleId="ListNumber3">
    <w:name w:val="List Number 3"/>
    <w:basedOn w:val="Normal"/>
    <w:uiPriority w:val="2"/>
    <w:semiHidden/>
    <w:rsid w:val="00F71556"/>
    <w:pPr>
      <w:numPr>
        <w:ilvl w:val="2"/>
        <w:numId w:val="4"/>
      </w:numPr>
    </w:pPr>
    <w:rPr>
      <w:rFonts w:eastAsia="Times New Roman"/>
      <w:lang w:eastAsia="en-AU"/>
    </w:rPr>
  </w:style>
  <w:style w:type="paragraph" w:styleId="ListNumber4">
    <w:name w:val="List Number 4"/>
    <w:basedOn w:val="Normal"/>
    <w:uiPriority w:val="2"/>
    <w:semiHidden/>
    <w:rsid w:val="00F71556"/>
    <w:pPr>
      <w:numPr>
        <w:ilvl w:val="3"/>
        <w:numId w:val="4"/>
      </w:numPr>
    </w:pPr>
    <w:rPr>
      <w:rFonts w:eastAsia="Times New Roman"/>
      <w:lang w:eastAsia="en-AU"/>
    </w:rPr>
  </w:style>
  <w:style w:type="paragraph" w:styleId="ListNumber5">
    <w:name w:val="List Number 5"/>
    <w:basedOn w:val="Normal"/>
    <w:uiPriority w:val="2"/>
    <w:semiHidden/>
    <w:rsid w:val="00F71556"/>
    <w:pPr>
      <w:numPr>
        <w:ilvl w:val="4"/>
        <w:numId w:val="4"/>
      </w:numPr>
    </w:pPr>
    <w:rPr>
      <w:rFonts w:eastAsia="Times New Roman"/>
      <w:lang w:eastAsia="en-AU"/>
    </w:rPr>
  </w:style>
  <w:style w:type="paragraph" w:styleId="List">
    <w:name w:val="List"/>
    <w:aliases w:val="Letter"/>
    <w:basedOn w:val="Normal"/>
    <w:uiPriority w:val="2"/>
    <w:rsid w:val="00F71556"/>
    <w:pPr>
      <w:numPr>
        <w:numId w:val="1"/>
      </w:numPr>
    </w:pPr>
    <w:rPr>
      <w:rFonts w:eastAsia="Times New Roman"/>
      <w:lang w:eastAsia="en-AU"/>
    </w:rPr>
  </w:style>
  <w:style w:type="paragraph" w:customStyle="1" w:styleId="SectionHeading">
    <w:name w:val="Section Heading"/>
    <w:basedOn w:val="Normal"/>
    <w:uiPriority w:val="8"/>
    <w:rsid w:val="00907414"/>
    <w:pPr>
      <w:spacing w:before="0" w:after="0" w:line="240" w:lineRule="auto"/>
      <w:ind w:right="450"/>
    </w:pPr>
    <w:rPr>
      <w:rFonts w:asciiTheme="majorHAnsi" w:hAnsiTheme="majorHAnsi"/>
      <w:color w:val="auto"/>
      <w:sz w:val="64"/>
      <w:szCs w:val="60"/>
    </w:rPr>
  </w:style>
  <w:style w:type="paragraph" w:styleId="Caption">
    <w:name w:val="caption"/>
    <w:basedOn w:val="Normal"/>
    <w:next w:val="Normal"/>
    <w:link w:val="CaptionChar"/>
    <w:autoRedefine/>
    <w:uiPriority w:val="12"/>
    <w:qFormat/>
    <w:rsid w:val="00DC33B0"/>
    <w:pPr>
      <w:keepNext/>
      <w:keepLines/>
      <w:numPr>
        <w:numId w:val="3"/>
      </w:numPr>
      <w:spacing w:before="360" w:line="240" w:lineRule="auto"/>
      <w:contextualSpacing/>
    </w:pPr>
    <w:rPr>
      <w:iCs/>
      <w:sz w:val="20"/>
    </w:rPr>
  </w:style>
  <w:style w:type="character" w:styleId="PlaceholderText">
    <w:name w:val="Placeholder Text"/>
    <w:basedOn w:val="DefaultParagraphFont"/>
    <w:uiPriority w:val="99"/>
    <w:semiHidden/>
    <w:rsid w:val="00D02F69"/>
    <w:rPr>
      <w:color w:val="666666"/>
    </w:rPr>
  </w:style>
  <w:style w:type="paragraph" w:styleId="TOC3">
    <w:name w:val="toc 3"/>
    <w:basedOn w:val="Normal"/>
    <w:next w:val="Normal"/>
    <w:autoRedefine/>
    <w:uiPriority w:val="39"/>
    <w:unhideWhenUsed/>
    <w:rsid w:val="005F36C3"/>
    <w:pPr>
      <w:spacing w:line="240" w:lineRule="auto"/>
      <w:ind w:left="357"/>
      <w:contextualSpacing/>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D2BBFC" w:themeColor="accent4" w:themeTint="99"/>
        <w:bottom w:val="single" w:sz="4" w:space="0" w:color="D2BBFC" w:themeColor="accent4" w:themeTint="99"/>
        <w:insideH w:val="single" w:sz="4" w:space="0" w:color="D2BBF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8FE" w:themeFill="accent4" w:themeFillTint="33"/>
      </w:tcPr>
    </w:tblStylePr>
    <w:tblStylePr w:type="band1Horz">
      <w:tblPr/>
      <w:tcPr>
        <w:shd w:val="clear" w:color="auto" w:fill="EFE8FE" w:themeFill="accent4" w:themeFillTint="33"/>
      </w:tcPr>
    </w:tblStylePr>
  </w:style>
  <w:style w:type="paragraph" w:styleId="Date">
    <w:name w:val="Date"/>
    <w:basedOn w:val="Normal"/>
    <w:next w:val="Normal"/>
    <w:link w:val="DateChar"/>
    <w:uiPriority w:val="99"/>
    <w:rsid w:val="00907D31"/>
    <w:pPr>
      <w:spacing w:before="0" w:after="0" w:line="320" w:lineRule="atLeast"/>
    </w:pPr>
    <w:rPr>
      <w:b/>
      <w:color w:val="FFFFFF" w:themeColor="background1"/>
      <w:sz w:val="24"/>
    </w:rPr>
  </w:style>
  <w:style w:type="character" w:customStyle="1" w:styleId="DateChar">
    <w:name w:val="Date Char"/>
    <w:basedOn w:val="DefaultParagraphFont"/>
    <w:link w:val="Date"/>
    <w:uiPriority w:val="99"/>
    <w:rsid w:val="00907D31"/>
    <w:rPr>
      <w:b/>
      <w:color w:val="FFFFFF" w:themeColor="background1"/>
      <w:sz w:val="24"/>
    </w:rPr>
  </w:style>
  <w:style w:type="character" w:customStyle="1" w:styleId="Heading5Char">
    <w:name w:val="Heading 5 Char"/>
    <w:basedOn w:val="DefaultParagraphFont"/>
    <w:link w:val="Heading5"/>
    <w:uiPriority w:val="9"/>
    <w:rsid w:val="005138DF"/>
    <w:rPr>
      <w:rFonts w:asciiTheme="majorHAnsi" w:eastAsiaTheme="majorEastAsia" w:hAnsiTheme="majorHAnsi" w:cstheme="majorBidi"/>
      <w:b/>
      <w:color w:val="auto"/>
      <w:sz w:val="20"/>
    </w:rPr>
  </w:style>
  <w:style w:type="character" w:customStyle="1" w:styleId="Heading6Char">
    <w:name w:val="Heading 6 Char"/>
    <w:basedOn w:val="DefaultParagraphFont"/>
    <w:link w:val="Heading6"/>
    <w:uiPriority w:val="9"/>
    <w:rsid w:val="007E2BEB"/>
    <w:rPr>
      <w:rFonts w:asciiTheme="majorHAnsi" w:eastAsiaTheme="majorEastAsia" w:hAnsiTheme="majorHAnsi" w:cstheme="majorBidi"/>
      <w:b/>
      <w:color w:val="auto"/>
      <w:sz w:val="20"/>
    </w:rPr>
  </w:style>
  <w:style w:type="paragraph" w:styleId="NoSpacing">
    <w:name w:val="No Spacing"/>
    <w:uiPriority w:val="1"/>
    <w:rsid w:val="003A5810"/>
    <w:pPr>
      <w:spacing w:before="0" w:after="0"/>
    </w:pPr>
  </w:style>
  <w:style w:type="character" w:styleId="UnresolvedMention">
    <w:name w:val="Unresolved Mention"/>
    <w:basedOn w:val="DefaultParagraphFont"/>
    <w:uiPriority w:val="99"/>
    <w:semiHidden/>
    <w:unhideWhenUsed/>
    <w:rsid w:val="00AC4B47"/>
    <w:rPr>
      <w:color w:val="605E5C"/>
      <w:shd w:val="clear" w:color="auto" w:fill="E1DFDD"/>
    </w:rPr>
  </w:style>
  <w:style w:type="table" w:styleId="GridTable4-Accent4">
    <w:name w:val="Grid Table 4 Accent 4"/>
    <w:basedOn w:val="TableNormal"/>
    <w:uiPriority w:val="49"/>
    <w:rsid w:val="00F400EF"/>
    <w:pPr>
      <w:spacing w:after="0" w:line="240" w:lineRule="auto"/>
    </w:pPr>
    <w:tblPr>
      <w:tblStyleRowBandSize w:val="1"/>
      <w:tblStyleColBandSize w:val="1"/>
      <w:tblBorders>
        <w:top w:val="single" w:sz="4" w:space="0" w:color="D2BBFC" w:themeColor="accent4" w:themeTint="99"/>
        <w:left w:val="single" w:sz="4" w:space="0" w:color="D2BBFC" w:themeColor="accent4" w:themeTint="99"/>
        <w:bottom w:val="single" w:sz="4" w:space="0" w:color="D2BBFC" w:themeColor="accent4" w:themeTint="99"/>
        <w:right w:val="single" w:sz="4" w:space="0" w:color="D2BBFC" w:themeColor="accent4" w:themeTint="99"/>
        <w:insideH w:val="single" w:sz="4" w:space="0" w:color="D2BBFC" w:themeColor="accent4" w:themeTint="99"/>
        <w:insideV w:val="single" w:sz="4" w:space="0" w:color="D2BBFC" w:themeColor="accent4" w:themeTint="99"/>
      </w:tblBorders>
    </w:tblPr>
    <w:tblStylePr w:type="firstRow">
      <w:rPr>
        <w:b/>
        <w:bCs/>
        <w:color w:val="FFFFFF" w:themeColor="background1"/>
      </w:rPr>
      <w:tblPr/>
      <w:tcPr>
        <w:tcBorders>
          <w:top w:val="single" w:sz="4" w:space="0" w:color="B58EFB" w:themeColor="accent4"/>
          <w:left w:val="single" w:sz="4" w:space="0" w:color="B58EFB" w:themeColor="accent4"/>
          <w:bottom w:val="single" w:sz="4" w:space="0" w:color="B58EFB" w:themeColor="accent4"/>
          <w:right w:val="single" w:sz="4" w:space="0" w:color="B58EFB" w:themeColor="accent4"/>
          <w:insideH w:val="nil"/>
          <w:insideV w:val="nil"/>
        </w:tcBorders>
        <w:shd w:val="clear" w:color="auto" w:fill="B58EFB" w:themeFill="accent4"/>
      </w:tcPr>
    </w:tblStylePr>
    <w:tblStylePr w:type="lastRow">
      <w:rPr>
        <w:b/>
        <w:bCs/>
      </w:rPr>
      <w:tblPr/>
      <w:tcPr>
        <w:tcBorders>
          <w:top w:val="double" w:sz="4" w:space="0" w:color="B58EFB" w:themeColor="accent4"/>
        </w:tcBorders>
      </w:tcPr>
    </w:tblStylePr>
    <w:tblStylePr w:type="firstCol">
      <w:rPr>
        <w:b/>
        <w:bCs/>
      </w:rPr>
    </w:tblStylePr>
    <w:tblStylePr w:type="lastCol">
      <w:rPr>
        <w:b/>
        <w:bCs/>
      </w:rPr>
    </w:tblStylePr>
    <w:tblStylePr w:type="band1Vert">
      <w:tblPr/>
      <w:tcPr>
        <w:shd w:val="clear" w:color="auto" w:fill="EFE8FE" w:themeFill="accent4" w:themeFillTint="33"/>
      </w:tcPr>
    </w:tblStylePr>
    <w:tblStylePr w:type="band1Horz">
      <w:tblPr/>
      <w:tcPr>
        <w:shd w:val="clear" w:color="auto" w:fill="EFE8FE" w:themeFill="accent4" w:themeFillTint="33"/>
      </w:tcPr>
    </w:tblStylePr>
  </w:style>
  <w:style w:type="paragraph" w:customStyle="1" w:styleId="BoxHeading">
    <w:name w:val="Box Heading"/>
    <w:basedOn w:val="Normal"/>
    <w:next w:val="Normal"/>
    <w:uiPriority w:val="10"/>
    <w:qFormat/>
    <w:rsid w:val="002B3C79"/>
    <w:rPr>
      <w:b/>
      <w:bCs/>
      <w:sz w:val="24"/>
      <w:szCs w:val="24"/>
    </w:rPr>
  </w:style>
  <w:style w:type="paragraph" w:customStyle="1" w:styleId="IntroPara">
    <w:name w:val="Intro Para"/>
    <w:basedOn w:val="Normal"/>
    <w:next w:val="Normal"/>
    <w:autoRedefine/>
    <w:uiPriority w:val="11"/>
    <w:qFormat/>
    <w:rsid w:val="008720F3"/>
    <w:pPr>
      <w:spacing w:before="1920" w:after="360"/>
      <w:contextualSpacing/>
    </w:pPr>
    <w:rPr>
      <w:sz w:val="26"/>
      <w:szCs w:val="26"/>
    </w:rPr>
  </w:style>
  <w:style w:type="character" w:styleId="FollowedHyperlink">
    <w:name w:val="FollowedHyperlink"/>
    <w:basedOn w:val="DefaultParagraphFont"/>
    <w:uiPriority w:val="99"/>
    <w:semiHidden/>
    <w:unhideWhenUsed/>
    <w:rsid w:val="00C15873"/>
    <w:rPr>
      <w:color w:val="000000" w:themeColor="followedHyperlink"/>
      <w:u w:val="single"/>
    </w:rPr>
  </w:style>
  <w:style w:type="paragraph" w:styleId="NormalWeb">
    <w:name w:val="Normal (Web)"/>
    <w:basedOn w:val="Normal"/>
    <w:uiPriority w:val="99"/>
    <w:semiHidden/>
    <w:unhideWhenUsed/>
    <w:rsid w:val="00B967A4"/>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TableCaption">
    <w:name w:val="Table Caption"/>
    <w:basedOn w:val="Caption"/>
    <w:link w:val="TableCaptionChar"/>
    <w:autoRedefine/>
    <w:qFormat/>
    <w:rsid w:val="00DC33B0"/>
    <w:pPr>
      <w:numPr>
        <w:numId w:val="6"/>
      </w:numPr>
      <w:ind w:left="0" w:firstLine="0"/>
    </w:pPr>
  </w:style>
  <w:style w:type="character" w:customStyle="1" w:styleId="CaptionChar">
    <w:name w:val="Caption Char"/>
    <w:basedOn w:val="DefaultParagraphFont"/>
    <w:link w:val="Caption"/>
    <w:uiPriority w:val="12"/>
    <w:rsid w:val="00DC33B0"/>
    <w:rPr>
      <w:iCs/>
      <w:sz w:val="20"/>
    </w:rPr>
  </w:style>
  <w:style w:type="character" w:customStyle="1" w:styleId="TableCaptionChar">
    <w:name w:val="Table Caption Char"/>
    <w:basedOn w:val="CaptionChar"/>
    <w:link w:val="TableCaption"/>
    <w:rsid w:val="00DC33B0"/>
    <w:rPr>
      <w:iCs/>
      <w:sz w:val="20"/>
    </w:rPr>
  </w:style>
  <w:style w:type="paragraph" w:customStyle="1" w:styleId="FactSheetType">
    <w:name w:val="Fact Sheet Type"/>
    <w:basedOn w:val="Normal"/>
    <w:qFormat/>
    <w:rsid w:val="00826EB2"/>
    <w:pPr>
      <w:spacing w:before="0" w:after="480" w:line="240" w:lineRule="auto"/>
      <w:jc w:val="right"/>
    </w:pPr>
    <w:rPr>
      <w:rFonts w:ascii="Arial" w:eastAsia="Times New Roman" w:hAnsi="Arial"/>
      <w:bCs/>
      <w:color w:val="auto"/>
      <w:sz w:val="28"/>
      <w:lang w:eastAsia="en-AU"/>
    </w:r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99"/>
    <w:qFormat/>
    <w:rsid w:val="00C40BE1"/>
    <w:pPr>
      <w:ind w:left="720"/>
      <w:contextualSpacing/>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99"/>
    <w:rsid w:val="001C2C9D"/>
  </w:style>
  <w:style w:type="paragraph" w:customStyle="1" w:styleId="FigureTableTitle">
    <w:name w:val="Figure/Table Title"/>
    <w:basedOn w:val="Normal"/>
    <w:qFormat/>
    <w:rsid w:val="002A1140"/>
    <w:pPr>
      <w:spacing w:before="240" w:after="240" w:line="240" w:lineRule="auto"/>
      <w:contextualSpacing/>
    </w:pPr>
    <w:rPr>
      <w:rFonts w:ascii="Arial" w:eastAsia="Times New Roman" w:hAnsi="Arial"/>
      <w:b/>
      <w:color w:val="auto"/>
      <w:lang w:eastAsia="en-AU"/>
    </w:rPr>
  </w:style>
  <w:style w:type="paragraph" w:customStyle="1" w:styleId="PulloutBoxHeading">
    <w:name w:val="Pullout Box Heading"/>
    <w:basedOn w:val="Heading3"/>
    <w:qFormat/>
    <w:rsid w:val="003F3433"/>
    <w:pPr>
      <w:spacing w:before="120" w:after="60" w:line="240" w:lineRule="auto"/>
      <w:contextualSpacing w:val="0"/>
    </w:pPr>
    <w:rPr>
      <w:rFonts w:ascii="Arial" w:eastAsia="Times New Roman" w:hAnsi="Arial" w:cs="Arial"/>
      <w:bCs/>
      <w:iCs/>
      <w:color w:val="005370"/>
      <w:kern w:val="28"/>
      <w:sz w:val="28"/>
      <w:szCs w:val="26"/>
      <w:lang w:eastAsia="en-AU"/>
    </w:rPr>
  </w:style>
  <w:style w:type="paragraph" w:styleId="Revision">
    <w:name w:val="Revision"/>
    <w:hidden/>
    <w:uiPriority w:val="99"/>
    <w:semiHidden/>
    <w:rsid w:val="00615CA5"/>
    <w:pPr>
      <w:spacing w:before="0" w:after="0" w:line="240" w:lineRule="auto"/>
    </w:pPr>
  </w:style>
  <w:style w:type="character" w:styleId="CommentReference">
    <w:name w:val="annotation reference"/>
    <w:basedOn w:val="DefaultParagraphFont"/>
    <w:uiPriority w:val="99"/>
    <w:semiHidden/>
    <w:unhideWhenUsed/>
    <w:rsid w:val="008B36DD"/>
    <w:rPr>
      <w:sz w:val="16"/>
      <w:szCs w:val="16"/>
    </w:rPr>
  </w:style>
  <w:style w:type="paragraph" w:styleId="CommentText">
    <w:name w:val="annotation text"/>
    <w:basedOn w:val="Normal"/>
    <w:link w:val="CommentTextChar"/>
    <w:uiPriority w:val="99"/>
    <w:unhideWhenUsed/>
    <w:rsid w:val="008B36DD"/>
    <w:pPr>
      <w:spacing w:line="240" w:lineRule="auto"/>
    </w:pPr>
    <w:rPr>
      <w:sz w:val="20"/>
      <w:szCs w:val="20"/>
    </w:rPr>
  </w:style>
  <w:style w:type="character" w:customStyle="1" w:styleId="CommentTextChar">
    <w:name w:val="Comment Text Char"/>
    <w:basedOn w:val="DefaultParagraphFont"/>
    <w:link w:val="CommentText"/>
    <w:uiPriority w:val="99"/>
    <w:rsid w:val="008B36DD"/>
    <w:rPr>
      <w:sz w:val="20"/>
      <w:szCs w:val="20"/>
    </w:rPr>
  </w:style>
  <w:style w:type="paragraph" w:styleId="CommentSubject">
    <w:name w:val="annotation subject"/>
    <w:basedOn w:val="CommentText"/>
    <w:next w:val="CommentText"/>
    <w:link w:val="CommentSubjectChar"/>
    <w:uiPriority w:val="99"/>
    <w:semiHidden/>
    <w:unhideWhenUsed/>
    <w:rsid w:val="008B36DD"/>
    <w:rPr>
      <w:b/>
      <w:bCs/>
    </w:rPr>
  </w:style>
  <w:style w:type="character" w:customStyle="1" w:styleId="CommentSubjectChar">
    <w:name w:val="Comment Subject Char"/>
    <w:basedOn w:val="CommentTextChar"/>
    <w:link w:val="CommentSubject"/>
    <w:uiPriority w:val="99"/>
    <w:semiHidden/>
    <w:rsid w:val="008B36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798086">
      <w:bodyDiv w:val="1"/>
      <w:marLeft w:val="0"/>
      <w:marRight w:val="0"/>
      <w:marTop w:val="0"/>
      <w:marBottom w:val="0"/>
      <w:divBdr>
        <w:top w:val="none" w:sz="0" w:space="0" w:color="auto"/>
        <w:left w:val="none" w:sz="0" w:space="0" w:color="auto"/>
        <w:bottom w:val="none" w:sz="0" w:space="0" w:color="auto"/>
        <w:right w:val="none" w:sz="0" w:space="0" w:color="auto"/>
      </w:divBdr>
    </w:div>
    <w:div w:id="1424691769">
      <w:bodyDiv w:val="1"/>
      <w:marLeft w:val="0"/>
      <w:marRight w:val="0"/>
      <w:marTop w:val="0"/>
      <w:marBottom w:val="0"/>
      <w:divBdr>
        <w:top w:val="none" w:sz="0" w:space="0" w:color="auto"/>
        <w:left w:val="none" w:sz="0" w:space="0" w:color="auto"/>
        <w:bottom w:val="none" w:sz="0" w:space="0" w:color="auto"/>
        <w:right w:val="none" w:sz="0" w:space="0" w:color="auto"/>
      </w:divBdr>
    </w:div>
    <w:div w:id="152882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afetyandquality.gov.au/national-standards/national-safety-and-quality-primary-and-community-healthcare-standards" TargetMode="External"/><Relationship Id="rId21" Type="http://schemas.openxmlformats.org/officeDocument/2006/relationships/hyperlink" Target="https://www.tga.gov.au/safety/shortages-and-supply-disruptions/medicine-shortages/accessing-medicines-during-shortage/serious-scarcity-substitution-instruments-sssis" TargetMode="External"/><Relationship Id="rId34" Type="http://schemas.openxmlformats.org/officeDocument/2006/relationships/hyperlink" Target="https://www.health.nsw.gov.au/sabs/Documents/2024-sn-035.pdf" TargetMode="External"/><Relationship Id="rId42" Type="http://schemas.openxmlformats.org/officeDocument/2006/relationships/hyperlink" Target="https://www.diabetesaustralia.com.au/health-professional-guidelines/" TargetMode="External"/><Relationship Id="rId47" Type="http://schemas.openxmlformats.org/officeDocument/2006/relationships/hyperlink" Target="https://www.health.gov.au/resources/publications/guiding-principles-for-medication-management-in-residential-aged-care-facilities" TargetMode="External"/><Relationship Id="rId50" Type="http://schemas.openxmlformats.org/officeDocument/2006/relationships/hyperlink" Target="https://www.racgp.org.au/clinical-resources/clinical-guidelines/key-racgp-guidelines/view-all-racgp-guidelines/management-of-type-2-diabetes/introduction" TargetMode="External"/><Relationship Id="rId55" Type="http://schemas.openxmlformats.org/officeDocument/2006/relationships/hyperlink" Target="https://www.pbs.gov.au/pbs/home"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tga.gov.au/safety/shortages-and-supply-disruptions/medicine-shortages/accessing-medicines-during-shortage/serious-scarcity-substitution-instruments-sssis" TargetMode="External"/><Relationship Id="rId29" Type="http://schemas.openxmlformats.org/officeDocument/2006/relationships/hyperlink" Target="https://www.safetyandquality.gov.au/resources/safer-insulin-prescribing-guidance-australian-pharmacists" TargetMode="External"/><Relationship Id="rId11" Type="http://schemas.openxmlformats.org/officeDocument/2006/relationships/hyperlink" Target="https://www.tga.gov.au/safety/shortages-and-supply-disruptions/medicine-shortages/major-or-ongoing-medicine-shortages/about-changes-supply-insulin-products" TargetMode="External"/><Relationship Id="rId24" Type="http://schemas.openxmlformats.org/officeDocument/2006/relationships/hyperlink" Target="https://www.safetyandquality.gov.au/our-work/partnering-consumers/shared-decision-making/shared-decision-making-resources-clinicians" TargetMode="External"/><Relationship Id="rId32" Type="http://schemas.openxmlformats.org/officeDocument/2006/relationships/hyperlink" Target="https://www.pbs.gov.au/pbs/home" TargetMode="External"/><Relationship Id="rId37" Type="http://schemas.openxmlformats.org/officeDocument/2006/relationships/hyperlink" Target="https://www.adips.org/Clinical%20Advice%20re%20Discontinuation%20of%20InnoLet%2020.12.24.pdf" TargetMode="External"/><Relationship Id="rId40" Type="http://schemas.openxmlformats.org/officeDocument/2006/relationships/hyperlink" Target="https://www.tga.gov.au/resources/resource/reference-material/serious-scarcity-substitution-instruments-sssis" TargetMode="External"/><Relationship Id="rId45" Type="http://schemas.openxmlformats.org/officeDocument/2006/relationships/hyperlink" Target="https://www.safetyandquality.gov.au/publications-and-resources/resource-library/principles-safe-selection-and-storage-medicines-guidance-principles-and-survey-tool" TargetMode="External"/><Relationship Id="rId53" Type="http://schemas.openxmlformats.org/officeDocument/2006/relationships/hyperlink" Target="https://www.adea.com.au/resources/standards-position-statements-and-other-resources/" TargetMode="External"/><Relationship Id="rId58" Type="http://schemas.openxmlformats.org/officeDocument/2006/relationships/hyperlink" Target="https://www.health.nsw.gov.au/sabs/Documents/2025-sn-023.pdf" TargetMode="External"/><Relationship Id="rId66"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yperlink" Target="mailto:medsafety@safetyandquality.gov.au" TargetMode="External"/><Relationship Id="rId19" Type="http://schemas.openxmlformats.org/officeDocument/2006/relationships/hyperlink" Target="https://www.tga.gov.au/safety/shortages-and-supply-disruptions/medicine-shortages/major-or-ongoing-medicine-shortages/about-changes-supply-insulin-products" TargetMode="External"/><Relationship Id="rId14" Type="http://schemas.openxmlformats.org/officeDocument/2006/relationships/hyperlink" Target="https://www.legislation.gov.au/F2024L01206/asmade/text" TargetMode="External"/><Relationship Id="rId22" Type="http://schemas.openxmlformats.org/officeDocument/2006/relationships/hyperlink" Target="https://www.tga.gov.au/safety/shortages/medicine-shortage-alerts/discontinuation-protaphane-innolet-insulin-cartridges-and-approval-substitute" TargetMode="External"/><Relationship Id="rId27" Type="http://schemas.openxmlformats.org/officeDocument/2006/relationships/hyperlink" Target="https://www.safetyandquality.gov.au/national-standards/nsqhs-standards/medication-safety-standard" TargetMode="External"/><Relationship Id="rId30" Type="http://schemas.openxmlformats.org/officeDocument/2006/relationships/hyperlink" Target="https://www.pbs.gov.au/pbs/home" TargetMode="External"/><Relationship Id="rId35" Type="http://schemas.openxmlformats.org/officeDocument/2006/relationships/hyperlink" Target="https://www.health.nsw.gov.au/sabs/Documents/2024-sn-035.pdf" TargetMode="External"/><Relationship Id="rId43" Type="http://schemas.openxmlformats.org/officeDocument/2006/relationships/hyperlink" Target="https://www.diabetesaustralia.com.au/wp-content/uploads/220145-Diabetes-Quick-Guides_insulin.pdf" TargetMode="External"/><Relationship Id="rId48" Type="http://schemas.openxmlformats.org/officeDocument/2006/relationships/hyperlink" Target="https://www.health.gov.au/resources/publications/guiding-principles-for-medication-management-in-the-community" TargetMode="External"/><Relationship Id="rId56" Type="http://schemas.openxmlformats.org/officeDocument/2006/relationships/hyperlink" Target="https://nadc.net.au/" TargetMode="External"/><Relationship Id="rId64"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diabetessociety.com.au/guideline/" TargetMode="External"/><Relationship Id="rId3" Type="http://schemas.openxmlformats.org/officeDocument/2006/relationships/customXml" Target="../customXml/item3.xml"/><Relationship Id="rId12" Type="http://schemas.openxmlformats.org/officeDocument/2006/relationships/hyperlink" Target="https://www.tga.gov.au/safety/shortages-and-supply-disruptions/medicine-shortages/accessing-medicines-during-shortage/serious-scarcity-substitution-instruments-sssis" TargetMode="External"/><Relationship Id="rId17" Type="http://schemas.openxmlformats.org/officeDocument/2006/relationships/hyperlink" Target="https://www.legislation.gov.au/F2024L01648/asmade/text" TargetMode="External"/><Relationship Id="rId25" Type="http://schemas.openxmlformats.org/officeDocument/2006/relationships/hyperlink" Target="https://www.safetyandquality.gov.au/resources/principles-safe-high-quality-transitions-care-fact-sheet" TargetMode="External"/><Relationship Id="rId33" Type="http://schemas.openxmlformats.org/officeDocument/2006/relationships/hyperlink" Target="https://www.safetyandquality.gov.au/resources/fact-sheet-5-health-literacy-supporting-staff-meet-health-literacy-needs" TargetMode="External"/><Relationship Id="rId38" Type="http://schemas.openxmlformats.org/officeDocument/2006/relationships/hyperlink" Target="https://www.tga.gov.au/safety/shortages-and-supply-disruptions/medicine-shortages/medicine-shortage-alerts/changes-supply-insulin-products" TargetMode="External"/><Relationship Id="rId46" Type="http://schemas.openxmlformats.org/officeDocument/2006/relationships/hyperlink" Target="https://www.safetyandquality.gov.au/standards/nsqhs-standards/medication-safety-standard" TargetMode="External"/><Relationship Id="rId59" Type="http://schemas.openxmlformats.org/officeDocument/2006/relationships/hyperlink" Target="https://practicesupport.org.au/web/assets/images/Factsheet_Protaphane-discontinuation.pdf" TargetMode="External"/><Relationship Id="rId67" Type="http://schemas.openxmlformats.org/officeDocument/2006/relationships/fontTable" Target="fontTable.xml"/><Relationship Id="rId20" Type="http://schemas.openxmlformats.org/officeDocument/2006/relationships/hyperlink" Target="https://www.safetyandquality.gov.au/resources/discontinuation-protaphaner-innoletr-strategies-and-safety-considerations" TargetMode="External"/><Relationship Id="rId41" Type="http://schemas.openxmlformats.org/officeDocument/2006/relationships/hyperlink" Target="https://cec.health.nsw.gov.au/therapeutics-safety/high-risk/insulin" TargetMode="External"/><Relationship Id="rId54" Type="http://schemas.openxmlformats.org/officeDocument/2006/relationships/hyperlink" Target="https://www.adips.org/information-for-health-care-providers-approved.asp"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tga.gov.au/safety/shortages-and-supply-disruptions/medicine-shortages/major-or-ongoing-medicine-shortages/about-changes-supply-insulin-products" TargetMode="External"/><Relationship Id="rId23" Type="http://schemas.openxmlformats.org/officeDocument/2006/relationships/hyperlink" Target="https://cec.health.nsw.gov.au/therapeutics-safety/high-risk/insulin" TargetMode="External"/><Relationship Id="rId28" Type="http://schemas.openxmlformats.org/officeDocument/2006/relationships/hyperlink" Target="https://www.safetyandquality.gov.au/national-standards/nsqhs-standards" TargetMode="External"/><Relationship Id="rId36" Type="http://schemas.openxmlformats.org/officeDocument/2006/relationships/hyperlink" Target="https://www.safetyandquality.gov.au/resources/safer-insulin-prescribing-guidance-australian-pharmacists" TargetMode="External"/><Relationship Id="rId49" Type="http://schemas.openxmlformats.org/officeDocument/2006/relationships/hyperlink" Target="https://www.safetyandquality.gov.au/resources/principles-safe-high-quality-transitions-care-fact-sheet" TargetMode="External"/><Relationship Id="rId57" Type="http://schemas.openxmlformats.org/officeDocument/2006/relationships/hyperlink" Target="https://www.health.nsw.gov.au/sabs/Documents/2024-sn-035.pdf" TargetMode="External"/><Relationship Id="rId10" Type="http://schemas.openxmlformats.org/officeDocument/2006/relationships/endnotes" Target="endnotes.xml"/><Relationship Id="rId31" Type="http://schemas.openxmlformats.org/officeDocument/2006/relationships/hyperlink" Target="https://www.safetyandquality.gov.au/resources/safer-insulin-prescribing-guidance-australian-pharmacists" TargetMode="External"/><Relationship Id="rId44" Type="http://schemas.openxmlformats.org/officeDocument/2006/relationships/hyperlink" Target="https://www.ndss.com.au/wp-content/uploads/fact-sheet-insulin.pdf" TargetMode="External"/><Relationship Id="rId52" Type="http://schemas.openxmlformats.org/officeDocument/2006/relationships/hyperlink" Target="https://anzsped.org/clinical-resources-links/guidelines-and-consensus-statements/" TargetMode="External"/><Relationship Id="rId60" Type="http://schemas.openxmlformats.org/officeDocument/2006/relationships/hyperlink" Target="https://www.tga.gov.au/safety/shortages/medicine-shortage-reports-database" TargetMode="External"/><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legislation.gov.au/F2024L01648/asmade/text" TargetMode="External"/><Relationship Id="rId18" Type="http://schemas.openxmlformats.org/officeDocument/2006/relationships/hyperlink" Target="https://www.legislation.gov.au/F2024L01206/asmade/text" TargetMode="External"/><Relationship Id="rId39" Type="http://schemas.openxmlformats.org/officeDocument/2006/relationships/hyperlink" Target="https://www.tga.gov.au/safety/shortages-and-supply-disruptions/medicine-shortages/major-or-ongoing-medicine-shortages/about-changes-supply-insulin-product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ENS\AppData\Roaming\Micro%20Focus\Content%20Manager\TRIM\TEMP\HPTRIM.9104\D25-28527%20%20Template%20-%20ACSQHC%20-%20Short%20form%20document%20-%20Corporate%20-%2015%20page%20max%20-%20July%202025.DOTX" TargetMode="External"/></Relationships>
</file>

<file path=word/theme/theme1.xml><?xml version="1.0" encoding="utf-8"?>
<a:theme xmlns:a="http://schemas.openxmlformats.org/drawingml/2006/main" name="Office Theme">
  <a:themeElements>
    <a:clrScheme name="SQH">
      <a:dk1>
        <a:srgbClr val="000000"/>
      </a:dk1>
      <a:lt1>
        <a:srgbClr val="FFFFFF"/>
      </a:lt1>
      <a:dk2>
        <a:srgbClr val="D3BBFD"/>
      </a:dk2>
      <a:lt2>
        <a:srgbClr val="F0E8FE"/>
      </a:lt2>
      <a:accent1>
        <a:srgbClr val="421A75"/>
      </a:accent1>
      <a:accent2>
        <a:srgbClr val="890014"/>
      </a:accent2>
      <a:accent3>
        <a:srgbClr val="004C6E"/>
      </a:accent3>
      <a:accent4>
        <a:srgbClr val="B58EFB"/>
      </a:accent4>
      <a:accent5>
        <a:srgbClr val="FF959A"/>
      </a:accent5>
      <a:accent6>
        <a:srgbClr val="6ECCD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498f89d-1eae-456b-90f1-fc78c5fe8b2a" xsi:nil="true"/>
    <lcf76f155ced4ddcb4097134ff3c332f xmlns="ac66711c-8613-4dde-a928-6bd510ab7da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743DCC77DB274DB22D4DDF53FCBF5F" ma:contentTypeVersion="19" ma:contentTypeDescription="Create a new document." ma:contentTypeScope="" ma:versionID="41766abdcb5c2a760298207a2a89c79f">
  <xsd:schema xmlns:xsd="http://www.w3.org/2001/XMLSchema" xmlns:xs="http://www.w3.org/2001/XMLSchema" xmlns:p="http://schemas.microsoft.com/office/2006/metadata/properties" xmlns:ns2="4498f89d-1eae-456b-90f1-fc78c5fe8b2a" xmlns:ns3="ac66711c-8613-4dde-a928-6bd510ab7da4" targetNamespace="http://schemas.microsoft.com/office/2006/metadata/properties" ma:root="true" ma:fieldsID="18ffefc133988b21c37714a1633b3c26" ns2:_="" ns3:_="">
    <xsd:import namespace="4498f89d-1eae-456b-90f1-fc78c5fe8b2a"/>
    <xsd:import namespace="ac66711c-8613-4dde-a928-6bd510ab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89d-1eae-456b-90f1-fc78c5fe8b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f5309-f60c-4adc-92cd-c2ac96d59903}" ma:internalName="TaxCatchAll" ma:showField="CatchAllData" ma:web="4498f89d-1eae-456b-90f1-fc78c5fe8b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6711c-8613-4dde-a928-6bd510ab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customXml/itemProps2.xml><?xml version="1.0" encoding="utf-8"?>
<ds:datastoreItem xmlns:ds="http://schemas.openxmlformats.org/officeDocument/2006/customXml" ds:itemID="{C8C21501-E60D-4FBE-B51F-1CE19C62A8C7}">
  <ds:schemaRefs>
    <ds:schemaRef ds:uri="http://schemas.microsoft.com/office/2006/metadata/properties"/>
    <ds:schemaRef ds:uri="http://schemas.microsoft.com/office/infopath/2007/PartnerControls"/>
    <ds:schemaRef ds:uri="4498f89d-1eae-456b-90f1-fc78c5fe8b2a"/>
    <ds:schemaRef ds:uri="ac66711c-8613-4dde-a928-6bd510ab7da4"/>
  </ds:schemaRefs>
</ds:datastoreItem>
</file>

<file path=customXml/itemProps3.xml><?xml version="1.0" encoding="utf-8"?>
<ds:datastoreItem xmlns:ds="http://schemas.openxmlformats.org/officeDocument/2006/customXml" ds:itemID="{DA50A5B0-6B8D-4F63-8392-FDD493C5F881}">
  <ds:schemaRefs>
    <ds:schemaRef ds:uri="http://schemas.microsoft.com/sharepoint/v3/contenttype/forms"/>
  </ds:schemaRefs>
</ds:datastoreItem>
</file>

<file path=customXml/itemProps4.xml><?xml version="1.0" encoding="utf-8"?>
<ds:datastoreItem xmlns:ds="http://schemas.openxmlformats.org/officeDocument/2006/customXml" ds:itemID="{193254A3-835C-425F-8727-35AB0A36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89d-1eae-456b-90f1-fc78c5fe8b2a"/>
    <ds:schemaRef ds:uri="ac66711c-8613-4dde-a928-6bd510ab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D25-28527  Template - ACSQHC - Short form document - Corporate - 15 page max - July 2025.DOTX</Template>
  <TotalTime>0</TotalTime>
  <Pages>8</Pages>
  <Words>2792</Words>
  <Characters>15915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HALENA, Stephanie</dc:creator>
  <cp:keywords/>
  <dc:description/>
  <cp:lastModifiedBy>JESSOP, Tommy</cp:lastModifiedBy>
  <cp:revision>2</cp:revision>
  <cp:lastPrinted>2025-06-04T00:50:00Z</cp:lastPrinted>
  <dcterms:created xsi:type="dcterms:W3CDTF">2026-07-12T22:40:00Z</dcterms:created>
  <dcterms:modified xsi:type="dcterms:W3CDTF">2026-07-12T22:40:00Z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3190500</vt:r8>
  </property>
  <property fmtid="{D5CDD505-2E9C-101B-9397-08002B2CF9AE}" pid="3" name="ContentTypeId">
    <vt:lpwstr>0x01010028743DCC77DB274DB22D4DDF53FCBF5F</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ClassificationContentMarkingHeaderShapeIds">
    <vt:lpwstr>1bd5f912,5258d99d,acc3320</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ClassificationContentMarkingFooterShapeIds">
    <vt:lpwstr>74f080a,474ec866,596e1a5a</vt:lpwstr>
  </property>
  <property fmtid="{D5CDD505-2E9C-101B-9397-08002B2CF9AE}" pid="12" name="ClassificationContentMarkingFooterFontProps">
    <vt:lpwstr>#ff0000,12,Aptos</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2026-06-15T00:08:17Z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a4d4f362-443a-4d69-b060-94032985e41e</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