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8844"/>
      </w:tblGrid>
      <w:tr w:rsidR="00C80AA9" w14:paraId="3EA7BD23" w14:textId="77777777" w:rsidTr="00073521">
        <w:trPr>
          <w:trHeight w:hRule="exact" w:val="2387"/>
        </w:trPr>
        <w:tc>
          <w:tcPr>
            <w:tcW w:w="8844" w:type="dxa"/>
            <w:vAlign w:val="center"/>
          </w:tcPr>
          <w:p w14:paraId="11888D77" w14:textId="74C8FB14" w:rsidR="00F21464" w:rsidRDefault="00073521" w:rsidP="005746D4">
            <w:pPr>
              <w:pStyle w:val="Title"/>
              <w:ind w:right="336"/>
            </w:pPr>
            <w:r>
              <w:t xml:space="preserve">Discontinuation of </w:t>
            </w:r>
            <w:proofErr w:type="spellStart"/>
            <w:r>
              <w:t>Protaphane</w:t>
            </w:r>
            <w:proofErr w:type="spellEnd"/>
            <w:r w:rsidRPr="00073521">
              <w:rPr>
                <w:vertAlign w:val="superscript"/>
              </w:rPr>
              <w:t>®</w:t>
            </w:r>
            <w:r>
              <w:t xml:space="preserve"> </w:t>
            </w:r>
            <w:proofErr w:type="spellStart"/>
            <w:r>
              <w:t>Innolet</w:t>
            </w:r>
            <w:proofErr w:type="spellEnd"/>
            <w:r w:rsidRPr="00073521">
              <w:rPr>
                <w:vertAlign w:val="superscript"/>
              </w:rPr>
              <w:t>®</w:t>
            </w:r>
            <w:r>
              <w:t xml:space="preserve"> (human isophane insulin)</w:t>
            </w:r>
          </w:p>
        </w:tc>
      </w:tr>
    </w:tbl>
    <w:tbl>
      <w:tblPr>
        <w:tblpPr w:leftFromText="180" w:rightFromText="180" w:vertAnchor="text" w:tblpY="419"/>
        <w:tblW w:w="0" w:type="auto"/>
        <w:tblCellMar>
          <w:top w:w="57" w:type="dxa"/>
          <w:left w:w="170" w:type="dxa"/>
          <w:bottom w:w="57" w:type="dxa"/>
          <w:right w:w="170" w:type="dxa"/>
        </w:tblCellMar>
        <w:tblLook w:val="04A0" w:firstRow="1" w:lastRow="0" w:firstColumn="1" w:lastColumn="0" w:noHBand="0" w:noVBand="1"/>
      </w:tblPr>
      <w:tblGrid>
        <w:gridCol w:w="8814"/>
      </w:tblGrid>
      <w:tr w:rsidR="00073521" w14:paraId="41E636A8" w14:textId="77777777" w:rsidTr="00073521">
        <w:tc>
          <w:tcPr>
            <w:tcW w:w="8814" w:type="dxa"/>
            <w:tcBorders>
              <w:right w:val="single" w:sz="24" w:space="0" w:color="F0E8FE" w:themeColor="background2"/>
            </w:tcBorders>
            <w:shd w:val="clear" w:color="auto" w:fill="F0E8FE" w:themeFill="background2"/>
          </w:tcPr>
          <w:p w14:paraId="03AC94A6" w14:textId="655A57A9" w:rsidR="00073521" w:rsidRPr="006105B6" w:rsidRDefault="00BA7DEB" w:rsidP="00073521">
            <w:pPr>
              <w:pStyle w:val="BoxHeading"/>
              <w:rPr>
                <w:sz w:val="30"/>
                <w:szCs w:val="30"/>
              </w:rPr>
            </w:pPr>
            <w:r w:rsidRPr="006105B6">
              <w:rPr>
                <w:sz w:val="30"/>
                <w:szCs w:val="30"/>
              </w:rPr>
              <w:t>Key messages</w:t>
            </w:r>
          </w:p>
          <w:p w14:paraId="5E8E561C" w14:textId="0596D20A" w:rsidR="00B8312D" w:rsidRDefault="00B8312D" w:rsidP="00B8312D">
            <w:pPr>
              <w:pStyle w:val="ListParagraph"/>
              <w:numPr>
                <w:ilvl w:val="0"/>
                <w:numId w:val="7"/>
              </w:numPr>
            </w:pPr>
            <w:r>
              <w:t xml:space="preserve">The Therapeutic Goods Administration (TGA) has advised on </w:t>
            </w:r>
            <w:hyperlink r:id="rId11" w:history="1">
              <w:r w:rsidRPr="005472C5">
                <w:rPr>
                  <w:rStyle w:val="Hyperlink"/>
                </w:rPr>
                <w:t>changes to the supply of multiple insulin medicines</w:t>
              </w:r>
            </w:hyperlink>
            <w:r w:rsidR="002F4DA1">
              <w:t>.</w:t>
            </w:r>
            <w:r w:rsidRPr="00710AA4">
              <w:t xml:space="preserve"> </w:t>
            </w:r>
          </w:p>
          <w:p w14:paraId="158A685C" w14:textId="289C9D81" w:rsidR="00B8312D" w:rsidRDefault="00B8312D" w:rsidP="00B8312D">
            <w:pPr>
              <w:pStyle w:val="ListParagraph"/>
              <w:numPr>
                <w:ilvl w:val="0"/>
                <w:numId w:val="7"/>
              </w:numPr>
              <w:spacing w:after="0"/>
            </w:pPr>
            <w:r>
              <w:t xml:space="preserve">The TGA advised that </w:t>
            </w:r>
            <w:proofErr w:type="spellStart"/>
            <w:r w:rsidRPr="006B7E7C">
              <w:t>Protaphane</w:t>
            </w:r>
            <w:proofErr w:type="spellEnd"/>
            <w:r w:rsidRPr="00686AD5">
              <w:rPr>
                <w:vertAlign w:val="superscript"/>
              </w:rPr>
              <w:t>®</w:t>
            </w:r>
            <w:r w:rsidRPr="006B7E7C">
              <w:t xml:space="preserve"> </w:t>
            </w:r>
            <w:proofErr w:type="spellStart"/>
            <w:r w:rsidRPr="006B7E7C">
              <w:t>InnoLet</w:t>
            </w:r>
            <w:proofErr w:type="spellEnd"/>
            <w:r w:rsidRPr="00686AD5">
              <w:rPr>
                <w:vertAlign w:val="superscript"/>
              </w:rPr>
              <w:t>®</w:t>
            </w:r>
            <w:r w:rsidRPr="006B7E7C">
              <w:t xml:space="preserve"> 100 IU/mL injection multidose cartridge w</w:t>
            </w:r>
            <w:r w:rsidR="002F4DA1">
              <w:t>as</w:t>
            </w:r>
            <w:r w:rsidRPr="006B7E7C">
              <w:t xml:space="preserve"> discontinue</w:t>
            </w:r>
            <w:r w:rsidR="002F4DA1">
              <w:t>d</w:t>
            </w:r>
            <w:r>
              <w:t xml:space="preserve"> on 1 February 2025.</w:t>
            </w:r>
          </w:p>
          <w:p w14:paraId="79D25262" w14:textId="77777777" w:rsidR="00B8312D" w:rsidRDefault="00B8312D" w:rsidP="00B8312D">
            <w:pPr>
              <w:pStyle w:val="ListParagraph"/>
              <w:numPr>
                <w:ilvl w:val="0"/>
                <w:numId w:val="7"/>
              </w:numPr>
            </w:pPr>
            <w:r>
              <w:t>People with diabetes</w:t>
            </w:r>
            <w:r w:rsidRPr="0097012A">
              <w:t xml:space="preserve"> </w:t>
            </w:r>
            <w:r>
              <w:t xml:space="preserve">requiring ongoing insulin therapy and currently using </w:t>
            </w:r>
            <w:proofErr w:type="spellStart"/>
            <w:r>
              <w:t>Protaphane</w:t>
            </w:r>
            <w:proofErr w:type="spellEnd"/>
            <w:r w:rsidRPr="00100B19">
              <w:rPr>
                <w:rFonts w:cs="Arial"/>
                <w:vertAlign w:val="superscript"/>
              </w:rPr>
              <w:t>®</w:t>
            </w:r>
            <w:r>
              <w:t xml:space="preserve"> </w:t>
            </w:r>
            <w:proofErr w:type="spellStart"/>
            <w:r>
              <w:t>InnoLet</w:t>
            </w:r>
            <w:proofErr w:type="spellEnd"/>
            <w:r w:rsidRPr="00100B19">
              <w:rPr>
                <w:rFonts w:cs="Arial"/>
                <w:vertAlign w:val="superscript"/>
              </w:rPr>
              <w:t>®</w:t>
            </w:r>
            <w:r>
              <w:t xml:space="preserve"> </w:t>
            </w:r>
            <w:r w:rsidRPr="0097012A">
              <w:t>will need to be switched to an appropriate alternative insulin preparation.</w:t>
            </w:r>
            <w:r>
              <w:t xml:space="preserve"> </w:t>
            </w:r>
            <w:r w:rsidRPr="00291AB4">
              <w:t>The changeover requires careful management to ensure patient safety.</w:t>
            </w:r>
          </w:p>
          <w:p w14:paraId="14AF65F3" w14:textId="77777777" w:rsidR="00B8312D" w:rsidRDefault="00B8312D" w:rsidP="00B8312D">
            <w:pPr>
              <w:pStyle w:val="ListParagraph"/>
              <w:numPr>
                <w:ilvl w:val="0"/>
                <w:numId w:val="7"/>
              </w:numPr>
            </w:pPr>
            <w:r>
              <w:t xml:space="preserve">Applying a safe prescribing checklist helps to mitigate risk when managing changes between insulin products. See Guidance - </w:t>
            </w:r>
            <w:hyperlink r:id="rId12" w:history="1">
              <w:r w:rsidRPr="00FF5EE3">
                <w:rPr>
                  <w:rStyle w:val="Hyperlink"/>
                </w:rPr>
                <w:t>Discontinuation of insulin products: Strategies and safety considerations</w:t>
              </w:r>
            </w:hyperlink>
          </w:p>
          <w:p w14:paraId="27E6E7EE" w14:textId="0F0E8D9F" w:rsidR="00B8312D" w:rsidRDefault="00B8312D" w:rsidP="00B8312D">
            <w:pPr>
              <w:pStyle w:val="ListParagraph"/>
              <w:numPr>
                <w:ilvl w:val="0"/>
                <w:numId w:val="7"/>
              </w:numPr>
              <w:spacing w:after="0"/>
            </w:pPr>
            <w:r>
              <w:t xml:space="preserve">The TGA has issued a </w:t>
            </w:r>
            <w:hyperlink r:id="rId13" w:history="1">
              <w:r w:rsidRPr="00222444">
                <w:rPr>
                  <w:rStyle w:val="Hyperlink"/>
                </w:rPr>
                <w:t>Serious Scarcity Substitution Instrument (SSSI)</w:t>
              </w:r>
            </w:hyperlink>
            <w:r>
              <w:t xml:space="preserve"> for </w:t>
            </w:r>
            <w:r w:rsidRPr="006B7E7C">
              <w:t>Protaphane</w:t>
            </w:r>
            <w:r w:rsidRPr="002F4DA1">
              <w:rPr>
                <w:vertAlign w:val="superscript"/>
              </w:rPr>
              <w:t>®</w:t>
            </w:r>
            <w:r w:rsidRPr="006B7E7C">
              <w:t xml:space="preserve"> InnoLet</w:t>
            </w:r>
            <w:r w:rsidRPr="002F4DA1">
              <w:rPr>
                <w:vertAlign w:val="superscript"/>
              </w:rPr>
              <w:t>®</w:t>
            </w:r>
            <w:r>
              <w:t xml:space="preserve"> which allows community pharmacists to substitute Protaphane</w:t>
            </w:r>
            <w:r w:rsidRPr="00100B19">
              <w:rPr>
                <w:rFonts w:cs="Arial"/>
                <w:vertAlign w:val="superscript"/>
              </w:rPr>
              <w:t>®</w:t>
            </w:r>
            <w:r>
              <w:t xml:space="preserve"> InnoLet</w:t>
            </w:r>
            <w:r w:rsidRPr="00100B19">
              <w:rPr>
                <w:rFonts w:cs="Arial"/>
                <w:vertAlign w:val="superscript"/>
              </w:rPr>
              <w:t>®</w:t>
            </w:r>
            <w:r>
              <w:t xml:space="preserve"> insulin cartridges to Protaphane</w:t>
            </w:r>
            <w:r w:rsidRPr="00100B19">
              <w:rPr>
                <w:rFonts w:cs="Arial"/>
                <w:vertAlign w:val="superscript"/>
              </w:rPr>
              <w:t>®</w:t>
            </w:r>
            <w:r>
              <w:t xml:space="preserve"> Penfill</w:t>
            </w:r>
            <w:r w:rsidRPr="00100B19">
              <w:rPr>
                <w:rFonts w:cs="Arial"/>
                <w:vertAlign w:val="superscript"/>
              </w:rPr>
              <w:t>®</w:t>
            </w:r>
            <w:r>
              <w:t xml:space="preserve"> without prior approval from the prescriber, under specific conditions.</w:t>
            </w:r>
          </w:p>
          <w:p w14:paraId="0ECF4DBE" w14:textId="605C6854" w:rsidR="00073521" w:rsidRDefault="00B8312D" w:rsidP="00B8312D">
            <w:hyperlink r:id="rId14" w:history="1">
              <w:r w:rsidRPr="00FF5EE3">
                <w:rPr>
                  <w:rStyle w:val="Hyperlink"/>
                </w:rPr>
                <w:t xml:space="preserve">Guidance - Discontinuation of insulin products: Strategies and safety considerations </w:t>
              </w:r>
            </w:hyperlink>
            <w:r>
              <w:t xml:space="preserve"> provides more information for clinicians about transitioning people with diabetes </w:t>
            </w:r>
            <w:r w:rsidRPr="00EA0552">
              <w:t>to alternative insulin products.</w:t>
            </w:r>
          </w:p>
        </w:tc>
      </w:tr>
    </w:tbl>
    <w:p w14:paraId="29D209A9" w14:textId="55DA689E" w:rsidR="00595909" w:rsidRDefault="006105B6" w:rsidP="002A1211">
      <w:pPr>
        <w:pStyle w:val="Heading1"/>
      </w:pPr>
      <w:r>
        <w:t>Purpose</w:t>
      </w:r>
    </w:p>
    <w:p w14:paraId="7831058C" w14:textId="027E4817" w:rsidR="00935823" w:rsidRDefault="00935823" w:rsidP="00935823">
      <w:pPr>
        <w:rPr>
          <w:rFonts w:cs="Arial"/>
          <w:color w:val="000000"/>
          <w:lang w:eastAsia="en-GB"/>
        </w:rPr>
      </w:pPr>
      <w:r w:rsidRPr="00745934">
        <w:rPr>
          <w:rFonts w:cs="Arial"/>
          <w:color w:val="000000"/>
          <w:lang w:eastAsia="en-GB"/>
        </w:rPr>
        <w:t xml:space="preserve">This fact sheet has been developed by the Australian Commission on Safety and Quality in Health Care (the Commission) to </w:t>
      </w:r>
      <w:r w:rsidR="0084690D">
        <w:rPr>
          <w:rFonts w:cs="Arial"/>
          <w:color w:val="000000"/>
          <w:lang w:eastAsia="en-GB"/>
        </w:rPr>
        <w:t xml:space="preserve">support </w:t>
      </w:r>
      <w:r w:rsidRPr="00745934">
        <w:rPr>
          <w:rFonts w:cs="Arial"/>
          <w:color w:val="000000"/>
          <w:lang w:eastAsia="en-GB"/>
        </w:rPr>
        <w:t>clinicians</w:t>
      </w:r>
      <w:r w:rsidR="0084690D">
        <w:rPr>
          <w:rFonts w:cs="Arial"/>
          <w:color w:val="000000"/>
          <w:lang w:eastAsia="en-GB"/>
        </w:rPr>
        <w:t xml:space="preserve"> in delivering </w:t>
      </w:r>
      <w:r w:rsidRPr="00745934">
        <w:rPr>
          <w:rFonts w:cs="Arial"/>
          <w:color w:val="000000"/>
          <w:lang w:eastAsia="en-GB"/>
        </w:rPr>
        <w:t>safe and</w:t>
      </w:r>
      <w:r w:rsidR="0084690D">
        <w:rPr>
          <w:rFonts w:cs="Arial"/>
          <w:color w:val="000000"/>
          <w:lang w:eastAsia="en-GB"/>
        </w:rPr>
        <w:t xml:space="preserve"> high-</w:t>
      </w:r>
      <w:r w:rsidRPr="00745934">
        <w:rPr>
          <w:rFonts w:cs="Arial"/>
          <w:color w:val="000000"/>
          <w:lang w:eastAsia="en-GB"/>
        </w:rPr>
        <w:t>quality care during the discontinuation of Protaphane</w:t>
      </w:r>
      <w:r w:rsidRPr="00C87641">
        <w:rPr>
          <w:vertAlign w:val="superscript"/>
        </w:rPr>
        <w:t>®</w:t>
      </w:r>
      <w:r w:rsidRPr="00745934">
        <w:rPr>
          <w:rFonts w:cs="Arial"/>
          <w:color w:val="000000"/>
          <w:lang w:eastAsia="en-GB"/>
        </w:rPr>
        <w:t xml:space="preserve"> InnoLet</w:t>
      </w:r>
      <w:r w:rsidRPr="00C87641">
        <w:rPr>
          <w:vertAlign w:val="superscript"/>
        </w:rPr>
        <w:t>®</w:t>
      </w:r>
      <w:r w:rsidRPr="00745934">
        <w:rPr>
          <w:rFonts w:cs="Arial"/>
          <w:color w:val="000000"/>
          <w:lang w:eastAsia="en-GB"/>
        </w:rPr>
        <w:t xml:space="preserve"> insulin cartridges in Australia. The fact sheet focuses on actions to mitigate risks associated with changing or switching from Protaphane</w:t>
      </w:r>
      <w:r w:rsidRPr="00C87641">
        <w:rPr>
          <w:vertAlign w:val="superscript"/>
        </w:rPr>
        <w:t>®</w:t>
      </w:r>
      <w:r w:rsidRPr="00745934">
        <w:rPr>
          <w:rFonts w:cs="Arial"/>
          <w:color w:val="000000"/>
          <w:lang w:eastAsia="en-GB"/>
        </w:rPr>
        <w:t xml:space="preserve"> InnoLet</w:t>
      </w:r>
      <w:r w:rsidRPr="00C87641">
        <w:rPr>
          <w:vertAlign w:val="superscript"/>
        </w:rPr>
        <w:t>®</w:t>
      </w:r>
      <w:r w:rsidRPr="00745934">
        <w:rPr>
          <w:rFonts w:cs="Arial"/>
          <w:color w:val="000000"/>
          <w:lang w:eastAsia="en-GB"/>
        </w:rPr>
        <w:t>. It does not provide any clinical guidance on Protaphane</w:t>
      </w:r>
      <w:r w:rsidRPr="00C87641">
        <w:rPr>
          <w:vertAlign w:val="superscript"/>
        </w:rPr>
        <w:t>®</w:t>
      </w:r>
      <w:r w:rsidRPr="00745934">
        <w:rPr>
          <w:rFonts w:cs="Arial"/>
          <w:color w:val="000000"/>
          <w:lang w:eastAsia="en-GB"/>
        </w:rPr>
        <w:t xml:space="preserve"> InnoLet</w:t>
      </w:r>
      <w:r w:rsidRPr="00C87641">
        <w:rPr>
          <w:vertAlign w:val="superscript"/>
        </w:rPr>
        <w:t>®</w:t>
      </w:r>
      <w:r w:rsidRPr="00745934">
        <w:rPr>
          <w:rFonts w:cs="Arial"/>
          <w:color w:val="000000"/>
          <w:lang w:eastAsia="en-GB"/>
        </w:rPr>
        <w:t xml:space="preserve"> use.</w:t>
      </w:r>
    </w:p>
    <w:p w14:paraId="7C015C32" w14:textId="03AC7893" w:rsidR="006105B6" w:rsidRDefault="00743B9E" w:rsidP="00743B9E">
      <w:pPr>
        <w:pStyle w:val="Heading1"/>
      </w:pPr>
      <w:r>
        <w:t>Insulin isophane</w:t>
      </w:r>
    </w:p>
    <w:p w14:paraId="70B169EA" w14:textId="77777777" w:rsidR="00470AB3" w:rsidRDefault="00470AB3" w:rsidP="00470AB3">
      <w:pPr>
        <w:rPr>
          <w:rFonts w:cs="Arial"/>
          <w:color w:val="000000"/>
          <w:lang w:eastAsia="en-GB"/>
        </w:rPr>
      </w:pPr>
      <w:r w:rsidRPr="00604921">
        <w:rPr>
          <w:rFonts w:cs="Arial"/>
          <w:color w:val="000000"/>
          <w:lang w:eastAsia="en-GB"/>
        </w:rPr>
        <w:t xml:space="preserve">Human isophane insulin is an intermediate acting insulin with onset of action within </w:t>
      </w:r>
      <w:r>
        <w:rPr>
          <w:rFonts w:cs="Arial"/>
          <w:color w:val="000000"/>
          <w:lang w:eastAsia="en-GB"/>
        </w:rPr>
        <w:t>60 minutes</w:t>
      </w:r>
      <w:r w:rsidRPr="00604921">
        <w:rPr>
          <w:rFonts w:cs="Arial"/>
          <w:color w:val="000000"/>
          <w:lang w:eastAsia="en-GB"/>
        </w:rPr>
        <w:t xml:space="preserve"> and reaching a maximum effect within 4 to 12 hours. The duration of action is approximately 24 hours.</w:t>
      </w:r>
    </w:p>
    <w:p w14:paraId="61393A2E" w14:textId="77777777" w:rsidR="00470AB3" w:rsidRDefault="00470AB3" w:rsidP="00470AB3">
      <w:pPr>
        <w:rPr>
          <w:rFonts w:cs="Arial"/>
          <w:color w:val="000000"/>
          <w:lang w:eastAsia="en-GB"/>
        </w:rPr>
      </w:pPr>
      <w:r w:rsidRPr="00466684">
        <w:rPr>
          <w:rFonts w:cs="Arial"/>
          <w:color w:val="000000"/>
          <w:lang w:eastAsia="en-GB"/>
        </w:rPr>
        <w:lastRenderedPageBreak/>
        <w:t xml:space="preserve">In Australia, insulin isophane is available in vials, prefilled insulin devices and </w:t>
      </w:r>
      <w:r>
        <w:rPr>
          <w:rFonts w:cs="Arial"/>
          <w:color w:val="000000"/>
          <w:lang w:eastAsia="en-GB"/>
        </w:rPr>
        <w:t>P</w:t>
      </w:r>
      <w:r w:rsidRPr="00466684">
        <w:rPr>
          <w:rFonts w:cs="Arial"/>
          <w:color w:val="000000"/>
          <w:lang w:eastAsia="en-GB"/>
        </w:rPr>
        <w:t>enfill</w:t>
      </w:r>
      <w:r w:rsidRPr="00C87641">
        <w:rPr>
          <w:vertAlign w:val="superscript"/>
        </w:rPr>
        <w:t>®</w:t>
      </w:r>
      <w:r w:rsidRPr="00466684">
        <w:rPr>
          <w:rFonts w:cs="Arial"/>
          <w:color w:val="000000"/>
          <w:lang w:eastAsia="en-GB"/>
        </w:rPr>
        <w:t>/pen cartridge formulations at 100 IU/mL marketed as Protaphane</w:t>
      </w:r>
      <w:r w:rsidRPr="00AF6A44">
        <w:rPr>
          <w:rFonts w:cs="Arial"/>
          <w:color w:val="000000"/>
          <w:vertAlign w:val="superscript"/>
          <w:lang w:eastAsia="en-GB"/>
        </w:rPr>
        <w:t>®</w:t>
      </w:r>
      <w:r w:rsidRPr="00466684">
        <w:rPr>
          <w:rFonts w:cs="Arial"/>
          <w:color w:val="000000"/>
          <w:lang w:eastAsia="en-GB"/>
        </w:rPr>
        <w:t xml:space="preserve"> (Novo Nordisk) and Humulin</w:t>
      </w:r>
      <w:r w:rsidRPr="00C87641">
        <w:rPr>
          <w:vertAlign w:val="superscript"/>
        </w:rPr>
        <w:t>®</w:t>
      </w:r>
      <w:r w:rsidRPr="00466684">
        <w:rPr>
          <w:rFonts w:cs="Arial"/>
          <w:color w:val="000000"/>
          <w:lang w:eastAsia="en-GB"/>
        </w:rPr>
        <w:t xml:space="preserve"> NPH (Eli Lilly).</w:t>
      </w:r>
      <w:r>
        <w:rPr>
          <w:rFonts w:cs="Arial"/>
          <w:color w:val="000000"/>
          <w:lang w:eastAsia="en-GB"/>
        </w:rPr>
        <w:t xml:space="preserve"> </w:t>
      </w:r>
    </w:p>
    <w:p w14:paraId="6B79E06F" w14:textId="7F5282DC" w:rsidR="00470AB3" w:rsidRDefault="00470AB3" w:rsidP="00470AB3">
      <w:pPr>
        <w:rPr>
          <w:rFonts w:cs="Arial"/>
          <w:color w:val="000000"/>
          <w:lang w:eastAsia="en-GB"/>
        </w:rPr>
      </w:pPr>
      <w:bookmarkStart w:id="0" w:name="_Hlk185341411"/>
      <w:r w:rsidRPr="0003708C">
        <w:rPr>
          <w:rFonts w:cs="Arial"/>
          <w:color w:val="000000"/>
          <w:lang w:eastAsia="en-GB"/>
        </w:rPr>
        <w:t>Protaphane</w:t>
      </w:r>
      <w:r w:rsidRPr="00C87641">
        <w:rPr>
          <w:vertAlign w:val="superscript"/>
        </w:rPr>
        <w:t>®</w:t>
      </w:r>
      <w:r w:rsidRPr="0003708C">
        <w:rPr>
          <w:rFonts w:cs="Arial"/>
          <w:color w:val="000000"/>
          <w:lang w:eastAsia="en-GB"/>
        </w:rPr>
        <w:t xml:space="preserve"> InnoLet</w:t>
      </w:r>
      <w:r w:rsidRPr="00C87641">
        <w:rPr>
          <w:vertAlign w:val="superscript"/>
        </w:rPr>
        <w:t>®</w:t>
      </w:r>
      <w:r w:rsidRPr="0003708C">
        <w:rPr>
          <w:rFonts w:cs="Arial"/>
          <w:color w:val="000000"/>
          <w:lang w:eastAsia="en-GB"/>
        </w:rPr>
        <w:t xml:space="preserve"> (human isophane insulin</w:t>
      </w:r>
      <w:bookmarkEnd w:id="0"/>
      <w:r w:rsidRPr="0003708C">
        <w:rPr>
          <w:rFonts w:cs="Arial"/>
          <w:color w:val="000000"/>
          <w:lang w:eastAsia="en-GB"/>
        </w:rPr>
        <w:t>, 100 units/mL injection in a 3 mL pen device), w</w:t>
      </w:r>
      <w:r w:rsidR="009F3D3A">
        <w:rPr>
          <w:rFonts w:cs="Arial"/>
          <w:color w:val="000000"/>
          <w:lang w:eastAsia="en-GB"/>
        </w:rPr>
        <w:t>as</w:t>
      </w:r>
      <w:r w:rsidRPr="0003708C">
        <w:rPr>
          <w:rFonts w:cs="Arial"/>
          <w:color w:val="000000"/>
          <w:lang w:eastAsia="en-GB"/>
        </w:rPr>
        <w:t xml:space="preserve"> discontinued in February 2025. The Protaphane</w:t>
      </w:r>
      <w:r w:rsidRPr="00C87641">
        <w:rPr>
          <w:vertAlign w:val="superscript"/>
        </w:rPr>
        <w:t>®</w:t>
      </w:r>
      <w:r w:rsidRPr="0003708C">
        <w:rPr>
          <w:rFonts w:cs="Arial"/>
          <w:color w:val="000000"/>
          <w:lang w:eastAsia="en-GB"/>
        </w:rPr>
        <w:t xml:space="preserve"> Penfill</w:t>
      </w:r>
      <w:r w:rsidRPr="00C87641">
        <w:rPr>
          <w:vertAlign w:val="superscript"/>
        </w:rPr>
        <w:t>®</w:t>
      </w:r>
      <w:r w:rsidRPr="0003708C">
        <w:rPr>
          <w:rFonts w:cs="Arial"/>
          <w:color w:val="000000"/>
          <w:lang w:eastAsia="en-GB"/>
        </w:rPr>
        <w:t xml:space="preserve"> 3 mL cartridges </w:t>
      </w:r>
      <w:r>
        <w:rPr>
          <w:rFonts w:cs="Arial"/>
          <w:color w:val="000000"/>
          <w:lang w:eastAsia="en-GB"/>
        </w:rPr>
        <w:t>will be discontinued in</w:t>
      </w:r>
      <w:r w:rsidRPr="0003708C">
        <w:rPr>
          <w:rFonts w:cs="Arial"/>
          <w:color w:val="000000"/>
          <w:lang w:eastAsia="en-GB"/>
        </w:rPr>
        <w:t xml:space="preserve"> December 2026</w:t>
      </w:r>
      <w:r>
        <w:rPr>
          <w:rFonts w:cs="Arial"/>
          <w:color w:val="000000"/>
          <w:lang w:eastAsia="en-GB"/>
        </w:rPr>
        <w:t xml:space="preserve"> and the Humulin</w:t>
      </w:r>
      <w:r w:rsidRPr="006B7E7C">
        <w:rPr>
          <w:rFonts w:cs="Arial"/>
          <w:color w:val="000000"/>
          <w:vertAlign w:val="superscript"/>
          <w:lang w:eastAsia="en-GB"/>
        </w:rPr>
        <w:t>®</w:t>
      </w:r>
      <w:r>
        <w:rPr>
          <w:rFonts w:cs="Arial"/>
          <w:color w:val="000000"/>
          <w:lang w:eastAsia="en-GB"/>
        </w:rPr>
        <w:t xml:space="preserve"> NPH 10 mL vials will be discontinued in August 2026.</w:t>
      </w:r>
    </w:p>
    <w:p w14:paraId="3DA3E77A" w14:textId="0E6B81B1" w:rsidR="00470AB3" w:rsidRDefault="00470AB3" w:rsidP="00470AB3">
      <w:pPr>
        <w:rPr>
          <w:rFonts w:cs="Arial"/>
          <w:color w:val="000000"/>
          <w:lang w:eastAsia="en-GB"/>
        </w:rPr>
      </w:pPr>
      <w:r w:rsidRPr="00E346CC">
        <w:rPr>
          <w:rFonts w:cs="Arial"/>
          <w:color w:val="000000"/>
          <w:lang w:eastAsia="en-GB"/>
        </w:rPr>
        <w:t>The InnoLet</w:t>
      </w:r>
      <w:r w:rsidRPr="00C87641">
        <w:rPr>
          <w:vertAlign w:val="superscript"/>
        </w:rPr>
        <w:t>®</w:t>
      </w:r>
      <w:r w:rsidRPr="00E346CC">
        <w:rPr>
          <w:rFonts w:cs="Arial"/>
          <w:color w:val="000000"/>
          <w:lang w:eastAsia="en-GB"/>
        </w:rPr>
        <w:t xml:space="preserve"> delivery device was </w:t>
      </w:r>
      <w:r>
        <w:rPr>
          <w:rFonts w:cs="Arial"/>
          <w:color w:val="000000"/>
          <w:lang w:eastAsia="en-GB"/>
        </w:rPr>
        <w:t xml:space="preserve">particularly </w:t>
      </w:r>
      <w:r w:rsidR="0084690D">
        <w:rPr>
          <w:rFonts w:cs="Arial"/>
          <w:color w:val="000000"/>
          <w:lang w:eastAsia="en-GB"/>
        </w:rPr>
        <w:t>beneficial</w:t>
      </w:r>
      <w:r w:rsidRPr="00E346CC">
        <w:rPr>
          <w:rFonts w:cs="Arial"/>
          <w:color w:val="000000"/>
          <w:lang w:eastAsia="en-GB"/>
        </w:rPr>
        <w:t xml:space="preserve"> for people with a visual or physical impairment</w:t>
      </w:r>
      <w:r w:rsidR="0084690D">
        <w:rPr>
          <w:rFonts w:cs="Arial"/>
          <w:color w:val="000000"/>
          <w:lang w:eastAsia="en-GB"/>
        </w:rPr>
        <w:t xml:space="preserve">s, enabling them to select and administer </w:t>
      </w:r>
      <w:r w:rsidRPr="00E346CC">
        <w:rPr>
          <w:rFonts w:cs="Arial"/>
          <w:color w:val="000000"/>
          <w:lang w:eastAsia="en-GB"/>
        </w:rPr>
        <w:t xml:space="preserve">insulin doses. It is a pre-filled pen which delivers 1 to 50 units in increments of </w:t>
      </w:r>
      <w:r>
        <w:rPr>
          <w:rFonts w:cs="Arial"/>
          <w:color w:val="000000"/>
          <w:lang w:eastAsia="en-GB"/>
        </w:rPr>
        <w:t>one</w:t>
      </w:r>
      <w:r w:rsidRPr="00E346CC">
        <w:rPr>
          <w:rFonts w:cs="Arial"/>
          <w:color w:val="000000"/>
          <w:lang w:eastAsia="en-GB"/>
        </w:rPr>
        <w:t xml:space="preserve"> unit. It comprises </w:t>
      </w:r>
      <w:r w:rsidR="0084690D">
        <w:rPr>
          <w:rFonts w:cs="Arial"/>
          <w:color w:val="000000"/>
          <w:lang w:eastAsia="en-GB"/>
        </w:rPr>
        <w:t xml:space="preserve">of </w:t>
      </w:r>
      <w:r w:rsidRPr="00E346CC">
        <w:rPr>
          <w:rFonts w:cs="Arial"/>
          <w:color w:val="000000"/>
          <w:lang w:eastAsia="en-GB"/>
        </w:rPr>
        <w:t xml:space="preserve">a pre-filled insulin reservoir and a dial with numbers and </w:t>
      </w:r>
      <w:r w:rsidR="0084690D">
        <w:rPr>
          <w:rFonts w:cs="Arial"/>
          <w:color w:val="000000"/>
          <w:lang w:eastAsia="en-GB"/>
        </w:rPr>
        <w:t xml:space="preserve">produces </w:t>
      </w:r>
      <w:r w:rsidRPr="00E346CC">
        <w:rPr>
          <w:rFonts w:cs="Arial"/>
          <w:color w:val="000000"/>
          <w:lang w:eastAsia="en-GB"/>
        </w:rPr>
        <w:t xml:space="preserve">an audible click </w:t>
      </w:r>
      <w:r w:rsidR="0084690D">
        <w:rPr>
          <w:rFonts w:cs="Arial"/>
          <w:color w:val="000000"/>
          <w:lang w:eastAsia="en-GB"/>
        </w:rPr>
        <w:t xml:space="preserve">with </w:t>
      </w:r>
      <w:r w:rsidRPr="00E346CC">
        <w:rPr>
          <w:rFonts w:cs="Arial"/>
          <w:color w:val="000000"/>
          <w:lang w:eastAsia="en-GB"/>
        </w:rPr>
        <w:t>each</w:t>
      </w:r>
      <w:r w:rsidR="0084690D">
        <w:rPr>
          <w:rFonts w:cs="Arial"/>
          <w:color w:val="000000"/>
          <w:lang w:eastAsia="en-GB"/>
        </w:rPr>
        <w:t xml:space="preserve"> incremental </w:t>
      </w:r>
      <w:r w:rsidRPr="00E346CC">
        <w:rPr>
          <w:rFonts w:cs="Arial"/>
          <w:color w:val="000000"/>
          <w:lang w:eastAsia="en-GB"/>
        </w:rPr>
        <w:t>dial move</w:t>
      </w:r>
      <w:r w:rsidR="0084690D">
        <w:rPr>
          <w:rFonts w:cs="Arial"/>
          <w:color w:val="000000"/>
          <w:lang w:eastAsia="en-GB"/>
        </w:rPr>
        <w:t>ment, providing an additional confirmation of dose selection</w:t>
      </w:r>
      <w:r w:rsidRPr="00E346CC">
        <w:rPr>
          <w:rFonts w:cs="Arial"/>
          <w:color w:val="000000"/>
          <w:lang w:eastAsia="en-GB"/>
        </w:rPr>
        <w:t>.</w:t>
      </w:r>
      <w:r w:rsidR="00A67381">
        <w:rPr>
          <w:rFonts w:cs="Arial"/>
          <w:color w:val="000000"/>
          <w:lang w:eastAsia="en-GB"/>
        </w:rPr>
        <w:t xml:space="preserve"> </w:t>
      </w:r>
      <w:r w:rsidRPr="00E346CC">
        <w:rPr>
          <w:rFonts w:cs="Arial"/>
          <w:color w:val="000000"/>
          <w:lang w:eastAsia="en-GB"/>
        </w:rPr>
        <w:t>The dial is turned to the number of units to be delivered, and the top of the device is pressed to administer the dose, after which the dial returns to zero.</w:t>
      </w:r>
    </w:p>
    <w:p w14:paraId="53F4158D" w14:textId="77777777" w:rsidR="00470AB3" w:rsidRPr="00014F30" w:rsidRDefault="00470AB3" w:rsidP="00470AB3">
      <w:pPr>
        <w:rPr>
          <w:rFonts w:cs="Arial"/>
          <w:color w:val="000000"/>
          <w:lang w:eastAsia="en-GB"/>
        </w:rPr>
      </w:pPr>
      <w:r w:rsidRPr="00014F30">
        <w:rPr>
          <w:rFonts w:cs="Arial"/>
          <w:color w:val="000000"/>
          <w:lang w:eastAsia="en-GB"/>
        </w:rPr>
        <w:t>The available options to replace the Inno</w:t>
      </w:r>
      <w:r>
        <w:rPr>
          <w:rFonts w:cs="Arial"/>
          <w:color w:val="000000"/>
          <w:lang w:eastAsia="en-GB"/>
        </w:rPr>
        <w:t>L</w:t>
      </w:r>
      <w:r w:rsidRPr="00014F30">
        <w:rPr>
          <w:rFonts w:cs="Arial"/>
          <w:color w:val="000000"/>
          <w:lang w:eastAsia="en-GB"/>
        </w:rPr>
        <w:t>et</w:t>
      </w:r>
      <w:r w:rsidRPr="00AF6A44">
        <w:rPr>
          <w:rFonts w:cs="Arial"/>
          <w:color w:val="000000"/>
          <w:vertAlign w:val="superscript"/>
          <w:lang w:eastAsia="en-GB"/>
        </w:rPr>
        <w:t>®</w:t>
      </w:r>
      <w:r w:rsidRPr="00014F30">
        <w:rPr>
          <w:rFonts w:cs="Arial"/>
          <w:color w:val="000000"/>
          <w:lang w:eastAsia="en-GB"/>
        </w:rPr>
        <w:t xml:space="preserve"> device are:</w:t>
      </w:r>
    </w:p>
    <w:p w14:paraId="55EBA115" w14:textId="77777777" w:rsidR="00470AB3" w:rsidRPr="00AF6A44" w:rsidRDefault="00470AB3" w:rsidP="00470AB3">
      <w:pPr>
        <w:pStyle w:val="ListParagraph"/>
        <w:numPr>
          <w:ilvl w:val="0"/>
          <w:numId w:val="8"/>
        </w:numPr>
        <w:rPr>
          <w:rFonts w:cs="Arial"/>
          <w:color w:val="000000"/>
          <w:lang w:eastAsia="en-GB"/>
        </w:rPr>
      </w:pPr>
      <w:r w:rsidRPr="00AF6A44">
        <w:rPr>
          <w:rFonts w:cs="Arial"/>
          <w:color w:val="000000"/>
          <w:lang w:eastAsia="en-GB"/>
        </w:rPr>
        <w:t>Novo Protaphane</w:t>
      </w:r>
      <w:r w:rsidRPr="00AF6A44">
        <w:rPr>
          <w:rFonts w:cs="Arial"/>
          <w:color w:val="000000"/>
          <w:vertAlign w:val="superscript"/>
          <w:lang w:eastAsia="en-GB"/>
        </w:rPr>
        <w:t>®</w:t>
      </w:r>
      <w:r w:rsidRPr="00AF6A44">
        <w:rPr>
          <w:rFonts w:cs="Arial"/>
          <w:color w:val="000000"/>
          <w:lang w:eastAsia="en-GB"/>
        </w:rPr>
        <w:t xml:space="preserve"> in a Penfill</w:t>
      </w:r>
      <w:r w:rsidRPr="00C87641">
        <w:rPr>
          <w:vertAlign w:val="superscript"/>
        </w:rPr>
        <w:t>®</w:t>
      </w:r>
      <w:r w:rsidRPr="00AF6A44">
        <w:rPr>
          <w:rFonts w:cs="Arial"/>
          <w:color w:val="000000"/>
          <w:lang w:eastAsia="en-GB"/>
        </w:rPr>
        <w:t xml:space="preserve"> (cartridge) using a NovoPen</w:t>
      </w:r>
      <w:r w:rsidRPr="00C87641">
        <w:rPr>
          <w:vertAlign w:val="superscript"/>
        </w:rPr>
        <w:t>®</w:t>
      </w:r>
      <w:r w:rsidRPr="00AF6A44">
        <w:rPr>
          <w:rFonts w:cs="Arial"/>
          <w:color w:val="000000"/>
          <w:lang w:eastAsia="en-GB"/>
        </w:rPr>
        <w:t xml:space="preserve"> device</w:t>
      </w:r>
    </w:p>
    <w:p w14:paraId="4B8F7AD2" w14:textId="77777777" w:rsidR="00470AB3" w:rsidRPr="00AF6A44" w:rsidRDefault="00470AB3" w:rsidP="00470AB3">
      <w:pPr>
        <w:pStyle w:val="ListParagraph"/>
        <w:numPr>
          <w:ilvl w:val="0"/>
          <w:numId w:val="8"/>
        </w:numPr>
        <w:rPr>
          <w:rFonts w:cs="Arial"/>
          <w:color w:val="000000"/>
          <w:lang w:eastAsia="en-GB"/>
        </w:rPr>
      </w:pPr>
      <w:r>
        <w:rPr>
          <w:rFonts w:cs="Arial"/>
          <w:color w:val="000000"/>
          <w:lang w:eastAsia="en-GB"/>
        </w:rPr>
        <w:t xml:space="preserve">Eli </w:t>
      </w:r>
      <w:r w:rsidRPr="00AF6A44">
        <w:rPr>
          <w:rFonts w:cs="Arial"/>
          <w:color w:val="000000"/>
          <w:lang w:eastAsia="en-GB"/>
        </w:rPr>
        <w:t>Lilly Humulin</w:t>
      </w:r>
      <w:r w:rsidRPr="00AF6A44">
        <w:rPr>
          <w:rFonts w:cs="Arial"/>
          <w:color w:val="000000"/>
          <w:vertAlign w:val="superscript"/>
          <w:lang w:eastAsia="en-GB"/>
        </w:rPr>
        <w:t>®</w:t>
      </w:r>
      <w:r w:rsidRPr="00AF6A44">
        <w:rPr>
          <w:rFonts w:cs="Arial"/>
          <w:color w:val="000000"/>
          <w:lang w:eastAsia="en-GB"/>
        </w:rPr>
        <w:t xml:space="preserve"> NPH Isophane in a pen cartridge using a HumaPen</w:t>
      </w:r>
      <w:r w:rsidRPr="00AF6A44">
        <w:rPr>
          <w:rFonts w:cs="Arial"/>
          <w:color w:val="000000"/>
          <w:vertAlign w:val="superscript"/>
          <w:lang w:eastAsia="en-GB"/>
        </w:rPr>
        <w:t>®</w:t>
      </w:r>
      <w:r w:rsidRPr="00AF6A44">
        <w:rPr>
          <w:rFonts w:cs="Arial"/>
          <w:color w:val="000000"/>
          <w:lang w:eastAsia="en-GB"/>
        </w:rPr>
        <w:t xml:space="preserve"> device.</w:t>
      </w:r>
    </w:p>
    <w:p w14:paraId="5A679C1C" w14:textId="77777777" w:rsidR="00470AB3" w:rsidRPr="00EB3866" w:rsidRDefault="00470AB3" w:rsidP="00470AB3">
      <w:pPr>
        <w:rPr>
          <w:rFonts w:cs="Arial"/>
          <w:b/>
          <w:bCs/>
          <w:i/>
          <w:iCs/>
          <w:color w:val="000000"/>
          <w:lang w:eastAsia="en-GB"/>
        </w:rPr>
      </w:pPr>
      <w:r>
        <w:rPr>
          <w:rFonts w:cs="Arial"/>
          <w:b/>
          <w:bCs/>
          <w:i/>
          <w:iCs/>
          <w:color w:val="000000"/>
          <w:lang w:eastAsia="en-GB"/>
        </w:rPr>
        <w:t>I</w:t>
      </w:r>
      <w:r w:rsidRPr="00C82C73">
        <w:rPr>
          <w:rFonts w:cs="Arial"/>
          <w:b/>
          <w:bCs/>
          <w:i/>
          <w:iCs/>
          <w:color w:val="000000"/>
          <w:lang w:eastAsia="en-GB"/>
        </w:rPr>
        <w:t>nsulin pens are made to fit specific brands of insulin. They are not interchangeable. </w:t>
      </w:r>
      <w:r>
        <w:rPr>
          <w:rFonts w:cs="Arial"/>
          <w:b/>
          <w:bCs/>
          <w:i/>
          <w:iCs/>
          <w:color w:val="000000"/>
          <w:lang w:eastAsia="en-GB"/>
        </w:rPr>
        <w:t>The</w:t>
      </w:r>
      <w:r w:rsidRPr="00EB3866">
        <w:rPr>
          <w:rFonts w:cs="Arial"/>
          <w:b/>
          <w:bCs/>
          <w:i/>
          <w:iCs/>
          <w:color w:val="000000"/>
          <w:lang w:eastAsia="en-GB"/>
        </w:rPr>
        <w:t xml:space="preserve"> correct pen </w:t>
      </w:r>
      <w:r>
        <w:rPr>
          <w:rFonts w:cs="Arial"/>
          <w:b/>
          <w:bCs/>
          <w:i/>
          <w:iCs/>
          <w:color w:val="000000"/>
          <w:lang w:eastAsia="en-GB"/>
        </w:rPr>
        <w:t xml:space="preserve">should be used </w:t>
      </w:r>
      <w:r w:rsidRPr="00EB3866">
        <w:rPr>
          <w:rFonts w:cs="Arial"/>
          <w:b/>
          <w:bCs/>
          <w:i/>
          <w:iCs/>
          <w:color w:val="000000"/>
          <w:lang w:eastAsia="en-GB"/>
        </w:rPr>
        <w:t xml:space="preserve">for the brand of insulin pen cartridges </w:t>
      </w:r>
      <w:r>
        <w:rPr>
          <w:rFonts w:cs="Arial"/>
          <w:b/>
          <w:bCs/>
          <w:i/>
          <w:iCs/>
          <w:color w:val="000000"/>
          <w:lang w:eastAsia="en-GB"/>
        </w:rPr>
        <w:t>prescribed</w:t>
      </w:r>
      <w:r w:rsidRPr="00EB3866">
        <w:rPr>
          <w:rFonts w:cs="Arial"/>
          <w:b/>
          <w:bCs/>
          <w:i/>
          <w:iCs/>
          <w:color w:val="000000"/>
          <w:lang w:eastAsia="en-GB"/>
        </w:rPr>
        <w:t xml:space="preserve">. </w:t>
      </w:r>
    </w:p>
    <w:p w14:paraId="53DCC57F" w14:textId="77777777" w:rsidR="00470AB3" w:rsidRDefault="00470AB3" w:rsidP="00470AB3">
      <w:pPr>
        <w:rPr>
          <w:rFonts w:cs="Arial"/>
          <w:color w:val="000000"/>
          <w:lang w:eastAsia="en-GB"/>
        </w:rPr>
      </w:pPr>
      <w:r w:rsidRPr="004F42BE">
        <w:rPr>
          <w:rFonts w:cs="Arial"/>
          <w:color w:val="000000"/>
          <w:lang w:eastAsia="en-GB"/>
        </w:rPr>
        <w:t xml:space="preserve">The </w:t>
      </w:r>
      <w:hyperlink r:id="rId15" w:history="1">
        <w:r w:rsidRPr="000F2ACE">
          <w:rPr>
            <w:rStyle w:val="Hyperlink"/>
            <w:rFonts w:cs="Arial"/>
            <w:lang w:eastAsia="en-GB"/>
          </w:rPr>
          <w:t>Australian Diabetes Society (ADS)</w:t>
        </w:r>
      </w:hyperlink>
      <w:r w:rsidRPr="004F42BE">
        <w:rPr>
          <w:rFonts w:cs="Arial"/>
          <w:color w:val="000000"/>
          <w:lang w:eastAsia="en-GB"/>
        </w:rPr>
        <w:t xml:space="preserve">, </w:t>
      </w:r>
      <w:hyperlink r:id="rId16" w:history="1">
        <w:r w:rsidRPr="000F2ACE">
          <w:rPr>
            <w:rStyle w:val="Hyperlink"/>
            <w:rFonts w:cs="Arial"/>
            <w:lang w:eastAsia="en-GB"/>
          </w:rPr>
          <w:t>Australasian Diabetes in Pregnancy Society (ADIPS)</w:t>
        </w:r>
      </w:hyperlink>
      <w:r w:rsidRPr="004F42BE">
        <w:rPr>
          <w:rFonts w:cs="Arial"/>
          <w:color w:val="000000"/>
          <w:lang w:eastAsia="en-GB"/>
        </w:rPr>
        <w:t xml:space="preserve">, </w:t>
      </w:r>
      <w:hyperlink r:id="rId17" w:history="1">
        <w:r w:rsidRPr="000F2ACE">
          <w:rPr>
            <w:rStyle w:val="Hyperlink"/>
            <w:rFonts w:cs="Arial"/>
            <w:lang w:eastAsia="en-GB"/>
          </w:rPr>
          <w:t>Australian Diabetes Educators Association (ADEA)</w:t>
        </w:r>
      </w:hyperlink>
      <w:r w:rsidRPr="004F42BE">
        <w:rPr>
          <w:rFonts w:cs="Arial"/>
          <w:color w:val="000000"/>
          <w:lang w:eastAsia="en-GB"/>
        </w:rPr>
        <w:t xml:space="preserve">, </w:t>
      </w:r>
      <w:hyperlink r:id="rId18" w:history="1">
        <w:r w:rsidRPr="000F2ACE">
          <w:rPr>
            <w:rStyle w:val="Hyperlink"/>
            <w:rFonts w:cs="Arial"/>
            <w:lang w:eastAsia="en-GB"/>
          </w:rPr>
          <w:t>Diabetes Australia (DA)</w:t>
        </w:r>
      </w:hyperlink>
      <w:r>
        <w:rPr>
          <w:rFonts w:cs="Arial"/>
          <w:color w:val="000000"/>
          <w:lang w:eastAsia="en-GB"/>
        </w:rPr>
        <w:t xml:space="preserve">, </w:t>
      </w:r>
      <w:hyperlink r:id="rId19" w:history="1">
        <w:r w:rsidRPr="000F2ACE">
          <w:rPr>
            <w:rStyle w:val="Hyperlink"/>
            <w:rFonts w:cs="Arial"/>
            <w:lang w:eastAsia="en-GB"/>
          </w:rPr>
          <w:t>Society of Obstetric Medicine</w:t>
        </w:r>
        <w:r>
          <w:rPr>
            <w:rStyle w:val="Hyperlink"/>
            <w:rFonts w:cs="Arial"/>
            <w:lang w:eastAsia="en-GB"/>
          </w:rPr>
          <w:t xml:space="preserve"> of</w:t>
        </w:r>
        <w:r w:rsidRPr="000F2ACE">
          <w:rPr>
            <w:rStyle w:val="Hyperlink"/>
            <w:rFonts w:cs="Arial"/>
            <w:lang w:eastAsia="en-GB"/>
          </w:rPr>
          <w:t xml:space="preserve"> Australia and New Zealand (SOMANZ)</w:t>
        </w:r>
      </w:hyperlink>
      <w:r>
        <w:rPr>
          <w:rFonts w:cs="Arial"/>
          <w:color w:val="000000"/>
          <w:lang w:eastAsia="en-GB"/>
        </w:rPr>
        <w:t>, and the</w:t>
      </w:r>
      <w:r w:rsidRPr="004F42BE">
        <w:rPr>
          <w:rFonts w:cs="Arial"/>
          <w:color w:val="000000"/>
          <w:lang w:eastAsia="en-GB"/>
        </w:rPr>
        <w:t xml:space="preserve"> </w:t>
      </w:r>
      <w:hyperlink r:id="rId20" w:history="1">
        <w:r w:rsidRPr="00384FE0">
          <w:rPr>
            <w:rStyle w:val="Hyperlink"/>
            <w:rFonts w:cs="Arial"/>
            <w:lang w:eastAsia="en-GB"/>
          </w:rPr>
          <w:t>Royal Australian College of General Practitioners (RACGP)</w:t>
        </w:r>
      </w:hyperlink>
      <w:r>
        <w:rPr>
          <w:rFonts w:cs="Arial"/>
          <w:color w:val="000000"/>
          <w:lang w:eastAsia="en-GB"/>
        </w:rPr>
        <w:t xml:space="preserve"> – </w:t>
      </w:r>
      <w:r w:rsidRPr="004F42BE">
        <w:rPr>
          <w:rFonts w:cs="Arial"/>
          <w:color w:val="000000"/>
          <w:lang w:eastAsia="en-GB"/>
        </w:rPr>
        <w:t xml:space="preserve">provide </w:t>
      </w:r>
      <w:hyperlink r:id="rId21" w:history="1">
        <w:r w:rsidRPr="001D131D">
          <w:rPr>
            <w:rStyle w:val="Hyperlink"/>
            <w:rFonts w:cs="Arial"/>
            <w:lang w:eastAsia="en-GB"/>
          </w:rPr>
          <w:t>consensus advice for health services and clinicians</w:t>
        </w:r>
      </w:hyperlink>
      <w:r>
        <w:rPr>
          <w:rFonts w:cs="Arial"/>
          <w:color w:val="000000"/>
          <w:lang w:eastAsia="en-GB"/>
        </w:rPr>
        <w:t xml:space="preserve"> </w:t>
      </w:r>
      <w:r w:rsidRPr="004F42BE">
        <w:rPr>
          <w:rFonts w:cs="Arial"/>
          <w:color w:val="000000"/>
          <w:lang w:eastAsia="en-GB"/>
        </w:rPr>
        <w:t xml:space="preserve">in </w:t>
      </w:r>
      <w:r>
        <w:rPr>
          <w:rFonts w:cs="Arial"/>
          <w:color w:val="000000"/>
          <w:lang w:eastAsia="en-GB"/>
        </w:rPr>
        <w:t>m</w:t>
      </w:r>
      <w:r w:rsidRPr="004F42BE">
        <w:rPr>
          <w:rFonts w:cs="Arial"/>
          <w:color w:val="000000"/>
          <w:lang w:eastAsia="en-GB"/>
        </w:rPr>
        <w:t>anaging hyperglycaemia and diabetes following the discontinuation of Protaphane</w:t>
      </w:r>
      <w:r w:rsidRPr="00AF6A44">
        <w:rPr>
          <w:rFonts w:cs="Arial"/>
          <w:color w:val="000000"/>
          <w:vertAlign w:val="superscript"/>
          <w:lang w:eastAsia="en-GB"/>
        </w:rPr>
        <w:t>®</w:t>
      </w:r>
      <w:r w:rsidRPr="004F42BE">
        <w:rPr>
          <w:rFonts w:cs="Arial"/>
          <w:color w:val="000000"/>
          <w:lang w:eastAsia="en-GB"/>
        </w:rPr>
        <w:t xml:space="preserve"> InnoLet</w:t>
      </w:r>
      <w:r w:rsidRPr="00AF6A44">
        <w:rPr>
          <w:rFonts w:cs="Arial"/>
          <w:color w:val="000000"/>
          <w:vertAlign w:val="superscript"/>
          <w:lang w:eastAsia="en-GB"/>
        </w:rPr>
        <w:t>®</w:t>
      </w:r>
      <w:r w:rsidRPr="004F42BE">
        <w:rPr>
          <w:rFonts w:cs="Arial"/>
          <w:color w:val="000000"/>
          <w:lang w:eastAsia="en-GB"/>
        </w:rPr>
        <w:t xml:space="preserve"> (</w:t>
      </w:r>
      <w:r w:rsidRPr="00246038">
        <w:rPr>
          <w:rFonts w:cs="Arial"/>
          <w:color w:val="000000"/>
          <w:lang w:eastAsia="en-GB"/>
        </w:rPr>
        <w:t>human isophane insulin</w:t>
      </w:r>
      <w:r w:rsidRPr="004F42BE">
        <w:rPr>
          <w:rFonts w:cs="Arial"/>
          <w:color w:val="000000"/>
          <w:lang w:eastAsia="en-GB"/>
        </w:rPr>
        <w:t xml:space="preserve">). This includes </w:t>
      </w:r>
      <w:r>
        <w:rPr>
          <w:rFonts w:cs="Arial"/>
          <w:color w:val="000000"/>
          <w:lang w:eastAsia="en-GB"/>
        </w:rPr>
        <w:t xml:space="preserve">clinical advice regarding potential use of alternative insulins that are not equivalent to insulin isophane. </w:t>
      </w:r>
    </w:p>
    <w:p w14:paraId="5791857B" w14:textId="77777777" w:rsidR="00470AB3" w:rsidRDefault="00470AB3" w:rsidP="00470AB3">
      <w:pPr>
        <w:rPr>
          <w:rFonts w:cs="Arial"/>
          <w:color w:val="000000"/>
          <w:lang w:eastAsia="en-GB"/>
        </w:rPr>
      </w:pPr>
      <w:r>
        <w:rPr>
          <w:rFonts w:cs="Arial"/>
          <w:color w:val="000000"/>
          <w:lang w:eastAsia="en-GB"/>
        </w:rPr>
        <w:t xml:space="preserve">Refer to </w:t>
      </w:r>
      <w:hyperlink r:id="rId22" w:history="1">
        <w:r w:rsidRPr="00FF5EE3">
          <w:rPr>
            <w:rStyle w:val="Hyperlink"/>
          </w:rPr>
          <w:t>Guidance - Discontinuation of insulin products: Strategies and safety considerations</w:t>
        </w:r>
      </w:hyperlink>
      <w:r>
        <w:t xml:space="preserve"> for more information on changing or switching insulin products.</w:t>
      </w:r>
    </w:p>
    <w:p w14:paraId="68EA42EE" w14:textId="047A9823" w:rsidR="00470AB3" w:rsidRPr="0017752D" w:rsidRDefault="0017752D" w:rsidP="0017752D">
      <w:pPr>
        <w:pStyle w:val="Tablecaption"/>
      </w:pPr>
      <w:r w:rsidRPr="0017752D">
        <w:t>Protaphane</w:t>
      </w:r>
      <w:r w:rsidRPr="0017752D">
        <w:rPr>
          <w:rFonts w:cs="Arial"/>
          <w:vertAlign w:val="superscript"/>
        </w:rPr>
        <w:t>®</w:t>
      </w:r>
      <w:r w:rsidRPr="0017752D">
        <w:t xml:space="preserve"> products to be discontinued, and appropriate available alternatives.</w:t>
      </w:r>
    </w:p>
    <w:tbl>
      <w:tblPr>
        <w:tblStyle w:val="SQHTable"/>
        <w:tblW w:w="5000" w:type="pct"/>
        <w:tblLook w:val="04A0" w:firstRow="1" w:lastRow="0" w:firstColumn="1" w:lastColumn="0" w:noHBand="0" w:noVBand="1"/>
        <w:tblDescription w:val="Table description goes here"/>
      </w:tblPr>
      <w:tblGrid>
        <w:gridCol w:w="2977"/>
        <w:gridCol w:w="3260"/>
        <w:gridCol w:w="2607"/>
      </w:tblGrid>
      <w:tr w:rsidR="00470AB3" w:rsidRPr="00072AF5" w14:paraId="3E0CEC78" w14:textId="77777777" w:rsidTr="00262666">
        <w:trPr>
          <w:cnfStyle w:val="100000000000" w:firstRow="1" w:lastRow="0" w:firstColumn="0" w:lastColumn="0" w:oddVBand="0" w:evenVBand="0" w:oddHBand="0" w:evenHBand="0" w:firstRowFirstColumn="0" w:firstRowLastColumn="0" w:lastRowFirstColumn="0" w:lastRowLastColumn="0"/>
        </w:trPr>
        <w:tc>
          <w:tcPr>
            <w:tcW w:w="2977" w:type="dxa"/>
            <w:tcBorders>
              <w:right w:val="single" w:sz="6" w:space="0" w:color="FFFFFF" w:themeColor="background1"/>
            </w:tcBorders>
          </w:tcPr>
          <w:p w14:paraId="7E169680" w14:textId="12310CD3" w:rsidR="00470AB3" w:rsidRPr="00072AF5" w:rsidRDefault="001B4011" w:rsidP="005B0DE7">
            <w:r w:rsidRPr="001B4011">
              <w:t>Insulin product to be discontinued</w:t>
            </w:r>
          </w:p>
        </w:tc>
        <w:tc>
          <w:tcPr>
            <w:tcW w:w="3260" w:type="dxa"/>
            <w:tcBorders>
              <w:left w:val="single" w:sz="6" w:space="0" w:color="FFFFFF" w:themeColor="background1"/>
              <w:right w:val="single" w:sz="6" w:space="0" w:color="FFFFFF" w:themeColor="background1"/>
            </w:tcBorders>
          </w:tcPr>
          <w:p w14:paraId="439897DF" w14:textId="7E8FFB11" w:rsidR="00470AB3" w:rsidRPr="00072AF5" w:rsidRDefault="001B4011" w:rsidP="005B0DE7">
            <w:r w:rsidRPr="001B4011">
              <w:t>Planned discontinuation date (stock may be available after this date, until depleted)</w:t>
            </w:r>
          </w:p>
        </w:tc>
        <w:tc>
          <w:tcPr>
            <w:tcW w:w="2607" w:type="dxa"/>
            <w:tcBorders>
              <w:left w:val="single" w:sz="6" w:space="0" w:color="FFFFFF" w:themeColor="background1"/>
            </w:tcBorders>
          </w:tcPr>
          <w:p w14:paraId="50072B17" w14:textId="7A0535A9" w:rsidR="00470AB3" w:rsidRPr="00072AF5" w:rsidRDefault="001B4011" w:rsidP="005B0DE7">
            <w:r w:rsidRPr="001B4011">
              <w:t>Available alternative(s)</w:t>
            </w:r>
          </w:p>
        </w:tc>
      </w:tr>
      <w:tr w:rsidR="004B27DD" w:rsidRPr="00072AF5" w14:paraId="1B6FBDCB" w14:textId="77777777" w:rsidTr="00262666">
        <w:tc>
          <w:tcPr>
            <w:tcW w:w="2977" w:type="dxa"/>
            <w:tcBorders>
              <w:right w:val="single" w:sz="6" w:space="0" w:color="FFFFFF" w:themeColor="background1"/>
            </w:tcBorders>
          </w:tcPr>
          <w:p w14:paraId="10D88CA4" w14:textId="2C686DA3" w:rsidR="004B27DD" w:rsidRPr="00072AF5" w:rsidRDefault="004B27DD" w:rsidP="004B27DD">
            <w:r w:rsidRPr="009A7364">
              <w:t>Protaphane</w:t>
            </w:r>
            <w:r w:rsidRPr="004353B9">
              <w:rPr>
                <w:vertAlign w:val="superscript"/>
              </w:rPr>
              <w:t>®</w:t>
            </w:r>
            <w:r w:rsidRPr="009A7364">
              <w:t xml:space="preserve"> (insulin isophane) InnoLet</w:t>
            </w:r>
            <w:r w:rsidRPr="004353B9">
              <w:rPr>
                <w:vertAlign w:val="superscript"/>
              </w:rPr>
              <w:t>®</w:t>
            </w:r>
            <w:r w:rsidRPr="009A7364">
              <w:t xml:space="preserve"> prefilled pen</w:t>
            </w:r>
          </w:p>
        </w:tc>
        <w:tc>
          <w:tcPr>
            <w:tcW w:w="3260" w:type="dxa"/>
            <w:tcBorders>
              <w:left w:val="single" w:sz="6" w:space="0" w:color="FFFFFF" w:themeColor="background1"/>
              <w:right w:val="single" w:sz="6" w:space="0" w:color="FFFFFF" w:themeColor="background1"/>
            </w:tcBorders>
          </w:tcPr>
          <w:p w14:paraId="44AC6388" w14:textId="77777777" w:rsidR="004B27DD" w:rsidRPr="009A7364" w:rsidRDefault="004B27DD" w:rsidP="004B27DD">
            <w:r w:rsidRPr="009A7364">
              <w:t xml:space="preserve">February 2025 </w:t>
            </w:r>
          </w:p>
          <w:p w14:paraId="5E982945" w14:textId="3D42BF29" w:rsidR="004B27DD" w:rsidRPr="00072AF5" w:rsidRDefault="004B27DD" w:rsidP="004B27DD"/>
        </w:tc>
        <w:tc>
          <w:tcPr>
            <w:tcW w:w="2607" w:type="dxa"/>
            <w:vMerge w:val="restart"/>
            <w:tcBorders>
              <w:left w:val="single" w:sz="6" w:space="0" w:color="FFFFFF" w:themeColor="background1"/>
            </w:tcBorders>
          </w:tcPr>
          <w:p w14:paraId="4D742C8D" w14:textId="77777777" w:rsidR="004478A9" w:rsidRPr="00EF3BF1" w:rsidRDefault="004478A9" w:rsidP="004478A9">
            <w:pPr>
              <w:numPr>
                <w:ilvl w:val="0"/>
                <w:numId w:val="9"/>
              </w:numPr>
            </w:pPr>
            <w:r w:rsidRPr="00EF3BF1">
              <w:t>Humulin</w:t>
            </w:r>
            <w:r w:rsidRPr="00EF3BF1">
              <w:rPr>
                <w:vertAlign w:val="superscript"/>
              </w:rPr>
              <w:t>®</w:t>
            </w:r>
            <w:r w:rsidRPr="00EF3BF1">
              <w:t xml:space="preserve"> NPH (insulin isophane) cartridge </w:t>
            </w:r>
          </w:p>
          <w:p w14:paraId="0E743707" w14:textId="7CDE0B70" w:rsidR="004B27DD" w:rsidRPr="004478A9" w:rsidRDefault="004478A9" w:rsidP="004478A9">
            <w:pPr>
              <w:pStyle w:val="ListParagraph"/>
              <w:numPr>
                <w:ilvl w:val="0"/>
                <w:numId w:val="9"/>
              </w:numPr>
            </w:pPr>
            <w:r w:rsidRPr="004478A9">
              <w:t>Protaphane</w:t>
            </w:r>
            <w:r w:rsidRPr="004478A9">
              <w:rPr>
                <w:vertAlign w:val="superscript"/>
              </w:rPr>
              <w:t>®</w:t>
            </w:r>
            <w:r w:rsidRPr="004478A9">
              <w:t xml:space="preserve"> (insulin isophane) vial</w:t>
            </w:r>
          </w:p>
        </w:tc>
      </w:tr>
      <w:tr w:rsidR="004B27DD" w:rsidRPr="00072AF5" w14:paraId="4B2A2182" w14:textId="77777777" w:rsidTr="00262666">
        <w:trPr>
          <w:cnfStyle w:val="000000010000" w:firstRow="0" w:lastRow="0" w:firstColumn="0" w:lastColumn="0" w:oddVBand="0" w:evenVBand="0" w:oddHBand="0" w:evenHBand="1" w:firstRowFirstColumn="0" w:firstRowLastColumn="0" w:lastRowFirstColumn="0" w:lastRowLastColumn="0"/>
        </w:trPr>
        <w:tc>
          <w:tcPr>
            <w:tcW w:w="2977" w:type="dxa"/>
            <w:tcBorders>
              <w:right w:val="single" w:sz="6" w:space="0" w:color="FFFFFF" w:themeColor="background1"/>
            </w:tcBorders>
          </w:tcPr>
          <w:p w14:paraId="28D0DBB4" w14:textId="733302DB" w:rsidR="004B27DD" w:rsidRPr="00072AF5" w:rsidRDefault="004B27DD" w:rsidP="004B27DD">
            <w:r w:rsidRPr="009A7364">
              <w:t>Protaphane</w:t>
            </w:r>
            <w:r w:rsidRPr="004353B9">
              <w:rPr>
                <w:vertAlign w:val="superscript"/>
              </w:rPr>
              <w:t>®</w:t>
            </w:r>
            <w:r w:rsidRPr="009A7364">
              <w:t xml:space="preserve"> (insulin isophane) Penfill</w:t>
            </w:r>
            <w:r w:rsidRPr="00C87641">
              <w:rPr>
                <w:vertAlign w:val="superscript"/>
              </w:rPr>
              <w:t>®</w:t>
            </w:r>
            <w:r w:rsidRPr="009A7364">
              <w:t xml:space="preserve"> cartridge</w:t>
            </w:r>
          </w:p>
        </w:tc>
        <w:tc>
          <w:tcPr>
            <w:tcW w:w="3260" w:type="dxa"/>
            <w:tcBorders>
              <w:left w:val="single" w:sz="6" w:space="0" w:color="FFFFFF" w:themeColor="background1"/>
              <w:right w:val="single" w:sz="6" w:space="0" w:color="FFFFFF" w:themeColor="background1"/>
            </w:tcBorders>
          </w:tcPr>
          <w:p w14:paraId="6F8962C0" w14:textId="60F6EE09" w:rsidR="004B27DD" w:rsidRPr="00072AF5" w:rsidRDefault="004B27DD" w:rsidP="004B27DD">
            <w:r w:rsidRPr="009A7364">
              <w:t>December 2026</w:t>
            </w:r>
          </w:p>
        </w:tc>
        <w:tc>
          <w:tcPr>
            <w:tcW w:w="2607" w:type="dxa"/>
            <w:vMerge/>
            <w:tcBorders>
              <w:left w:val="single" w:sz="6" w:space="0" w:color="FFFFFF" w:themeColor="background1"/>
            </w:tcBorders>
          </w:tcPr>
          <w:p w14:paraId="049E6234" w14:textId="3A7B327C" w:rsidR="004B27DD" w:rsidRPr="00072AF5" w:rsidRDefault="004B27DD" w:rsidP="004B27DD"/>
        </w:tc>
      </w:tr>
      <w:tr w:rsidR="004B27DD" w:rsidRPr="00072AF5" w14:paraId="20E6A89C" w14:textId="77777777" w:rsidTr="00262666">
        <w:tc>
          <w:tcPr>
            <w:tcW w:w="2977" w:type="dxa"/>
            <w:tcBorders>
              <w:right w:val="single" w:sz="6" w:space="0" w:color="FFFFFF" w:themeColor="background1"/>
            </w:tcBorders>
          </w:tcPr>
          <w:p w14:paraId="2A54500B" w14:textId="10AF5751" w:rsidR="004B27DD" w:rsidRPr="00072AF5" w:rsidRDefault="004B27DD" w:rsidP="004B27DD">
            <w:r>
              <w:t>Humulin</w:t>
            </w:r>
            <w:r w:rsidRPr="004353B9">
              <w:rPr>
                <w:vertAlign w:val="superscript"/>
              </w:rPr>
              <w:t>®</w:t>
            </w:r>
            <w:r>
              <w:t xml:space="preserve"> NPH (insulin isophane) vial</w:t>
            </w:r>
          </w:p>
        </w:tc>
        <w:tc>
          <w:tcPr>
            <w:tcW w:w="3260" w:type="dxa"/>
            <w:tcBorders>
              <w:left w:val="single" w:sz="6" w:space="0" w:color="FFFFFF" w:themeColor="background1"/>
              <w:right w:val="single" w:sz="6" w:space="0" w:color="FFFFFF" w:themeColor="background1"/>
            </w:tcBorders>
          </w:tcPr>
          <w:p w14:paraId="7F8F8B56" w14:textId="17FF46AE" w:rsidR="004B27DD" w:rsidRPr="00072AF5" w:rsidRDefault="004B27DD" w:rsidP="004B27DD">
            <w:r>
              <w:t>August 2026</w:t>
            </w:r>
          </w:p>
        </w:tc>
        <w:tc>
          <w:tcPr>
            <w:tcW w:w="2607" w:type="dxa"/>
            <w:vMerge/>
            <w:tcBorders>
              <w:left w:val="single" w:sz="6" w:space="0" w:color="FFFFFF" w:themeColor="background1"/>
            </w:tcBorders>
          </w:tcPr>
          <w:p w14:paraId="40E15E2D" w14:textId="5323E020" w:rsidR="004B27DD" w:rsidRPr="00072AF5" w:rsidRDefault="004B27DD" w:rsidP="004B27DD"/>
        </w:tc>
      </w:tr>
    </w:tbl>
    <w:p w14:paraId="483A0263" w14:textId="6799920C" w:rsidR="00470AB3" w:rsidRDefault="0030270E" w:rsidP="0030270E">
      <w:pPr>
        <w:pStyle w:val="Heading1"/>
      </w:pPr>
      <w:r>
        <w:lastRenderedPageBreak/>
        <w:t>Safety considerations</w:t>
      </w:r>
    </w:p>
    <w:p w14:paraId="78659475" w14:textId="77777777" w:rsidR="001C410B" w:rsidRPr="00183637" w:rsidRDefault="001C410B" w:rsidP="001C410B">
      <w:pPr>
        <w:rPr>
          <w:rFonts w:cs="Arial"/>
          <w:color w:val="000000"/>
          <w:lang w:eastAsia="en-GB"/>
        </w:rPr>
      </w:pPr>
      <w:r w:rsidRPr="00C67244">
        <w:rPr>
          <w:rFonts w:cs="Arial"/>
          <w:color w:val="000000"/>
          <w:lang w:eastAsia="en-GB"/>
        </w:rPr>
        <w:t>Protaphane</w:t>
      </w:r>
      <w:r w:rsidRPr="00AF6A44">
        <w:rPr>
          <w:rFonts w:cs="Arial"/>
          <w:color w:val="000000"/>
          <w:vertAlign w:val="superscript"/>
          <w:lang w:eastAsia="en-GB"/>
        </w:rPr>
        <w:t>®</w:t>
      </w:r>
      <w:r w:rsidRPr="00C67244">
        <w:rPr>
          <w:rFonts w:cs="Arial"/>
          <w:color w:val="000000"/>
          <w:lang w:eastAsia="en-GB"/>
        </w:rPr>
        <w:t xml:space="preserve"> InnoLet</w:t>
      </w:r>
      <w:r w:rsidRPr="00AF6A44">
        <w:rPr>
          <w:rFonts w:cs="Arial"/>
          <w:color w:val="000000"/>
          <w:vertAlign w:val="superscript"/>
          <w:lang w:eastAsia="en-GB"/>
        </w:rPr>
        <w:t>®</w:t>
      </w:r>
      <w:r w:rsidRPr="00C67244">
        <w:rPr>
          <w:rFonts w:cs="Arial"/>
          <w:color w:val="000000"/>
          <w:lang w:eastAsia="en-GB"/>
        </w:rPr>
        <w:t xml:space="preserve"> is </w:t>
      </w:r>
      <w:r>
        <w:rPr>
          <w:rFonts w:cs="Arial"/>
          <w:color w:val="000000"/>
          <w:lang w:eastAsia="en-GB"/>
        </w:rPr>
        <w:t xml:space="preserve">relatively </w:t>
      </w:r>
      <w:r w:rsidRPr="00C67244">
        <w:rPr>
          <w:rFonts w:cs="Arial"/>
          <w:color w:val="000000"/>
          <w:lang w:eastAsia="en-GB"/>
        </w:rPr>
        <w:t>easy to use</w:t>
      </w:r>
      <w:r>
        <w:rPr>
          <w:rFonts w:cs="Arial"/>
          <w:color w:val="000000"/>
          <w:lang w:eastAsia="en-GB"/>
        </w:rPr>
        <w:t>.</w:t>
      </w:r>
      <w:r w:rsidRPr="00C67244">
        <w:rPr>
          <w:rFonts w:cs="Arial"/>
          <w:color w:val="000000"/>
          <w:lang w:eastAsia="en-GB"/>
        </w:rPr>
        <w:t xml:space="preserve"> </w:t>
      </w:r>
      <w:r>
        <w:rPr>
          <w:rFonts w:cs="Arial"/>
          <w:color w:val="000000"/>
          <w:lang w:eastAsia="en-GB"/>
        </w:rPr>
        <w:t>A</w:t>
      </w:r>
      <w:r w:rsidRPr="00C67244">
        <w:rPr>
          <w:rFonts w:cs="Arial"/>
          <w:color w:val="000000"/>
          <w:lang w:eastAsia="en-GB"/>
        </w:rPr>
        <w:t xml:space="preserve">lternative preparations require higher levels of medicines literacy, manual dexterity and </w:t>
      </w:r>
      <w:r>
        <w:rPr>
          <w:rFonts w:cs="Arial"/>
          <w:color w:val="000000"/>
          <w:lang w:eastAsia="en-GB"/>
        </w:rPr>
        <w:t xml:space="preserve">healthy </w:t>
      </w:r>
      <w:r w:rsidRPr="00C67244">
        <w:rPr>
          <w:rFonts w:cs="Arial"/>
          <w:color w:val="000000"/>
          <w:lang w:eastAsia="en-GB"/>
        </w:rPr>
        <w:t xml:space="preserve">vision. </w:t>
      </w:r>
      <w:r>
        <w:rPr>
          <w:rFonts w:cs="Arial"/>
          <w:color w:val="000000"/>
          <w:lang w:eastAsia="en-GB"/>
        </w:rPr>
        <w:t xml:space="preserve">Some people with diabetes may require additional assistance to safely change to an alternative insulin, such as: </w:t>
      </w:r>
    </w:p>
    <w:p w14:paraId="6BFD4609" w14:textId="77777777" w:rsidR="001C410B" w:rsidRPr="006C5B74" w:rsidRDefault="001C410B" w:rsidP="001C410B">
      <w:pPr>
        <w:pStyle w:val="ListParagraph"/>
        <w:numPr>
          <w:ilvl w:val="0"/>
          <w:numId w:val="10"/>
        </w:numPr>
        <w:rPr>
          <w:rFonts w:cs="Arial"/>
          <w:color w:val="000000"/>
          <w:lang w:eastAsia="en-GB"/>
        </w:rPr>
      </w:pPr>
      <w:r w:rsidRPr="006C5B74">
        <w:rPr>
          <w:rFonts w:cs="Arial"/>
          <w:color w:val="000000"/>
          <w:lang w:eastAsia="en-GB"/>
        </w:rPr>
        <w:t xml:space="preserve">Women with gestational diabetes, particularly those with </w:t>
      </w:r>
      <w:r>
        <w:rPr>
          <w:rFonts w:cs="Arial"/>
          <w:color w:val="000000"/>
          <w:lang w:eastAsia="en-GB"/>
        </w:rPr>
        <w:t xml:space="preserve">low </w:t>
      </w:r>
      <w:r w:rsidRPr="006C5B74">
        <w:rPr>
          <w:rFonts w:cs="Arial"/>
          <w:color w:val="000000"/>
          <w:lang w:eastAsia="en-GB"/>
        </w:rPr>
        <w:t>health literacy and language barriers which may make more complex devices harder to use</w:t>
      </w:r>
    </w:p>
    <w:p w14:paraId="6E74B915" w14:textId="77777777" w:rsidR="001C410B" w:rsidRPr="006C5B74" w:rsidRDefault="001C410B" w:rsidP="001C410B">
      <w:pPr>
        <w:pStyle w:val="ListParagraph"/>
        <w:numPr>
          <w:ilvl w:val="0"/>
          <w:numId w:val="10"/>
        </w:numPr>
        <w:rPr>
          <w:rFonts w:cs="Arial"/>
          <w:color w:val="000000"/>
          <w:lang w:eastAsia="en-GB"/>
        </w:rPr>
      </w:pPr>
      <w:r w:rsidRPr="006C5B74">
        <w:rPr>
          <w:rFonts w:cs="Arial"/>
          <w:color w:val="000000"/>
          <w:lang w:eastAsia="en-GB"/>
        </w:rPr>
        <w:t>Pregnant women with type 2 diabetes using InnoLet</w:t>
      </w:r>
      <w:r w:rsidRPr="00AF6A44">
        <w:rPr>
          <w:rFonts w:cs="Arial"/>
          <w:color w:val="000000"/>
          <w:vertAlign w:val="superscript"/>
          <w:lang w:eastAsia="en-GB"/>
        </w:rPr>
        <w:t>®</w:t>
      </w:r>
      <w:r w:rsidRPr="006C5B74">
        <w:rPr>
          <w:rFonts w:cs="Arial"/>
          <w:color w:val="000000"/>
          <w:lang w:eastAsia="en-GB"/>
        </w:rPr>
        <w:t xml:space="preserve"> devices</w:t>
      </w:r>
    </w:p>
    <w:p w14:paraId="0EED578A" w14:textId="77777777" w:rsidR="001C410B" w:rsidRPr="006C5B74" w:rsidRDefault="001C410B" w:rsidP="001C410B">
      <w:pPr>
        <w:pStyle w:val="ListParagraph"/>
        <w:numPr>
          <w:ilvl w:val="0"/>
          <w:numId w:val="10"/>
        </w:numPr>
        <w:rPr>
          <w:rFonts w:cs="Arial"/>
          <w:color w:val="000000"/>
          <w:lang w:eastAsia="en-GB"/>
        </w:rPr>
      </w:pPr>
      <w:r>
        <w:rPr>
          <w:rFonts w:cs="Arial"/>
          <w:color w:val="000000"/>
          <w:lang w:eastAsia="en-GB"/>
        </w:rPr>
        <w:t>People with limited dexterity or poor vision or who are older,</w:t>
      </w:r>
      <w:r w:rsidRPr="006C5B74">
        <w:rPr>
          <w:rFonts w:cs="Arial"/>
          <w:color w:val="000000"/>
          <w:lang w:eastAsia="en-GB"/>
        </w:rPr>
        <w:t xml:space="preserve"> may not be able to load cartridges as effectively or set the dial for the correct dose to be given</w:t>
      </w:r>
    </w:p>
    <w:p w14:paraId="4243F4D1" w14:textId="77777777" w:rsidR="001C410B" w:rsidRPr="006C5B74" w:rsidRDefault="001C410B" w:rsidP="001C410B">
      <w:pPr>
        <w:pStyle w:val="ListParagraph"/>
        <w:numPr>
          <w:ilvl w:val="0"/>
          <w:numId w:val="10"/>
        </w:numPr>
        <w:rPr>
          <w:rFonts w:cs="Arial"/>
          <w:color w:val="000000"/>
          <w:lang w:eastAsia="en-GB"/>
        </w:rPr>
      </w:pPr>
      <w:r>
        <w:rPr>
          <w:rFonts w:cs="Arial"/>
          <w:color w:val="000000"/>
          <w:lang w:eastAsia="en-GB"/>
        </w:rPr>
        <w:t xml:space="preserve">People </w:t>
      </w:r>
      <w:r w:rsidRPr="00FE710E">
        <w:rPr>
          <w:rFonts w:cs="Arial"/>
          <w:color w:val="000000"/>
          <w:lang w:eastAsia="en-GB"/>
        </w:rPr>
        <w:t xml:space="preserve">with diabetes </w:t>
      </w:r>
      <w:r>
        <w:rPr>
          <w:rFonts w:cs="Arial"/>
          <w:color w:val="000000"/>
          <w:lang w:eastAsia="en-GB"/>
        </w:rPr>
        <w:t xml:space="preserve">who are </w:t>
      </w:r>
      <w:r w:rsidRPr="00FE710E">
        <w:rPr>
          <w:rFonts w:cs="Arial"/>
          <w:color w:val="000000"/>
          <w:lang w:eastAsia="en-GB"/>
        </w:rPr>
        <w:t xml:space="preserve">also </w:t>
      </w:r>
      <w:r>
        <w:rPr>
          <w:rFonts w:cs="Arial"/>
          <w:color w:val="000000"/>
          <w:lang w:eastAsia="en-GB"/>
        </w:rPr>
        <w:t>prescribed</w:t>
      </w:r>
      <w:r w:rsidRPr="00FE710E">
        <w:rPr>
          <w:rFonts w:cs="Arial"/>
          <w:color w:val="000000"/>
          <w:lang w:eastAsia="en-GB"/>
        </w:rPr>
        <w:t xml:space="preserve"> corticosteroids</w:t>
      </w:r>
    </w:p>
    <w:p w14:paraId="4413CBCB" w14:textId="77777777" w:rsidR="001C410B" w:rsidRPr="006C5B74" w:rsidRDefault="001C410B" w:rsidP="001C410B">
      <w:pPr>
        <w:pStyle w:val="ListParagraph"/>
        <w:numPr>
          <w:ilvl w:val="0"/>
          <w:numId w:val="10"/>
        </w:numPr>
        <w:rPr>
          <w:rFonts w:cs="Arial"/>
          <w:color w:val="000000"/>
          <w:lang w:eastAsia="en-GB"/>
        </w:rPr>
      </w:pPr>
      <w:r>
        <w:rPr>
          <w:rFonts w:cs="Arial"/>
          <w:color w:val="000000"/>
          <w:lang w:eastAsia="en-GB"/>
        </w:rPr>
        <w:t>People with diabetes in hospital</w:t>
      </w:r>
      <w:r w:rsidRPr="006C5B74">
        <w:rPr>
          <w:rFonts w:cs="Arial"/>
          <w:color w:val="000000"/>
          <w:lang w:eastAsia="en-GB"/>
        </w:rPr>
        <w:t xml:space="preserve"> </w:t>
      </w:r>
      <w:r>
        <w:rPr>
          <w:rFonts w:cs="Arial"/>
          <w:color w:val="000000"/>
          <w:lang w:eastAsia="en-GB"/>
        </w:rPr>
        <w:t>receiving</w:t>
      </w:r>
      <w:r w:rsidRPr="006C5B74">
        <w:rPr>
          <w:rFonts w:cs="Arial"/>
          <w:color w:val="000000"/>
          <w:lang w:eastAsia="en-GB"/>
        </w:rPr>
        <w:t xml:space="preserve"> </w:t>
      </w:r>
      <w:r>
        <w:rPr>
          <w:rFonts w:cs="Arial"/>
          <w:color w:val="000000"/>
          <w:lang w:eastAsia="en-GB"/>
        </w:rPr>
        <w:t>enteral</w:t>
      </w:r>
      <w:r w:rsidRPr="006C5B74">
        <w:rPr>
          <w:rFonts w:cs="Arial"/>
          <w:color w:val="000000"/>
          <w:lang w:eastAsia="en-GB"/>
        </w:rPr>
        <w:t xml:space="preserve"> feeding </w:t>
      </w:r>
      <w:r>
        <w:rPr>
          <w:rFonts w:cs="Arial"/>
          <w:color w:val="000000"/>
          <w:lang w:eastAsia="en-GB"/>
        </w:rPr>
        <w:t>or parenteral nutrition</w:t>
      </w:r>
    </w:p>
    <w:p w14:paraId="467E0ABB" w14:textId="77777777" w:rsidR="001C410B" w:rsidRPr="006C5B74" w:rsidRDefault="001C410B" w:rsidP="001C410B">
      <w:pPr>
        <w:pStyle w:val="ListParagraph"/>
        <w:numPr>
          <w:ilvl w:val="0"/>
          <w:numId w:val="10"/>
        </w:numPr>
        <w:rPr>
          <w:rFonts w:cs="Arial"/>
          <w:color w:val="000000"/>
          <w:lang w:eastAsia="en-GB"/>
        </w:rPr>
      </w:pPr>
      <w:r>
        <w:rPr>
          <w:rFonts w:cs="Arial"/>
          <w:color w:val="000000"/>
          <w:lang w:eastAsia="en-GB"/>
        </w:rPr>
        <w:t>S</w:t>
      </w:r>
      <w:r w:rsidRPr="006C5B74">
        <w:rPr>
          <w:rFonts w:cs="Arial"/>
          <w:color w:val="000000"/>
          <w:lang w:eastAsia="en-GB"/>
        </w:rPr>
        <w:t xml:space="preserve">taff and carers </w:t>
      </w:r>
      <w:r>
        <w:rPr>
          <w:rFonts w:cs="Arial"/>
          <w:color w:val="000000"/>
          <w:lang w:eastAsia="en-GB"/>
        </w:rPr>
        <w:t>responsible for</w:t>
      </w:r>
      <w:r w:rsidRPr="006C5B74">
        <w:rPr>
          <w:rFonts w:cs="Arial"/>
          <w:color w:val="000000"/>
          <w:lang w:eastAsia="en-GB"/>
        </w:rPr>
        <w:t xml:space="preserve"> delivering insulin therapy</w:t>
      </w:r>
      <w:r>
        <w:rPr>
          <w:rFonts w:cs="Arial"/>
          <w:color w:val="000000"/>
          <w:lang w:eastAsia="en-GB"/>
        </w:rPr>
        <w:t>. T</w:t>
      </w:r>
      <w:r w:rsidRPr="006C5B74">
        <w:rPr>
          <w:rFonts w:cs="Arial"/>
          <w:color w:val="000000"/>
          <w:lang w:eastAsia="en-GB"/>
        </w:rPr>
        <w:t xml:space="preserve">here is added complexity of </w:t>
      </w:r>
      <w:r>
        <w:rPr>
          <w:rFonts w:cs="Arial"/>
          <w:color w:val="000000"/>
          <w:lang w:eastAsia="en-GB"/>
        </w:rPr>
        <w:t xml:space="preserve">loading and correctly priming </w:t>
      </w:r>
      <w:r w:rsidRPr="006C5B74">
        <w:rPr>
          <w:rFonts w:cs="Arial"/>
          <w:color w:val="000000"/>
          <w:lang w:eastAsia="en-GB"/>
        </w:rPr>
        <w:t>a cartridge device</w:t>
      </w:r>
      <w:r>
        <w:rPr>
          <w:rFonts w:cs="Arial"/>
          <w:color w:val="000000"/>
          <w:lang w:eastAsia="en-GB"/>
        </w:rPr>
        <w:t xml:space="preserve"> and </w:t>
      </w:r>
      <w:r w:rsidRPr="006C5B74">
        <w:rPr>
          <w:rFonts w:cs="Arial"/>
          <w:color w:val="000000"/>
          <w:lang w:eastAsia="en-GB"/>
        </w:rPr>
        <w:t xml:space="preserve">a potential increase in time taken to give the injection </w:t>
      </w:r>
      <w:r w:rsidDel="008B46C5">
        <w:rPr>
          <w:rFonts w:cs="Arial"/>
          <w:color w:val="000000"/>
          <w:lang w:eastAsia="en-GB"/>
        </w:rPr>
        <w:t xml:space="preserve"> </w:t>
      </w:r>
    </w:p>
    <w:p w14:paraId="6C6E758F" w14:textId="77777777" w:rsidR="001C410B" w:rsidRPr="00DE5789" w:rsidRDefault="001C410B" w:rsidP="001C410B">
      <w:pPr>
        <w:pStyle w:val="ListParagraph"/>
        <w:numPr>
          <w:ilvl w:val="0"/>
          <w:numId w:val="10"/>
        </w:numPr>
        <w:rPr>
          <w:rFonts w:cs="Arial"/>
          <w:color w:val="000000"/>
          <w:lang w:eastAsia="en-GB"/>
        </w:rPr>
      </w:pPr>
      <w:r>
        <w:rPr>
          <w:rFonts w:cs="Arial"/>
          <w:color w:val="000000"/>
          <w:lang w:eastAsia="en-GB"/>
        </w:rPr>
        <w:t xml:space="preserve">People </w:t>
      </w:r>
      <w:r w:rsidRPr="00D93B98">
        <w:rPr>
          <w:rFonts w:cs="Arial"/>
          <w:color w:val="000000"/>
          <w:lang w:eastAsia="en-GB"/>
        </w:rPr>
        <w:t xml:space="preserve">treated with </w:t>
      </w:r>
      <w:r>
        <w:rPr>
          <w:rFonts w:cs="Arial"/>
          <w:color w:val="000000"/>
          <w:lang w:eastAsia="en-GB"/>
        </w:rPr>
        <w:t>Protaphane InnoLet</w:t>
      </w:r>
      <w:r w:rsidRPr="0009342D">
        <w:rPr>
          <w:rFonts w:cs="Arial"/>
          <w:color w:val="000000"/>
          <w:vertAlign w:val="superscript"/>
          <w:lang w:eastAsia="en-GB"/>
        </w:rPr>
        <w:t>®</w:t>
      </w:r>
      <w:r>
        <w:rPr>
          <w:rFonts w:cs="Arial"/>
          <w:color w:val="000000"/>
          <w:vertAlign w:val="superscript"/>
          <w:lang w:eastAsia="en-GB"/>
        </w:rPr>
        <w:t xml:space="preserve"> </w:t>
      </w:r>
      <w:r>
        <w:rPr>
          <w:rFonts w:cs="Arial"/>
          <w:color w:val="000000"/>
          <w:lang w:eastAsia="en-GB"/>
        </w:rPr>
        <w:t>and another type of insulin because the InnoLet</w:t>
      </w:r>
      <w:r w:rsidRPr="0009342D">
        <w:rPr>
          <w:rFonts w:cs="Arial"/>
          <w:color w:val="000000"/>
          <w:vertAlign w:val="superscript"/>
          <w:lang w:eastAsia="en-GB"/>
        </w:rPr>
        <w:t>®</w:t>
      </w:r>
      <w:r>
        <w:rPr>
          <w:rFonts w:cs="Arial"/>
          <w:color w:val="000000"/>
          <w:lang w:eastAsia="en-GB"/>
        </w:rPr>
        <w:t xml:space="preserve"> device is easier to differentiate from other insulins. Changing to a different insulin may potentially increase the risk of administering the </w:t>
      </w:r>
      <w:r w:rsidRPr="00DE5789">
        <w:rPr>
          <w:rFonts w:cs="Arial"/>
          <w:color w:val="000000"/>
          <w:lang w:eastAsia="en-GB"/>
        </w:rPr>
        <w:t>incorrect insulin</w:t>
      </w:r>
      <w:r>
        <w:rPr>
          <w:rFonts w:cs="Arial"/>
          <w:color w:val="000000"/>
          <w:lang w:eastAsia="en-GB"/>
        </w:rPr>
        <w:t>.</w:t>
      </w:r>
    </w:p>
    <w:p w14:paraId="64A0CFAE" w14:textId="77777777" w:rsidR="001C410B" w:rsidRPr="00DE5789" w:rsidRDefault="001C410B" w:rsidP="001C410B">
      <w:pPr>
        <w:rPr>
          <w:rFonts w:cs="Arial"/>
          <w:color w:val="000000"/>
          <w:lang w:eastAsia="en-GB"/>
        </w:rPr>
      </w:pPr>
      <w:r w:rsidRPr="00DE5789">
        <w:rPr>
          <w:rFonts w:cs="Arial"/>
          <w:color w:val="000000"/>
          <w:lang w:eastAsia="en-GB"/>
        </w:rPr>
        <w:t xml:space="preserve">Refer to </w:t>
      </w:r>
      <w:hyperlink r:id="rId23" w:history="1">
        <w:r w:rsidRPr="00FF5EE3">
          <w:rPr>
            <w:rStyle w:val="Hyperlink"/>
            <w:rFonts w:cs="Arial"/>
            <w:lang w:eastAsia="en-GB"/>
          </w:rPr>
          <w:t>Guidance - Discontinuation of insulin products: Strategies and safety considerations</w:t>
        </w:r>
      </w:hyperlink>
      <w:r w:rsidRPr="00DE5789">
        <w:rPr>
          <w:rFonts w:cs="Arial"/>
          <w:color w:val="000000"/>
          <w:lang w:eastAsia="en-GB"/>
        </w:rPr>
        <w:t>.</w:t>
      </w:r>
    </w:p>
    <w:p w14:paraId="67580BEB" w14:textId="78D06CB6" w:rsidR="0030270E" w:rsidRDefault="001C410B" w:rsidP="001C410B">
      <w:pPr>
        <w:pStyle w:val="Heading1"/>
      </w:pPr>
      <w:r>
        <w:t>Useful resources</w:t>
      </w:r>
    </w:p>
    <w:p w14:paraId="04D754A8" w14:textId="6ED6A4F5" w:rsidR="00EA4A99" w:rsidRDefault="00EA4A99" w:rsidP="00EA4A99">
      <w:pPr>
        <w:pStyle w:val="ListParagraph"/>
        <w:numPr>
          <w:ilvl w:val="0"/>
          <w:numId w:val="11"/>
        </w:numPr>
        <w:spacing w:after="100" w:afterAutospacing="1"/>
      </w:pPr>
      <w:hyperlink r:id="rId24" w:history="1">
        <w:r w:rsidRPr="00247EC1">
          <w:rPr>
            <w:rStyle w:val="Hyperlink"/>
          </w:rPr>
          <w:t>Consensus advice for health services and clinicians following the discontinuation of Novo Nordisk’s InnoLet (Protaphane Insulin) Device</w:t>
        </w:r>
      </w:hyperlink>
      <w:r>
        <w:t>. Australasian Diabetes in Pregnancy Society (ADIPS), Australian Diabetes Educators Association (ADEA), Australian Diabetes Society (ADS), Diabetes Australia (DA), Society of Obstetrics Medicine Australia and New Zealand (SOMANZ) and Royal Australian College of General Practitioners. [cited 2 January 2025]</w:t>
      </w:r>
    </w:p>
    <w:p w14:paraId="08176BBD" w14:textId="34C11AD5" w:rsidR="0009074D" w:rsidRDefault="00EA4A99" w:rsidP="0009074D">
      <w:pPr>
        <w:pStyle w:val="ListParagraph"/>
        <w:numPr>
          <w:ilvl w:val="0"/>
          <w:numId w:val="11"/>
        </w:numPr>
        <w:spacing w:after="100" w:afterAutospacing="1"/>
      </w:pPr>
      <w:hyperlink r:id="rId25" w:history="1">
        <w:r w:rsidRPr="003171C2">
          <w:rPr>
            <w:rStyle w:val="Hyperlink"/>
          </w:rPr>
          <w:t>Changes to the supply of insulin products.</w:t>
        </w:r>
      </w:hyperlink>
      <w:r>
        <w:t xml:space="preserve"> Th</w:t>
      </w:r>
      <w:r w:rsidRPr="00BC2DFF">
        <w:t>erapeutic Goods Administration (TGA). [cited 1</w:t>
      </w:r>
      <w:r>
        <w:t>9 Jun</w:t>
      </w:r>
      <w:r w:rsidR="002A3117">
        <w:t>e</w:t>
      </w:r>
      <w:r w:rsidRPr="00BC2DFF">
        <w:t xml:space="preserve"> 202</w:t>
      </w:r>
      <w:r>
        <w:t>6</w:t>
      </w:r>
      <w:r w:rsidRPr="00BC2DFF">
        <w:t>]</w:t>
      </w:r>
    </w:p>
    <w:p w14:paraId="677ED753" w14:textId="078ABD60" w:rsidR="0009074D" w:rsidRDefault="0009074D" w:rsidP="0009074D">
      <w:pPr>
        <w:pStyle w:val="ListParagraph"/>
        <w:numPr>
          <w:ilvl w:val="0"/>
          <w:numId w:val="11"/>
        </w:numPr>
        <w:spacing w:after="100" w:afterAutospacing="1"/>
      </w:pPr>
      <w:hyperlink r:id="rId26" w:history="1">
        <w:r w:rsidRPr="00A9396B">
          <w:rPr>
            <w:rStyle w:val="Hyperlink"/>
          </w:rPr>
          <w:t>About the changes to the supply of insulin products</w:t>
        </w:r>
      </w:hyperlink>
      <w:r>
        <w:t>. Th</w:t>
      </w:r>
      <w:r w:rsidRPr="00BC2DFF">
        <w:t>erapeutic Goods Administration (TGA). [cited 1</w:t>
      </w:r>
      <w:r>
        <w:t>5 Jun</w:t>
      </w:r>
      <w:r w:rsidRPr="00BC2DFF">
        <w:t xml:space="preserve"> 202</w:t>
      </w:r>
      <w:r>
        <w:t>6</w:t>
      </w:r>
      <w:r w:rsidRPr="00BC2DFF">
        <w:t>]</w:t>
      </w:r>
    </w:p>
    <w:p w14:paraId="56A18492" w14:textId="77777777" w:rsidR="00EA4A99" w:rsidRPr="000F31FB" w:rsidRDefault="00EA4A99" w:rsidP="00EA4A99">
      <w:pPr>
        <w:pStyle w:val="ListParagraph"/>
        <w:numPr>
          <w:ilvl w:val="0"/>
          <w:numId w:val="12"/>
        </w:numPr>
        <w:spacing w:after="100" w:afterAutospacing="1"/>
        <w:rPr>
          <w:lang w:val="en-US"/>
        </w:rPr>
      </w:pPr>
      <w:r w:rsidRPr="0033688A">
        <w:rPr>
          <w:rStyle w:val="Hyperlink"/>
          <w:color w:val="auto"/>
          <w:u w:val="none"/>
        </w:rPr>
        <w:t>Australian Commission on Safety and Quality in Health Care</w:t>
      </w:r>
      <w:r w:rsidRPr="0033688A">
        <w:rPr>
          <w:rStyle w:val="Hyperlink"/>
          <w:u w:val="none"/>
        </w:rPr>
        <w:t xml:space="preserve"> </w:t>
      </w:r>
      <w:hyperlink r:id="rId27" w:history="1">
        <w:r w:rsidRPr="00FF5EE3">
          <w:rPr>
            <w:rStyle w:val="Hyperlink"/>
            <w:rFonts w:cs="Arial"/>
            <w:lang w:eastAsia="en-GB"/>
          </w:rPr>
          <w:t>Guidance - Discontinuation of insulin products: Strategies and safety considerations</w:t>
        </w:r>
      </w:hyperlink>
      <w:r w:rsidRPr="0033688A">
        <w:rPr>
          <w:rFonts w:cs="Arial"/>
          <w:color w:val="000000"/>
          <w:lang w:eastAsia="en-GB"/>
        </w:rPr>
        <w:t xml:space="preserve"> </w:t>
      </w:r>
    </w:p>
    <w:p w14:paraId="0D67C343" w14:textId="77777777" w:rsidR="00EA4A99" w:rsidRPr="003171C2" w:rsidRDefault="00EA4A99" w:rsidP="00EA4A99">
      <w:pPr>
        <w:pStyle w:val="ListParagraph"/>
        <w:numPr>
          <w:ilvl w:val="0"/>
          <w:numId w:val="12"/>
        </w:numPr>
        <w:spacing w:after="100" w:afterAutospacing="1"/>
        <w:rPr>
          <w:rStyle w:val="Hyperlink"/>
          <w:lang w:val="en-US"/>
        </w:rPr>
      </w:pPr>
      <w:bookmarkStart w:id="1" w:name="_Hlk187132447"/>
      <w:r w:rsidRPr="0033688A">
        <w:rPr>
          <w:rStyle w:val="Hyperlink"/>
          <w:color w:val="auto"/>
          <w:u w:val="none"/>
        </w:rPr>
        <w:t>Australian Commission on Safety and Quality in Health Care</w:t>
      </w:r>
      <w:r w:rsidRPr="0033688A">
        <w:rPr>
          <w:rStyle w:val="Hyperlink"/>
          <w:u w:val="none"/>
        </w:rPr>
        <w:t xml:space="preserve"> </w:t>
      </w:r>
      <w:r w:rsidRPr="0033688A">
        <w:rPr>
          <w:rFonts w:cs="Arial"/>
          <w:color w:val="000000"/>
          <w:lang w:eastAsia="en-GB"/>
        </w:rPr>
        <w:t xml:space="preserve">Guidance </w:t>
      </w:r>
      <w:r>
        <w:rPr>
          <w:rFonts w:cs="Arial"/>
          <w:lang w:eastAsia="en-GB"/>
        </w:rPr>
        <w:fldChar w:fldCharType="begin"/>
      </w:r>
      <w:r>
        <w:rPr>
          <w:rFonts w:cs="Arial"/>
          <w:lang w:eastAsia="en-GB"/>
        </w:rPr>
        <w:instrText>HYPERLINK "https://www.safetyandquality.gov.au/resources/important-changes-people-who-use-insulin"</w:instrText>
      </w:r>
      <w:r>
        <w:rPr>
          <w:rFonts w:cs="Arial"/>
          <w:lang w:eastAsia="en-GB"/>
        </w:rPr>
      </w:r>
      <w:r>
        <w:rPr>
          <w:rFonts w:cs="Arial"/>
          <w:lang w:eastAsia="en-GB"/>
        </w:rPr>
        <w:fldChar w:fldCharType="separate"/>
      </w:r>
      <w:r w:rsidRPr="003171C2">
        <w:rPr>
          <w:rStyle w:val="Hyperlink"/>
          <w:rFonts w:cs="Arial"/>
          <w:lang w:eastAsia="en-GB"/>
        </w:rPr>
        <w:t xml:space="preserve">- Important changes for people who use insulin products fact sheet </w:t>
      </w:r>
    </w:p>
    <w:p w14:paraId="60BA9C3B" w14:textId="77777777" w:rsidR="00EA4A99" w:rsidRPr="00B92F79" w:rsidRDefault="00EA4A99" w:rsidP="00EA4A99">
      <w:pPr>
        <w:pStyle w:val="ListParagraph"/>
        <w:numPr>
          <w:ilvl w:val="0"/>
          <w:numId w:val="12"/>
        </w:numPr>
        <w:spacing w:after="100" w:afterAutospacing="1"/>
        <w:rPr>
          <w:lang w:val="en-US"/>
        </w:rPr>
      </w:pPr>
      <w:r>
        <w:rPr>
          <w:rFonts w:cs="Arial"/>
          <w:lang w:eastAsia="en-GB"/>
        </w:rPr>
        <w:fldChar w:fldCharType="end"/>
      </w:r>
      <w:r w:rsidRPr="0033688A">
        <w:rPr>
          <w:rStyle w:val="Hyperlink"/>
          <w:color w:val="auto"/>
          <w:u w:val="none"/>
        </w:rPr>
        <w:t>Australian Commission on Safety and Quality in Health Care</w:t>
      </w:r>
      <w:r>
        <w:rPr>
          <w:rStyle w:val="Hyperlink"/>
          <w:color w:val="auto"/>
          <w:u w:val="none"/>
        </w:rPr>
        <w:t xml:space="preserve"> </w:t>
      </w:r>
      <w:hyperlink r:id="rId28" w:history="1">
        <w:r w:rsidRPr="00142FE2">
          <w:rPr>
            <w:rStyle w:val="Hyperlink"/>
          </w:rPr>
          <w:t>Health Literacy - Supporting staff to meet health literacy needs fact sheet</w:t>
        </w:r>
      </w:hyperlink>
    </w:p>
    <w:bookmarkEnd w:id="1"/>
    <w:p w14:paraId="72087ACB" w14:textId="6FD67AAC" w:rsidR="00EA4A99" w:rsidRDefault="00EA4A99" w:rsidP="00EA4A99">
      <w:pPr>
        <w:pStyle w:val="ListParagraph"/>
        <w:numPr>
          <w:ilvl w:val="0"/>
          <w:numId w:val="12"/>
        </w:numPr>
        <w:spacing w:after="100" w:afterAutospacing="1"/>
        <w:rPr>
          <w:lang w:val="en-US"/>
        </w:rPr>
      </w:pPr>
      <w:r w:rsidRPr="0033688A">
        <w:rPr>
          <w:lang w:val="en-US"/>
        </w:rPr>
        <w:t xml:space="preserve">NSW Health Safety Notice 035/24 - </w:t>
      </w:r>
      <w:hyperlink r:id="rId29" w:history="1">
        <w:r w:rsidRPr="0033688A">
          <w:rPr>
            <w:rStyle w:val="Hyperlink"/>
            <w:lang w:val="en-US"/>
          </w:rPr>
          <w:t>Discontinuation of multiple insulin products</w:t>
        </w:r>
      </w:hyperlink>
      <w:r w:rsidRPr="0033688A">
        <w:rPr>
          <w:lang w:val="en-US"/>
        </w:rPr>
        <w:t xml:space="preserve"> (16 December 2024</w:t>
      </w:r>
      <w:r w:rsidR="0009074D">
        <w:rPr>
          <w:lang w:val="en-US"/>
        </w:rPr>
        <w:t>; made obsolete 23 Sept 2025</w:t>
      </w:r>
      <w:r w:rsidRPr="0033688A">
        <w:rPr>
          <w:lang w:val="en-US"/>
        </w:rPr>
        <w:t xml:space="preserve">) </w:t>
      </w:r>
    </w:p>
    <w:p w14:paraId="02CF1BA9" w14:textId="5DE2466E" w:rsidR="0009074D" w:rsidRPr="0009074D" w:rsidRDefault="0009074D" w:rsidP="006B7E7C">
      <w:pPr>
        <w:pStyle w:val="ListParagraph"/>
        <w:numPr>
          <w:ilvl w:val="0"/>
          <w:numId w:val="12"/>
        </w:numPr>
        <w:rPr>
          <w:lang w:val="en-US"/>
        </w:rPr>
      </w:pPr>
      <w:r w:rsidRPr="0009074D">
        <w:rPr>
          <w:lang w:val="en-US"/>
        </w:rPr>
        <w:t xml:space="preserve">NSW Health Safety Notice 023/25 – </w:t>
      </w:r>
      <w:hyperlink r:id="rId30" w:history="1">
        <w:r w:rsidRPr="0009074D">
          <w:rPr>
            <w:rStyle w:val="Hyperlink"/>
            <w:lang w:val="en-US"/>
          </w:rPr>
          <w:t>UPDATED: Discontinuation of multiple insulin products</w:t>
        </w:r>
      </w:hyperlink>
      <w:r w:rsidRPr="0009074D">
        <w:rPr>
          <w:lang w:val="en-US"/>
        </w:rPr>
        <w:t xml:space="preserve"> (23 Sept 2025)</w:t>
      </w:r>
    </w:p>
    <w:p w14:paraId="7E18BD70" w14:textId="7205D3BE" w:rsidR="001F2ABD" w:rsidRPr="001F2ABD" w:rsidRDefault="00EA4A99" w:rsidP="004F4210">
      <w:pPr>
        <w:pStyle w:val="ListParagraph"/>
        <w:numPr>
          <w:ilvl w:val="0"/>
          <w:numId w:val="12"/>
        </w:numPr>
        <w:spacing w:after="100" w:afterAutospacing="1"/>
        <w:rPr>
          <w:lang w:val="en-US"/>
        </w:rPr>
      </w:pPr>
      <w:r w:rsidRPr="0033688A">
        <w:rPr>
          <w:lang w:val="en-US"/>
        </w:rPr>
        <w:t xml:space="preserve">Queensland Health </w:t>
      </w:r>
      <w:hyperlink r:id="rId31" w:history="1">
        <w:r w:rsidRPr="0033688A">
          <w:rPr>
            <w:rStyle w:val="Hyperlink"/>
            <w:lang w:val="en-US"/>
          </w:rPr>
          <w:t>Fact Sheet – Discontinuation of Protaphane</w:t>
        </w:r>
        <w:r w:rsidRPr="0033688A">
          <w:rPr>
            <w:rStyle w:val="Hyperlink"/>
            <w:vertAlign w:val="superscript"/>
            <w:lang w:val="en-US"/>
          </w:rPr>
          <w:t>®</w:t>
        </w:r>
        <w:r w:rsidRPr="0033688A">
          <w:rPr>
            <w:rStyle w:val="Hyperlink"/>
            <w:lang w:val="en-US"/>
          </w:rPr>
          <w:t xml:space="preserve"> InnoLet</w:t>
        </w:r>
        <w:r w:rsidRPr="0033688A">
          <w:rPr>
            <w:rStyle w:val="Hyperlink"/>
            <w:vertAlign w:val="superscript"/>
            <w:lang w:val="en-US"/>
          </w:rPr>
          <w:t>®</w:t>
        </w:r>
        <w:r w:rsidRPr="0033688A">
          <w:rPr>
            <w:rStyle w:val="Hyperlink"/>
            <w:lang w:val="en-US"/>
          </w:rPr>
          <w:t xml:space="preserve"> and other insulin products</w:t>
        </w:r>
      </w:hyperlink>
      <w:r w:rsidRPr="0033688A">
        <w:rPr>
          <w:lang w:val="en-US"/>
        </w:rPr>
        <w:t xml:space="preserve"> (20 December 2024)</w:t>
      </w:r>
    </w:p>
    <w:p w14:paraId="4ED74453" w14:textId="77777777" w:rsidR="0009074D" w:rsidRDefault="0009074D" w:rsidP="004F4210">
      <w:pPr>
        <w:rPr>
          <w:b/>
          <w:bCs/>
        </w:rPr>
      </w:pPr>
    </w:p>
    <w:p w14:paraId="4A2D9803" w14:textId="77777777" w:rsidR="0009074D" w:rsidRDefault="0009074D" w:rsidP="004F4210">
      <w:pPr>
        <w:rPr>
          <w:b/>
          <w:bCs/>
        </w:rPr>
      </w:pPr>
    </w:p>
    <w:p w14:paraId="4341C121" w14:textId="53BE64CB" w:rsidR="004F4210" w:rsidRPr="004F4210" w:rsidRDefault="004F4210" w:rsidP="004F4210">
      <w:pPr>
        <w:rPr>
          <w:b/>
          <w:bCs/>
        </w:rPr>
      </w:pPr>
      <w:r w:rsidRPr="004F4210">
        <w:rPr>
          <w:b/>
          <w:bCs/>
        </w:rPr>
        <w:lastRenderedPageBreak/>
        <w:t>For more information</w:t>
      </w:r>
    </w:p>
    <w:p w14:paraId="4C9AF1F8" w14:textId="24E71DF3" w:rsidR="004F4210" w:rsidRDefault="004F4210" w:rsidP="004F4210">
      <w:r>
        <w:t xml:space="preserve">Please visit: </w:t>
      </w:r>
      <w:hyperlink r:id="rId32" w:history="1">
        <w:r w:rsidR="00E86A78" w:rsidRPr="00CB4803">
          <w:rPr>
            <w:rStyle w:val="Hyperlink"/>
          </w:rPr>
          <w:t>TGA Medicine Shortage Reports Database</w:t>
        </w:r>
      </w:hyperlink>
      <w:r w:rsidR="00E86A78" w:rsidRPr="0039209D">
        <w:t xml:space="preserve"> or contact the </w:t>
      </w:r>
      <w:r w:rsidR="00E86A78">
        <w:t>Commission</w:t>
      </w:r>
      <w:r w:rsidR="00E86A78" w:rsidRPr="0039209D">
        <w:t xml:space="preserve"> at </w:t>
      </w:r>
      <w:hyperlink r:id="rId33" w:history="1">
        <w:r w:rsidR="00E86A78" w:rsidRPr="0045236C">
          <w:rPr>
            <w:rStyle w:val="Hyperlink"/>
          </w:rPr>
          <w:t>medsafety@safetyandquality.gov.au</w:t>
        </w:r>
      </w:hyperlink>
      <w:r w:rsidR="00E86A78" w:rsidRPr="0039209D">
        <w:t xml:space="preserve"> or call 1800 304 056.</w:t>
      </w:r>
    </w:p>
    <w:p w14:paraId="4433A08E" w14:textId="7FB23D51" w:rsidR="003734D9" w:rsidRPr="003734D9" w:rsidRDefault="004F4210" w:rsidP="004F4210">
      <w:pPr>
        <w:rPr>
          <w:color w:val="EE0000"/>
        </w:rPr>
      </w:pPr>
      <w:r>
        <w:t>© Australian Commission on Safety and Quality in Health Ca</w:t>
      </w:r>
      <w:r w:rsidRPr="00DC0FB1">
        <w:rPr>
          <w:color w:val="auto"/>
        </w:rPr>
        <w:t>re 20</w:t>
      </w:r>
      <w:r w:rsidR="00DC0FB1" w:rsidRPr="00DC0FB1">
        <w:rPr>
          <w:color w:val="auto"/>
        </w:rPr>
        <w:t>26</w:t>
      </w:r>
    </w:p>
    <w:sectPr w:rsidR="003734D9" w:rsidRPr="003734D9" w:rsidSect="00381281">
      <w:headerReference w:type="even" r:id="rId34"/>
      <w:headerReference w:type="default" r:id="rId35"/>
      <w:footerReference w:type="even" r:id="rId36"/>
      <w:footerReference w:type="default" r:id="rId37"/>
      <w:headerReference w:type="first" r:id="rId38"/>
      <w:footerReference w:type="first" r:id="rId39"/>
      <w:pgSz w:w="11906" w:h="16838" w:code="9"/>
      <w:pgMar w:top="2268" w:right="1531" w:bottom="1361" w:left="153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F445" w14:textId="77777777" w:rsidR="00E01C32" w:rsidRDefault="00E01C32" w:rsidP="001D0AFC">
      <w:r>
        <w:separator/>
      </w:r>
    </w:p>
    <w:p w14:paraId="58E8DECB" w14:textId="77777777" w:rsidR="00E01C32" w:rsidRDefault="00E01C32"/>
    <w:p w14:paraId="78B808E1" w14:textId="77777777" w:rsidR="00E01C32" w:rsidRDefault="00E01C32"/>
    <w:p w14:paraId="47399899" w14:textId="77777777" w:rsidR="00E01C32" w:rsidRDefault="00E01C32"/>
  </w:endnote>
  <w:endnote w:type="continuationSeparator" w:id="0">
    <w:p w14:paraId="200564AF" w14:textId="77777777" w:rsidR="00E01C32" w:rsidRDefault="00E01C32" w:rsidP="001D0AFC">
      <w:r>
        <w:continuationSeparator/>
      </w:r>
    </w:p>
    <w:p w14:paraId="09F45955" w14:textId="77777777" w:rsidR="00E01C32" w:rsidRDefault="00E01C32"/>
    <w:p w14:paraId="7E13B77D" w14:textId="77777777" w:rsidR="00E01C32" w:rsidRDefault="00E01C32"/>
    <w:p w14:paraId="55733DA8" w14:textId="77777777" w:rsidR="00E01C32" w:rsidRDefault="00E01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0A06" w14:textId="4FF8309D" w:rsidR="00052827" w:rsidRDefault="00052827">
    <w:pPr>
      <w:pStyle w:val="Footer"/>
    </w:pPr>
    <w:r>
      <w:rPr>
        <w:noProof/>
      </w:rPr>
      <mc:AlternateContent>
        <mc:Choice Requires="wps">
          <w:drawing>
            <wp:anchor distT="0" distB="0" distL="0" distR="0" simplePos="0" relativeHeight="251670528" behindDoc="0" locked="0" layoutInCell="1" allowOverlap="1" wp14:anchorId="7F6DDF42" wp14:editId="1A2F237D">
              <wp:simplePos x="635" y="635"/>
              <wp:positionH relativeFrom="page">
                <wp:align>center</wp:align>
              </wp:positionH>
              <wp:positionV relativeFrom="page">
                <wp:align>bottom</wp:align>
              </wp:positionV>
              <wp:extent cx="622300" cy="452755"/>
              <wp:effectExtent l="0" t="0" r="6350" b="0"/>
              <wp:wrapNone/>
              <wp:docPr id="4739712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06336A6" w14:textId="39345034" w:rsidR="00052827" w:rsidRPr="00052827" w:rsidRDefault="00052827" w:rsidP="00052827">
                          <w:pPr>
                            <w:spacing w:after="0"/>
                            <w:rPr>
                              <w:rFonts w:ascii="Aptos" w:eastAsia="Aptos" w:hAnsi="Aptos" w:cs="Aptos"/>
                              <w:noProof/>
                              <w:color w:val="FF0000"/>
                              <w:sz w:val="24"/>
                              <w:szCs w:val="24"/>
                            </w:rPr>
                          </w:pPr>
                          <w:r w:rsidRPr="0005282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6DDF42" id="_x0000_t202" coordsize="21600,21600" o:spt="202" path="m,l,21600r21600,l21600,xe">
              <v:stroke joinstyle="miter"/>
              <v:path gradientshapeok="t" o:connecttype="rect"/>
            </v:shapetype>
            <v:shape id="Text Box 5" o:spid="_x0000_s1027" type="#_x0000_t202" alt="OFFICIAL" style="position:absolute;margin-left:0;margin-top:0;width:49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406336A6" w14:textId="39345034" w:rsidR="00052827" w:rsidRPr="00052827" w:rsidRDefault="00052827" w:rsidP="00052827">
                    <w:pPr>
                      <w:spacing w:after="0"/>
                      <w:rPr>
                        <w:rFonts w:ascii="Aptos" w:eastAsia="Aptos" w:hAnsi="Aptos" w:cs="Aptos"/>
                        <w:noProof/>
                        <w:color w:val="FF0000"/>
                        <w:sz w:val="24"/>
                        <w:szCs w:val="24"/>
                      </w:rPr>
                    </w:pPr>
                    <w:r w:rsidRPr="0005282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95E7" w14:textId="4D096EF3" w:rsidR="00A2648F" w:rsidRPr="00A2648F" w:rsidRDefault="00A2648F" w:rsidP="00A2648F">
    <w:pPr>
      <w:pStyle w:val="Footer"/>
      <w:ind w:left="284"/>
      <w:rPr>
        <w:b/>
        <w:bCs/>
      </w:rPr>
    </w:pPr>
    <w:r w:rsidRPr="006B7E7C">
      <w:rPr>
        <w:noProof/>
        <w:color w:val="auto"/>
      </w:rPr>
      <w:drawing>
        <wp:anchor distT="0" distB="0" distL="114300" distR="114300" simplePos="0" relativeHeight="251659264" behindDoc="0" locked="0" layoutInCell="1" allowOverlap="1" wp14:anchorId="5C50E833" wp14:editId="1DC1C302">
          <wp:simplePos x="0" y="0"/>
          <wp:positionH relativeFrom="column">
            <wp:posOffset>0</wp:posOffset>
          </wp:positionH>
          <wp:positionV relativeFrom="paragraph">
            <wp:posOffset>-27432</wp:posOffset>
          </wp:positionV>
          <wp:extent cx="138948" cy="180000"/>
          <wp:effectExtent l="0" t="0" r="0" b="0"/>
          <wp:wrapNone/>
          <wp:docPr id="105012695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277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1BB8" w:rsidRPr="006B7E7C">
      <w:rPr>
        <w:color w:val="auto"/>
      </w:rPr>
      <w:t>Fact sheet – Discontinuation of Protaphane</w:t>
    </w:r>
    <w:r w:rsidR="00D31BB8" w:rsidRPr="00686AD5">
      <w:rPr>
        <w:color w:val="auto"/>
        <w:vertAlign w:val="superscript"/>
      </w:rPr>
      <w:t>®</w:t>
    </w:r>
    <w:r w:rsidR="00D31BB8" w:rsidRPr="006B7E7C">
      <w:rPr>
        <w:color w:val="auto"/>
      </w:rPr>
      <w:t xml:space="preserve"> InnoLet</w:t>
    </w:r>
    <w:r w:rsidR="00D31BB8" w:rsidRPr="00686AD5">
      <w:rPr>
        <w:color w:val="auto"/>
        <w:vertAlign w:val="superscript"/>
      </w:rPr>
      <w:t>®</w:t>
    </w:r>
    <w:r w:rsidR="00D31BB8" w:rsidRPr="006B7E7C">
      <w:rPr>
        <w:color w:val="auto"/>
      </w:rPr>
      <w:t xml:space="preserve"> (human isophane insulin) for clinicians</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1</w:t>
    </w:r>
    <w:r w:rsidRPr="00E74653">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79BA" w14:textId="50D1C0E3" w:rsidR="00BB429E" w:rsidRPr="00BB429E" w:rsidRDefault="00BB429E" w:rsidP="00BB429E">
    <w:pPr>
      <w:pStyle w:val="Footer"/>
      <w:ind w:left="284"/>
      <w:rPr>
        <w:b/>
        <w:bCs/>
      </w:rPr>
    </w:pPr>
    <w:r w:rsidRPr="006B7E7C">
      <w:rPr>
        <w:noProof/>
        <w:color w:val="auto"/>
      </w:rPr>
      <w:drawing>
        <wp:anchor distT="0" distB="0" distL="114300" distR="114300" simplePos="0" relativeHeight="251665408" behindDoc="0" locked="0" layoutInCell="1" allowOverlap="1" wp14:anchorId="1E455855" wp14:editId="3A6561DA">
          <wp:simplePos x="0" y="0"/>
          <wp:positionH relativeFrom="column">
            <wp:posOffset>0</wp:posOffset>
          </wp:positionH>
          <wp:positionV relativeFrom="paragraph">
            <wp:posOffset>-27432</wp:posOffset>
          </wp:positionV>
          <wp:extent cx="138948" cy="180000"/>
          <wp:effectExtent l="0" t="0" r="0" b="0"/>
          <wp:wrapNone/>
          <wp:docPr id="78200930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79742"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1BB8" w:rsidRPr="006B7E7C">
      <w:rPr>
        <w:color w:val="auto"/>
      </w:rPr>
      <w:t>Fact sheet – Discontinuation of Protaphane</w:t>
    </w:r>
    <w:r w:rsidR="00D31BB8" w:rsidRPr="00686AD5">
      <w:rPr>
        <w:color w:val="auto"/>
        <w:vertAlign w:val="superscript"/>
      </w:rPr>
      <w:t>®</w:t>
    </w:r>
    <w:r w:rsidR="00D31BB8" w:rsidRPr="006B7E7C">
      <w:rPr>
        <w:color w:val="auto"/>
      </w:rPr>
      <w:t xml:space="preserve"> InnoLet</w:t>
    </w:r>
    <w:r w:rsidR="00D31BB8" w:rsidRPr="00686AD5">
      <w:rPr>
        <w:color w:val="auto"/>
        <w:vertAlign w:val="superscript"/>
      </w:rPr>
      <w:t>®</w:t>
    </w:r>
    <w:r w:rsidR="00D31BB8" w:rsidRPr="006B7E7C">
      <w:rPr>
        <w:color w:val="auto"/>
      </w:rPr>
      <w:t xml:space="preserve"> (human isophane insulin) for clinicians</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3</w:t>
    </w:r>
    <w:r w:rsidRPr="00E7465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AF24" w14:textId="77777777" w:rsidR="00E01C32" w:rsidRDefault="00E01C32" w:rsidP="001D0AFC">
      <w:r>
        <w:separator/>
      </w:r>
    </w:p>
    <w:p w14:paraId="4945F090" w14:textId="77777777" w:rsidR="00E01C32" w:rsidRDefault="00E01C32"/>
  </w:footnote>
  <w:footnote w:type="continuationSeparator" w:id="0">
    <w:p w14:paraId="4D750AAB" w14:textId="77777777" w:rsidR="00E01C32" w:rsidRDefault="00E01C32" w:rsidP="001D0AFC">
      <w:r>
        <w:continuationSeparator/>
      </w:r>
    </w:p>
    <w:p w14:paraId="1E271020" w14:textId="77777777" w:rsidR="00E01C32" w:rsidRDefault="00E01C32"/>
  </w:footnote>
  <w:footnote w:type="continuationNotice" w:id="1">
    <w:p w14:paraId="7D42C44B" w14:textId="77777777" w:rsidR="00E01C32" w:rsidRDefault="00E01C32">
      <w:pPr>
        <w:spacing w:before="0" w:after="0"/>
      </w:pPr>
    </w:p>
    <w:p w14:paraId="0571775F" w14:textId="77777777" w:rsidR="00E01C32" w:rsidRDefault="00E01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4D08" w14:textId="59FE4401" w:rsidR="00052827" w:rsidRDefault="00052827">
    <w:pPr>
      <w:pStyle w:val="Header"/>
    </w:pPr>
    <w:r>
      <w:rPr>
        <w:noProof/>
      </w:rPr>
      <mc:AlternateContent>
        <mc:Choice Requires="wps">
          <w:drawing>
            <wp:anchor distT="0" distB="0" distL="0" distR="0" simplePos="0" relativeHeight="251667456" behindDoc="0" locked="0" layoutInCell="1" allowOverlap="1" wp14:anchorId="0A83B3C2" wp14:editId="3B71270D">
              <wp:simplePos x="635" y="635"/>
              <wp:positionH relativeFrom="page">
                <wp:align>center</wp:align>
              </wp:positionH>
              <wp:positionV relativeFrom="page">
                <wp:align>top</wp:align>
              </wp:positionV>
              <wp:extent cx="622300" cy="452755"/>
              <wp:effectExtent l="0" t="0" r="6350" b="4445"/>
              <wp:wrapNone/>
              <wp:docPr id="251559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29A7F79" w14:textId="0C192CD0" w:rsidR="00052827" w:rsidRPr="00052827" w:rsidRDefault="00052827" w:rsidP="00052827">
                          <w:pPr>
                            <w:spacing w:after="0"/>
                            <w:rPr>
                              <w:rFonts w:ascii="Aptos" w:eastAsia="Aptos" w:hAnsi="Aptos" w:cs="Aptos"/>
                              <w:noProof/>
                              <w:color w:val="FF0000"/>
                              <w:sz w:val="24"/>
                              <w:szCs w:val="24"/>
                            </w:rPr>
                          </w:pPr>
                          <w:r w:rsidRPr="000528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3B3C2"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529A7F79" w14:textId="0C192CD0" w:rsidR="00052827" w:rsidRPr="00052827" w:rsidRDefault="00052827" w:rsidP="00052827">
                    <w:pPr>
                      <w:spacing w:after="0"/>
                      <w:rPr>
                        <w:rFonts w:ascii="Aptos" w:eastAsia="Aptos" w:hAnsi="Aptos" w:cs="Aptos"/>
                        <w:noProof/>
                        <w:color w:val="FF0000"/>
                        <w:sz w:val="24"/>
                        <w:szCs w:val="24"/>
                      </w:rPr>
                    </w:pPr>
                    <w:r w:rsidRPr="0005282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625" w:tblpY="625"/>
      <w:tblOverlap w:val="never"/>
      <w:tblW w:w="10247" w:type="dxa"/>
      <w:tblCellMar>
        <w:left w:w="0" w:type="dxa"/>
        <w:right w:w="0" w:type="dxa"/>
      </w:tblCellMar>
      <w:tblLook w:val="04A0" w:firstRow="1" w:lastRow="0" w:firstColumn="1" w:lastColumn="0" w:noHBand="0" w:noVBand="1"/>
    </w:tblPr>
    <w:tblGrid>
      <w:gridCol w:w="8105"/>
      <w:gridCol w:w="2142"/>
    </w:tblGrid>
    <w:tr w:rsidR="00E6329D" w14:paraId="6F7B490D" w14:textId="77777777" w:rsidTr="008450A2">
      <w:trPr>
        <w:trHeight w:hRule="exact" w:val="879"/>
      </w:trPr>
      <w:tc>
        <w:tcPr>
          <w:tcW w:w="8105" w:type="dxa"/>
        </w:tcPr>
        <w:p w14:paraId="4CB4FED3" w14:textId="3DE5C9D5" w:rsidR="00E6329D" w:rsidRDefault="00E6329D" w:rsidP="008450A2">
          <w:pPr>
            <w:pStyle w:val="Header"/>
          </w:pPr>
          <w:r w:rsidRPr="009527AE">
            <w:rPr>
              <w:noProof/>
              <w:color w:val="FFFFFF" w:themeColor="background1"/>
              <w:sz w:val="16"/>
              <w:szCs w:val="16"/>
            </w:rPr>
            <w:drawing>
              <wp:inline distT="0" distB="0" distL="0" distR="0" wp14:anchorId="24F90C3E" wp14:editId="337CBFCE">
                <wp:extent cx="1511250" cy="539305"/>
                <wp:effectExtent l="0" t="0" r="0" b="0"/>
                <wp:docPr id="1454454209"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98621"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1250" cy="539305"/>
                        </a:xfrm>
                        <a:prstGeom prst="rect">
                          <a:avLst/>
                        </a:prstGeom>
                      </pic:spPr>
                    </pic:pic>
                  </a:graphicData>
                </a:graphic>
              </wp:inline>
            </w:drawing>
          </w:r>
        </w:p>
      </w:tc>
      <w:tc>
        <w:tcPr>
          <w:tcW w:w="2142" w:type="dxa"/>
          <w:vAlign w:val="bottom"/>
        </w:tcPr>
        <w:p w14:paraId="56A0BAE5" w14:textId="77777777" w:rsidR="00E6329D" w:rsidRPr="003F0AC1" w:rsidRDefault="005F110C" w:rsidP="008450A2">
          <w:pPr>
            <w:pStyle w:val="Header"/>
            <w:rPr>
              <w:b/>
              <w:bCs/>
              <w:color w:val="auto"/>
            </w:rPr>
          </w:pPr>
          <w:r w:rsidRPr="003F0AC1">
            <w:rPr>
              <w:b/>
              <w:bCs/>
              <w:color w:val="auto"/>
            </w:rPr>
            <w:t>Fact sheet</w:t>
          </w:r>
        </w:p>
        <w:p w14:paraId="6F2EBFA6" w14:textId="3FD0283E" w:rsidR="00E6329D" w:rsidRDefault="003F0AC1" w:rsidP="008450A2">
          <w:pPr>
            <w:pStyle w:val="Header"/>
          </w:pPr>
          <w:r w:rsidRPr="003F0AC1">
            <w:rPr>
              <w:color w:val="auto"/>
            </w:rPr>
            <w:t>For clinicians</w:t>
          </w:r>
        </w:p>
      </w:tc>
    </w:tr>
  </w:tbl>
  <w:p w14:paraId="67AE5A67" w14:textId="77777777" w:rsidR="00E6329D" w:rsidRDefault="00E63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625" w:tblpY="625"/>
      <w:tblOverlap w:val="never"/>
      <w:tblW w:w="10247" w:type="dxa"/>
      <w:tblCellMar>
        <w:left w:w="0" w:type="dxa"/>
        <w:right w:w="0" w:type="dxa"/>
      </w:tblCellMar>
      <w:tblLook w:val="04A0" w:firstRow="1" w:lastRow="0" w:firstColumn="1" w:lastColumn="0" w:noHBand="0" w:noVBand="1"/>
    </w:tblPr>
    <w:tblGrid>
      <w:gridCol w:w="8105"/>
      <w:gridCol w:w="2142"/>
    </w:tblGrid>
    <w:tr w:rsidR="00BB429E" w14:paraId="044C5D44" w14:textId="77777777" w:rsidTr="008450A2">
      <w:trPr>
        <w:trHeight w:hRule="exact" w:val="879"/>
      </w:trPr>
      <w:tc>
        <w:tcPr>
          <w:tcW w:w="8105" w:type="dxa"/>
        </w:tcPr>
        <w:p w14:paraId="73E56B14" w14:textId="6E83608A" w:rsidR="00BB429E" w:rsidRDefault="00BB429E" w:rsidP="008450A2">
          <w:pPr>
            <w:pStyle w:val="Header"/>
          </w:pPr>
          <w:r w:rsidRPr="009527AE">
            <w:rPr>
              <w:noProof/>
              <w:color w:val="FFFFFF" w:themeColor="background1"/>
              <w:sz w:val="16"/>
              <w:szCs w:val="16"/>
            </w:rPr>
            <w:drawing>
              <wp:inline distT="0" distB="0" distL="0" distR="0" wp14:anchorId="5C52A5AC" wp14:editId="411B70F7">
                <wp:extent cx="1511250" cy="539305"/>
                <wp:effectExtent l="0" t="0" r="0" b="0"/>
                <wp:docPr id="1393098184" name="Graphic 11">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94319" name="Graphic 11">
                          <a:extLst>
                            <a:ext uri="{FF2B5EF4-FFF2-40B4-BE49-F238E27FC236}">
                              <a16:creationId xmlns:a16="http://schemas.microsoft.com/office/drawing/2014/main" id="{03A7763C-B648-1C2B-592F-16266CACB79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1250" cy="539305"/>
                        </a:xfrm>
                        <a:prstGeom prst="rect">
                          <a:avLst/>
                        </a:prstGeom>
                      </pic:spPr>
                    </pic:pic>
                  </a:graphicData>
                </a:graphic>
              </wp:inline>
            </w:drawing>
          </w:r>
        </w:p>
      </w:tc>
      <w:tc>
        <w:tcPr>
          <w:tcW w:w="2142" w:type="dxa"/>
          <w:vAlign w:val="bottom"/>
        </w:tcPr>
        <w:p w14:paraId="4349C598" w14:textId="77777777" w:rsidR="00BB429E" w:rsidRPr="002B3381" w:rsidRDefault="005F110C" w:rsidP="008450A2">
          <w:pPr>
            <w:pStyle w:val="Header"/>
            <w:rPr>
              <w:b/>
              <w:bCs/>
              <w:color w:val="auto"/>
            </w:rPr>
          </w:pPr>
          <w:r w:rsidRPr="002B3381">
            <w:rPr>
              <w:b/>
              <w:bCs/>
              <w:color w:val="auto"/>
            </w:rPr>
            <w:t>Fact sheet</w:t>
          </w:r>
        </w:p>
        <w:p w14:paraId="002E1E48" w14:textId="47A271C8" w:rsidR="00BB429E" w:rsidRPr="005F110C" w:rsidRDefault="003F0AC1" w:rsidP="0041255E">
          <w:pPr>
            <w:pStyle w:val="Header"/>
            <w:rPr>
              <w:color w:val="FF0000"/>
            </w:rPr>
          </w:pPr>
          <w:r>
            <w:rPr>
              <w:color w:val="auto"/>
            </w:rPr>
            <w:t>F</w:t>
          </w:r>
          <w:r w:rsidR="002B3381" w:rsidRPr="002B3381">
            <w:rPr>
              <w:color w:val="auto"/>
            </w:rPr>
            <w:t>or clinicians</w:t>
          </w:r>
        </w:p>
      </w:tc>
    </w:tr>
  </w:tbl>
  <w:p w14:paraId="00A2BA86" w14:textId="77777777" w:rsidR="00BB429E" w:rsidRPr="00BB429E" w:rsidRDefault="00BB429E" w:rsidP="00BB429E">
    <w:pPr>
      <w:pStyle w:val="Header"/>
    </w:pPr>
    <w:r>
      <w:rPr>
        <w:noProof/>
      </w:rPr>
      <w:drawing>
        <wp:anchor distT="0" distB="0" distL="114300" distR="114300" simplePos="0" relativeHeight="251663360" behindDoc="0" locked="0" layoutInCell="1" allowOverlap="1" wp14:anchorId="4FC6CCA0" wp14:editId="2D0E53DF">
          <wp:simplePos x="0" y="0"/>
          <wp:positionH relativeFrom="page">
            <wp:align>left</wp:align>
          </wp:positionH>
          <wp:positionV relativeFrom="page">
            <wp:posOffset>1440180</wp:posOffset>
          </wp:positionV>
          <wp:extent cx="7560000" cy="1515600"/>
          <wp:effectExtent l="0" t="0" r="3175" b="8890"/>
          <wp:wrapNone/>
          <wp:docPr id="192143739"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2995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D84F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0A02E3"/>
    <w:multiLevelType w:val="hybridMultilevel"/>
    <w:tmpl w:val="FD7E6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3" w15:restartNumberingAfterBreak="0">
    <w:nsid w:val="2F6578CC"/>
    <w:multiLevelType w:val="hybridMultilevel"/>
    <w:tmpl w:val="097C2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61F7723"/>
    <w:multiLevelType w:val="multilevel"/>
    <w:tmpl w:val="50D0D142"/>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76A28B4"/>
    <w:multiLevelType w:val="hybridMultilevel"/>
    <w:tmpl w:val="A37C44EC"/>
    <w:lvl w:ilvl="0" w:tplc="1020F9F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7" w15:restartNumberingAfterBreak="0">
    <w:nsid w:val="6BF84F78"/>
    <w:multiLevelType w:val="hybridMultilevel"/>
    <w:tmpl w:val="E72E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F6279A"/>
    <w:multiLevelType w:val="hybridMultilevel"/>
    <w:tmpl w:val="0FCE9082"/>
    <w:lvl w:ilvl="0" w:tplc="5E4034FE">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741557D"/>
    <w:multiLevelType w:val="hybridMultilevel"/>
    <w:tmpl w:val="8514C5A2"/>
    <w:lvl w:ilvl="0" w:tplc="E3D86758">
      <w:start w:val="1"/>
      <w:numFmt w:val="bullet"/>
      <w:lvlText w:val=""/>
      <w:lvlJc w:val="left"/>
      <w:pPr>
        <w:ind w:left="454" w:hanging="309"/>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87E4D88"/>
    <w:multiLevelType w:val="multilevel"/>
    <w:tmpl w:val="CA804B26"/>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2"/>
  </w:num>
  <w:num w:numId="2" w16cid:durableId="1231190212">
    <w:abstractNumId w:val="6"/>
  </w:num>
  <w:num w:numId="3" w16cid:durableId="579215263">
    <w:abstractNumId w:val="4"/>
  </w:num>
  <w:num w:numId="4" w16cid:durableId="327100884">
    <w:abstractNumId w:val="11"/>
  </w:num>
  <w:num w:numId="5" w16cid:durableId="844396454">
    <w:abstractNumId w:val="0"/>
  </w:num>
  <w:num w:numId="6" w16cid:durableId="2069956620">
    <w:abstractNumId w:val="8"/>
  </w:num>
  <w:num w:numId="7" w16cid:durableId="1959675322">
    <w:abstractNumId w:val="9"/>
  </w:num>
  <w:num w:numId="8" w16cid:durableId="1676029257">
    <w:abstractNumId w:val="5"/>
  </w:num>
  <w:num w:numId="9" w16cid:durableId="1910770107">
    <w:abstractNumId w:val="10"/>
  </w:num>
  <w:num w:numId="10" w16cid:durableId="210382977">
    <w:abstractNumId w:val="1"/>
  </w:num>
  <w:num w:numId="11" w16cid:durableId="203060327">
    <w:abstractNumId w:val="7"/>
  </w:num>
  <w:num w:numId="12" w16cid:durableId="6366403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5870BD"/>
    <w:rsid w:val="00011EBE"/>
    <w:rsid w:val="000121BA"/>
    <w:rsid w:val="000134CB"/>
    <w:rsid w:val="000136A5"/>
    <w:rsid w:val="00013E33"/>
    <w:rsid w:val="00015555"/>
    <w:rsid w:val="0001627D"/>
    <w:rsid w:val="000164A5"/>
    <w:rsid w:val="00020CF3"/>
    <w:rsid w:val="0002234B"/>
    <w:rsid w:val="000237BA"/>
    <w:rsid w:val="00024813"/>
    <w:rsid w:val="0003148E"/>
    <w:rsid w:val="00032388"/>
    <w:rsid w:val="00033439"/>
    <w:rsid w:val="00034043"/>
    <w:rsid w:val="00035A79"/>
    <w:rsid w:val="000369EA"/>
    <w:rsid w:val="00036FE5"/>
    <w:rsid w:val="00037DE5"/>
    <w:rsid w:val="00041055"/>
    <w:rsid w:val="00046136"/>
    <w:rsid w:val="00052827"/>
    <w:rsid w:val="00053982"/>
    <w:rsid w:val="000555D8"/>
    <w:rsid w:val="00056BC0"/>
    <w:rsid w:val="00061B61"/>
    <w:rsid w:val="000635BC"/>
    <w:rsid w:val="0006369F"/>
    <w:rsid w:val="000658B5"/>
    <w:rsid w:val="00065F7E"/>
    <w:rsid w:val="00072AF5"/>
    <w:rsid w:val="00073521"/>
    <w:rsid w:val="000760F4"/>
    <w:rsid w:val="00080037"/>
    <w:rsid w:val="00081BFA"/>
    <w:rsid w:val="00083A58"/>
    <w:rsid w:val="00083FD2"/>
    <w:rsid w:val="0008584C"/>
    <w:rsid w:val="000872A3"/>
    <w:rsid w:val="00090180"/>
    <w:rsid w:val="0009074D"/>
    <w:rsid w:val="00091A80"/>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5598"/>
    <w:rsid w:val="000B5729"/>
    <w:rsid w:val="000C0CA6"/>
    <w:rsid w:val="000C1B92"/>
    <w:rsid w:val="000C4291"/>
    <w:rsid w:val="000C5879"/>
    <w:rsid w:val="000D19FF"/>
    <w:rsid w:val="000D22A8"/>
    <w:rsid w:val="000D793D"/>
    <w:rsid w:val="000D7D92"/>
    <w:rsid w:val="000D7F92"/>
    <w:rsid w:val="000E552A"/>
    <w:rsid w:val="000E76FA"/>
    <w:rsid w:val="000F0455"/>
    <w:rsid w:val="000F2461"/>
    <w:rsid w:val="000F2EDC"/>
    <w:rsid w:val="000F5A29"/>
    <w:rsid w:val="000F5CB5"/>
    <w:rsid w:val="000F6463"/>
    <w:rsid w:val="000F6579"/>
    <w:rsid w:val="000F7990"/>
    <w:rsid w:val="00100584"/>
    <w:rsid w:val="001010A9"/>
    <w:rsid w:val="00103B28"/>
    <w:rsid w:val="0010640F"/>
    <w:rsid w:val="00106F60"/>
    <w:rsid w:val="00113EA9"/>
    <w:rsid w:val="001141D0"/>
    <w:rsid w:val="001175CB"/>
    <w:rsid w:val="00117894"/>
    <w:rsid w:val="001178D7"/>
    <w:rsid w:val="0012062F"/>
    <w:rsid w:val="00120E3D"/>
    <w:rsid w:val="001239E7"/>
    <w:rsid w:val="0012449A"/>
    <w:rsid w:val="001279BB"/>
    <w:rsid w:val="00131D34"/>
    <w:rsid w:val="00133783"/>
    <w:rsid w:val="001338BA"/>
    <w:rsid w:val="001368BE"/>
    <w:rsid w:val="00136B50"/>
    <w:rsid w:val="001425A7"/>
    <w:rsid w:val="001432FE"/>
    <w:rsid w:val="00144282"/>
    <w:rsid w:val="00144718"/>
    <w:rsid w:val="00144E74"/>
    <w:rsid w:val="001457C0"/>
    <w:rsid w:val="00145B28"/>
    <w:rsid w:val="00151F47"/>
    <w:rsid w:val="00152AC1"/>
    <w:rsid w:val="00153AEF"/>
    <w:rsid w:val="001547CB"/>
    <w:rsid w:val="00154C1A"/>
    <w:rsid w:val="00156042"/>
    <w:rsid w:val="001567DD"/>
    <w:rsid w:val="00156D02"/>
    <w:rsid w:val="00157AB6"/>
    <w:rsid w:val="00157CE7"/>
    <w:rsid w:val="00165F83"/>
    <w:rsid w:val="001714D3"/>
    <w:rsid w:val="00174708"/>
    <w:rsid w:val="0017752D"/>
    <w:rsid w:val="00182D27"/>
    <w:rsid w:val="00187C93"/>
    <w:rsid w:val="00191178"/>
    <w:rsid w:val="00191513"/>
    <w:rsid w:val="00191CC2"/>
    <w:rsid w:val="00192329"/>
    <w:rsid w:val="00193699"/>
    <w:rsid w:val="00197290"/>
    <w:rsid w:val="0019759D"/>
    <w:rsid w:val="00197ADC"/>
    <w:rsid w:val="00197E66"/>
    <w:rsid w:val="001A03FE"/>
    <w:rsid w:val="001A0E88"/>
    <w:rsid w:val="001A2B7F"/>
    <w:rsid w:val="001A41EB"/>
    <w:rsid w:val="001A4611"/>
    <w:rsid w:val="001A5727"/>
    <w:rsid w:val="001A7D74"/>
    <w:rsid w:val="001B3928"/>
    <w:rsid w:val="001B4011"/>
    <w:rsid w:val="001B709F"/>
    <w:rsid w:val="001B7FA1"/>
    <w:rsid w:val="001C28D3"/>
    <w:rsid w:val="001C3BEB"/>
    <w:rsid w:val="001C3FD0"/>
    <w:rsid w:val="001C410B"/>
    <w:rsid w:val="001C48D8"/>
    <w:rsid w:val="001C4B8A"/>
    <w:rsid w:val="001C5149"/>
    <w:rsid w:val="001C52C2"/>
    <w:rsid w:val="001C6BB6"/>
    <w:rsid w:val="001D0AFC"/>
    <w:rsid w:val="001D1EF4"/>
    <w:rsid w:val="001D2019"/>
    <w:rsid w:val="001D3383"/>
    <w:rsid w:val="001D7528"/>
    <w:rsid w:val="001D76E4"/>
    <w:rsid w:val="001E3A54"/>
    <w:rsid w:val="001E41E5"/>
    <w:rsid w:val="001E49C9"/>
    <w:rsid w:val="001E50A1"/>
    <w:rsid w:val="001E5108"/>
    <w:rsid w:val="001E5F8E"/>
    <w:rsid w:val="001F1430"/>
    <w:rsid w:val="001F25C8"/>
    <w:rsid w:val="001F2ABD"/>
    <w:rsid w:val="001F390A"/>
    <w:rsid w:val="001F3C12"/>
    <w:rsid w:val="001F40EE"/>
    <w:rsid w:val="00202C71"/>
    <w:rsid w:val="00202F7F"/>
    <w:rsid w:val="00207CBE"/>
    <w:rsid w:val="00210409"/>
    <w:rsid w:val="002105F2"/>
    <w:rsid w:val="00210E8D"/>
    <w:rsid w:val="0021123A"/>
    <w:rsid w:val="0021134B"/>
    <w:rsid w:val="00216854"/>
    <w:rsid w:val="00217D19"/>
    <w:rsid w:val="0022009C"/>
    <w:rsid w:val="00223F37"/>
    <w:rsid w:val="00226249"/>
    <w:rsid w:val="00227152"/>
    <w:rsid w:val="002307E1"/>
    <w:rsid w:val="00231BB5"/>
    <w:rsid w:val="002320CE"/>
    <w:rsid w:val="00233385"/>
    <w:rsid w:val="002333C5"/>
    <w:rsid w:val="002349BF"/>
    <w:rsid w:val="00242034"/>
    <w:rsid w:val="002422FD"/>
    <w:rsid w:val="00244887"/>
    <w:rsid w:val="00244E46"/>
    <w:rsid w:val="002468CF"/>
    <w:rsid w:val="00253E2B"/>
    <w:rsid w:val="002574B2"/>
    <w:rsid w:val="00257A55"/>
    <w:rsid w:val="00260209"/>
    <w:rsid w:val="00262666"/>
    <w:rsid w:val="00262769"/>
    <w:rsid w:val="002632B7"/>
    <w:rsid w:val="00264464"/>
    <w:rsid w:val="0026489B"/>
    <w:rsid w:val="00264F4D"/>
    <w:rsid w:val="002669C7"/>
    <w:rsid w:val="00272AAC"/>
    <w:rsid w:val="00274521"/>
    <w:rsid w:val="00275504"/>
    <w:rsid w:val="002776FA"/>
    <w:rsid w:val="00277E47"/>
    <w:rsid w:val="0028070D"/>
    <w:rsid w:val="002871D8"/>
    <w:rsid w:val="002900D8"/>
    <w:rsid w:val="00291082"/>
    <w:rsid w:val="002934C0"/>
    <w:rsid w:val="00295234"/>
    <w:rsid w:val="00296ADC"/>
    <w:rsid w:val="00297206"/>
    <w:rsid w:val="00297CB5"/>
    <w:rsid w:val="002A02B1"/>
    <w:rsid w:val="002A1211"/>
    <w:rsid w:val="002A12DA"/>
    <w:rsid w:val="002A1929"/>
    <w:rsid w:val="002A3117"/>
    <w:rsid w:val="002A50AE"/>
    <w:rsid w:val="002A521B"/>
    <w:rsid w:val="002A66E5"/>
    <w:rsid w:val="002B0323"/>
    <w:rsid w:val="002B1417"/>
    <w:rsid w:val="002B161A"/>
    <w:rsid w:val="002B16A7"/>
    <w:rsid w:val="002B3381"/>
    <w:rsid w:val="002B38C1"/>
    <w:rsid w:val="002B3C79"/>
    <w:rsid w:val="002B6D79"/>
    <w:rsid w:val="002C0BE4"/>
    <w:rsid w:val="002C147F"/>
    <w:rsid w:val="002C1E4B"/>
    <w:rsid w:val="002C2769"/>
    <w:rsid w:val="002C2E1B"/>
    <w:rsid w:val="002C3AFC"/>
    <w:rsid w:val="002C4209"/>
    <w:rsid w:val="002D291F"/>
    <w:rsid w:val="002D374F"/>
    <w:rsid w:val="002D396F"/>
    <w:rsid w:val="002D521E"/>
    <w:rsid w:val="002D5552"/>
    <w:rsid w:val="002D62CE"/>
    <w:rsid w:val="002D67D3"/>
    <w:rsid w:val="002D7462"/>
    <w:rsid w:val="002E001E"/>
    <w:rsid w:val="002E038B"/>
    <w:rsid w:val="002E1998"/>
    <w:rsid w:val="002E2CB1"/>
    <w:rsid w:val="002E2F01"/>
    <w:rsid w:val="002E41A9"/>
    <w:rsid w:val="002E6D7C"/>
    <w:rsid w:val="002E7E37"/>
    <w:rsid w:val="002F0E89"/>
    <w:rsid w:val="002F208B"/>
    <w:rsid w:val="002F2926"/>
    <w:rsid w:val="002F2993"/>
    <w:rsid w:val="002F4DA1"/>
    <w:rsid w:val="002F52F7"/>
    <w:rsid w:val="002F6F32"/>
    <w:rsid w:val="003004FA"/>
    <w:rsid w:val="0030270E"/>
    <w:rsid w:val="00303CD4"/>
    <w:rsid w:val="0030669E"/>
    <w:rsid w:val="0030795C"/>
    <w:rsid w:val="00313F81"/>
    <w:rsid w:val="00320667"/>
    <w:rsid w:val="003233EA"/>
    <w:rsid w:val="003262C4"/>
    <w:rsid w:val="00327466"/>
    <w:rsid w:val="003300BD"/>
    <w:rsid w:val="00336E8A"/>
    <w:rsid w:val="00337255"/>
    <w:rsid w:val="00337769"/>
    <w:rsid w:val="0033785B"/>
    <w:rsid w:val="0034210B"/>
    <w:rsid w:val="00342671"/>
    <w:rsid w:val="00342B0C"/>
    <w:rsid w:val="00343C87"/>
    <w:rsid w:val="003450AC"/>
    <w:rsid w:val="00345CA4"/>
    <w:rsid w:val="00351CED"/>
    <w:rsid w:val="0035330E"/>
    <w:rsid w:val="003536D5"/>
    <w:rsid w:val="00353DC5"/>
    <w:rsid w:val="00360BC0"/>
    <w:rsid w:val="0036434E"/>
    <w:rsid w:val="003734D9"/>
    <w:rsid w:val="00375370"/>
    <w:rsid w:val="00380AA5"/>
    <w:rsid w:val="00381281"/>
    <w:rsid w:val="0038259F"/>
    <w:rsid w:val="00383855"/>
    <w:rsid w:val="00384233"/>
    <w:rsid w:val="003845DF"/>
    <w:rsid w:val="00387AAC"/>
    <w:rsid w:val="00397A3B"/>
    <w:rsid w:val="003A0533"/>
    <w:rsid w:val="003A5810"/>
    <w:rsid w:val="003A5F1D"/>
    <w:rsid w:val="003A67D8"/>
    <w:rsid w:val="003A68CB"/>
    <w:rsid w:val="003B3D1A"/>
    <w:rsid w:val="003B4292"/>
    <w:rsid w:val="003B551F"/>
    <w:rsid w:val="003B5C68"/>
    <w:rsid w:val="003C1731"/>
    <w:rsid w:val="003C17BB"/>
    <w:rsid w:val="003C27E2"/>
    <w:rsid w:val="003C3CC4"/>
    <w:rsid w:val="003C469B"/>
    <w:rsid w:val="003C7C1B"/>
    <w:rsid w:val="003D0D9C"/>
    <w:rsid w:val="003D17FB"/>
    <w:rsid w:val="003D2652"/>
    <w:rsid w:val="003D2B5A"/>
    <w:rsid w:val="003D3C6D"/>
    <w:rsid w:val="003D5D9E"/>
    <w:rsid w:val="003D70C7"/>
    <w:rsid w:val="003E0987"/>
    <w:rsid w:val="003E0F3F"/>
    <w:rsid w:val="003E14DC"/>
    <w:rsid w:val="003E19F9"/>
    <w:rsid w:val="003E1AC6"/>
    <w:rsid w:val="003E37B6"/>
    <w:rsid w:val="003E3CF0"/>
    <w:rsid w:val="003E4D00"/>
    <w:rsid w:val="003E7795"/>
    <w:rsid w:val="003F0176"/>
    <w:rsid w:val="003F0791"/>
    <w:rsid w:val="003F0AC1"/>
    <w:rsid w:val="003F0DE2"/>
    <w:rsid w:val="003F4615"/>
    <w:rsid w:val="003F4678"/>
    <w:rsid w:val="004003DB"/>
    <w:rsid w:val="00401788"/>
    <w:rsid w:val="00402E02"/>
    <w:rsid w:val="00402F1C"/>
    <w:rsid w:val="00407E7F"/>
    <w:rsid w:val="00411636"/>
    <w:rsid w:val="00411B7D"/>
    <w:rsid w:val="0041255E"/>
    <w:rsid w:val="00416267"/>
    <w:rsid w:val="00416788"/>
    <w:rsid w:val="0042039D"/>
    <w:rsid w:val="00421E99"/>
    <w:rsid w:val="004223ED"/>
    <w:rsid w:val="00424406"/>
    <w:rsid w:val="004252F4"/>
    <w:rsid w:val="00425C5C"/>
    <w:rsid w:val="004265BE"/>
    <w:rsid w:val="00431975"/>
    <w:rsid w:val="00433093"/>
    <w:rsid w:val="004339D6"/>
    <w:rsid w:val="00435303"/>
    <w:rsid w:val="0044217F"/>
    <w:rsid w:val="004438AC"/>
    <w:rsid w:val="00444B74"/>
    <w:rsid w:val="00445F6A"/>
    <w:rsid w:val="0044750A"/>
    <w:rsid w:val="004478A9"/>
    <w:rsid w:val="00447F86"/>
    <w:rsid w:val="00450AEF"/>
    <w:rsid w:val="0045454F"/>
    <w:rsid w:val="0045567D"/>
    <w:rsid w:val="004562F3"/>
    <w:rsid w:val="004622D6"/>
    <w:rsid w:val="004624F7"/>
    <w:rsid w:val="00462C1E"/>
    <w:rsid w:val="004642D9"/>
    <w:rsid w:val="00466AF8"/>
    <w:rsid w:val="00467B74"/>
    <w:rsid w:val="00467CE7"/>
    <w:rsid w:val="00470AB3"/>
    <w:rsid w:val="0047130C"/>
    <w:rsid w:val="00473D7E"/>
    <w:rsid w:val="004751CC"/>
    <w:rsid w:val="004753EA"/>
    <w:rsid w:val="0048437F"/>
    <w:rsid w:val="004923D4"/>
    <w:rsid w:val="004931C2"/>
    <w:rsid w:val="00495969"/>
    <w:rsid w:val="00497959"/>
    <w:rsid w:val="004A0ED4"/>
    <w:rsid w:val="004A1736"/>
    <w:rsid w:val="004A1BC5"/>
    <w:rsid w:val="004A3278"/>
    <w:rsid w:val="004A4B45"/>
    <w:rsid w:val="004A58E5"/>
    <w:rsid w:val="004A6A7C"/>
    <w:rsid w:val="004A6D7F"/>
    <w:rsid w:val="004A7DA8"/>
    <w:rsid w:val="004B17FB"/>
    <w:rsid w:val="004B27DD"/>
    <w:rsid w:val="004B3359"/>
    <w:rsid w:val="004B38F6"/>
    <w:rsid w:val="004C26DA"/>
    <w:rsid w:val="004C2CBD"/>
    <w:rsid w:val="004C2D38"/>
    <w:rsid w:val="004C6084"/>
    <w:rsid w:val="004C6C62"/>
    <w:rsid w:val="004D0DC8"/>
    <w:rsid w:val="004D181B"/>
    <w:rsid w:val="004D1D34"/>
    <w:rsid w:val="004D1FE3"/>
    <w:rsid w:val="004D3380"/>
    <w:rsid w:val="004D7430"/>
    <w:rsid w:val="004E0042"/>
    <w:rsid w:val="004E06CD"/>
    <w:rsid w:val="004E0750"/>
    <w:rsid w:val="004E169F"/>
    <w:rsid w:val="004E18F2"/>
    <w:rsid w:val="004E2765"/>
    <w:rsid w:val="004E38D4"/>
    <w:rsid w:val="004E5861"/>
    <w:rsid w:val="004E5EEB"/>
    <w:rsid w:val="004F16FA"/>
    <w:rsid w:val="004F4210"/>
    <w:rsid w:val="004F6546"/>
    <w:rsid w:val="00504AE4"/>
    <w:rsid w:val="00505381"/>
    <w:rsid w:val="005062D4"/>
    <w:rsid w:val="0050706D"/>
    <w:rsid w:val="005071B9"/>
    <w:rsid w:val="00507D3A"/>
    <w:rsid w:val="00507DED"/>
    <w:rsid w:val="00510A99"/>
    <w:rsid w:val="00512BE7"/>
    <w:rsid w:val="005138A5"/>
    <w:rsid w:val="00515751"/>
    <w:rsid w:val="00520281"/>
    <w:rsid w:val="00521C5A"/>
    <w:rsid w:val="00521CCB"/>
    <w:rsid w:val="005234AB"/>
    <w:rsid w:val="005266C3"/>
    <w:rsid w:val="00527D0A"/>
    <w:rsid w:val="005316C5"/>
    <w:rsid w:val="00537ECB"/>
    <w:rsid w:val="005410C1"/>
    <w:rsid w:val="00547EA5"/>
    <w:rsid w:val="005520BC"/>
    <w:rsid w:val="00552F86"/>
    <w:rsid w:val="005532C6"/>
    <w:rsid w:val="005559C1"/>
    <w:rsid w:val="00562DF0"/>
    <w:rsid w:val="005634B4"/>
    <w:rsid w:val="0056463F"/>
    <w:rsid w:val="005646CD"/>
    <w:rsid w:val="0056489B"/>
    <w:rsid w:val="00570151"/>
    <w:rsid w:val="005743DF"/>
    <w:rsid w:val="005746D4"/>
    <w:rsid w:val="00575EA1"/>
    <w:rsid w:val="00582037"/>
    <w:rsid w:val="00583BF3"/>
    <w:rsid w:val="00584EA0"/>
    <w:rsid w:val="00585314"/>
    <w:rsid w:val="00585FC6"/>
    <w:rsid w:val="00586756"/>
    <w:rsid w:val="005870BD"/>
    <w:rsid w:val="005915AE"/>
    <w:rsid w:val="0059331F"/>
    <w:rsid w:val="00593C4E"/>
    <w:rsid w:val="005943E4"/>
    <w:rsid w:val="00594996"/>
    <w:rsid w:val="00595909"/>
    <w:rsid w:val="005963C4"/>
    <w:rsid w:val="005A22A5"/>
    <w:rsid w:val="005A647D"/>
    <w:rsid w:val="005B158F"/>
    <w:rsid w:val="005B1BD1"/>
    <w:rsid w:val="005B1DF9"/>
    <w:rsid w:val="005B3A1A"/>
    <w:rsid w:val="005B4808"/>
    <w:rsid w:val="005B5231"/>
    <w:rsid w:val="005C317B"/>
    <w:rsid w:val="005C3BCC"/>
    <w:rsid w:val="005C3C53"/>
    <w:rsid w:val="005C3D26"/>
    <w:rsid w:val="005C76E3"/>
    <w:rsid w:val="005D1997"/>
    <w:rsid w:val="005D32BE"/>
    <w:rsid w:val="005D65FE"/>
    <w:rsid w:val="005D7DCC"/>
    <w:rsid w:val="005E3C4D"/>
    <w:rsid w:val="005E3E4E"/>
    <w:rsid w:val="005F08D9"/>
    <w:rsid w:val="005F110C"/>
    <w:rsid w:val="005F36C3"/>
    <w:rsid w:val="005F4740"/>
    <w:rsid w:val="005F59AA"/>
    <w:rsid w:val="0060327D"/>
    <w:rsid w:val="00603D3A"/>
    <w:rsid w:val="00606ED1"/>
    <w:rsid w:val="0060777F"/>
    <w:rsid w:val="00607D8E"/>
    <w:rsid w:val="00610149"/>
    <w:rsid w:val="006105B6"/>
    <w:rsid w:val="0061259C"/>
    <w:rsid w:val="00616063"/>
    <w:rsid w:val="00616A8F"/>
    <w:rsid w:val="0062006A"/>
    <w:rsid w:val="00620692"/>
    <w:rsid w:val="00622A8D"/>
    <w:rsid w:val="0062348C"/>
    <w:rsid w:val="006330DA"/>
    <w:rsid w:val="006367D6"/>
    <w:rsid w:val="00640006"/>
    <w:rsid w:val="0064041E"/>
    <w:rsid w:val="00640B02"/>
    <w:rsid w:val="00644F41"/>
    <w:rsid w:val="006454C7"/>
    <w:rsid w:val="006458A1"/>
    <w:rsid w:val="0064638E"/>
    <w:rsid w:val="00647F38"/>
    <w:rsid w:val="00652DDC"/>
    <w:rsid w:val="00656D2E"/>
    <w:rsid w:val="0065754D"/>
    <w:rsid w:val="00662B82"/>
    <w:rsid w:val="00663A07"/>
    <w:rsid w:val="00663EB2"/>
    <w:rsid w:val="00664625"/>
    <w:rsid w:val="00665F53"/>
    <w:rsid w:val="006666F0"/>
    <w:rsid w:val="006761D1"/>
    <w:rsid w:val="00677184"/>
    <w:rsid w:val="0068065E"/>
    <w:rsid w:val="006818CB"/>
    <w:rsid w:val="00681DC4"/>
    <w:rsid w:val="00682690"/>
    <w:rsid w:val="00686747"/>
    <w:rsid w:val="006869E7"/>
    <w:rsid w:val="00686AD5"/>
    <w:rsid w:val="00687FC3"/>
    <w:rsid w:val="006909B3"/>
    <w:rsid w:val="006910B9"/>
    <w:rsid w:val="00691B1E"/>
    <w:rsid w:val="00693793"/>
    <w:rsid w:val="00693A71"/>
    <w:rsid w:val="00693D43"/>
    <w:rsid w:val="006A0D5B"/>
    <w:rsid w:val="006A261D"/>
    <w:rsid w:val="006A35DD"/>
    <w:rsid w:val="006A3CDA"/>
    <w:rsid w:val="006A3D01"/>
    <w:rsid w:val="006A4FC9"/>
    <w:rsid w:val="006A780A"/>
    <w:rsid w:val="006A7FC2"/>
    <w:rsid w:val="006B0C33"/>
    <w:rsid w:val="006B3A4B"/>
    <w:rsid w:val="006B6CB3"/>
    <w:rsid w:val="006B7E7C"/>
    <w:rsid w:val="006C1340"/>
    <w:rsid w:val="006C1E76"/>
    <w:rsid w:val="006C2813"/>
    <w:rsid w:val="006C2EEC"/>
    <w:rsid w:val="006C3EE5"/>
    <w:rsid w:val="006C3FCD"/>
    <w:rsid w:val="006C4497"/>
    <w:rsid w:val="006C5560"/>
    <w:rsid w:val="006C5BC4"/>
    <w:rsid w:val="006C643E"/>
    <w:rsid w:val="006D0E06"/>
    <w:rsid w:val="006D118B"/>
    <w:rsid w:val="006D16CC"/>
    <w:rsid w:val="006D2526"/>
    <w:rsid w:val="006D41CA"/>
    <w:rsid w:val="006D6392"/>
    <w:rsid w:val="006E0022"/>
    <w:rsid w:val="006E281A"/>
    <w:rsid w:val="006E362E"/>
    <w:rsid w:val="006E546F"/>
    <w:rsid w:val="006E5981"/>
    <w:rsid w:val="006E6195"/>
    <w:rsid w:val="006E777C"/>
    <w:rsid w:val="006E7EA8"/>
    <w:rsid w:val="006F0D69"/>
    <w:rsid w:val="006F169C"/>
    <w:rsid w:val="006F297E"/>
    <w:rsid w:val="006F3439"/>
    <w:rsid w:val="006F50F5"/>
    <w:rsid w:val="006F5C6F"/>
    <w:rsid w:val="006F7CB3"/>
    <w:rsid w:val="007023B2"/>
    <w:rsid w:val="00704546"/>
    <w:rsid w:val="0070784B"/>
    <w:rsid w:val="00707B0F"/>
    <w:rsid w:val="00710AEE"/>
    <w:rsid w:val="00711370"/>
    <w:rsid w:val="00716958"/>
    <w:rsid w:val="007175A9"/>
    <w:rsid w:val="0072344E"/>
    <w:rsid w:val="00724799"/>
    <w:rsid w:val="00732675"/>
    <w:rsid w:val="00732F33"/>
    <w:rsid w:val="00733BB6"/>
    <w:rsid w:val="00734448"/>
    <w:rsid w:val="007345C6"/>
    <w:rsid w:val="0073698E"/>
    <w:rsid w:val="007369FD"/>
    <w:rsid w:val="00740F95"/>
    <w:rsid w:val="00742A2A"/>
    <w:rsid w:val="00742D15"/>
    <w:rsid w:val="00743223"/>
    <w:rsid w:val="00743B9E"/>
    <w:rsid w:val="00743F2B"/>
    <w:rsid w:val="007454B9"/>
    <w:rsid w:val="007467E3"/>
    <w:rsid w:val="00751B97"/>
    <w:rsid w:val="00752D37"/>
    <w:rsid w:val="007531C4"/>
    <w:rsid w:val="00754945"/>
    <w:rsid w:val="00755A69"/>
    <w:rsid w:val="00755BB3"/>
    <w:rsid w:val="00756E38"/>
    <w:rsid w:val="007577DB"/>
    <w:rsid w:val="00760E66"/>
    <w:rsid w:val="00762818"/>
    <w:rsid w:val="00763211"/>
    <w:rsid w:val="007641A7"/>
    <w:rsid w:val="0076540B"/>
    <w:rsid w:val="0077172B"/>
    <w:rsid w:val="00772BCA"/>
    <w:rsid w:val="0077668B"/>
    <w:rsid w:val="007776CE"/>
    <w:rsid w:val="00780046"/>
    <w:rsid w:val="00780A83"/>
    <w:rsid w:val="007819DD"/>
    <w:rsid w:val="00781D4D"/>
    <w:rsid w:val="00794B20"/>
    <w:rsid w:val="00796DE6"/>
    <w:rsid w:val="007A049D"/>
    <w:rsid w:val="007A63DD"/>
    <w:rsid w:val="007B03B8"/>
    <w:rsid w:val="007B20FE"/>
    <w:rsid w:val="007B3904"/>
    <w:rsid w:val="007B5FB6"/>
    <w:rsid w:val="007B730B"/>
    <w:rsid w:val="007C0D01"/>
    <w:rsid w:val="007C13F1"/>
    <w:rsid w:val="007C5286"/>
    <w:rsid w:val="007C5B4F"/>
    <w:rsid w:val="007C5C39"/>
    <w:rsid w:val="007C5FAE"/>
    <w:rsid w:val="007C68A4"/>
    <w:rsid w:val="007D0359"/>
    <w:rsid w:val="007D1CC1"/>
    <w:rsid w:val="007D302D"/>
    <w:rsid w:val="007E4792"/>
    <w:rsid w:val="007E6C0C"/>
    <w:rsid w:val="007F1006"/>
    <w:rsid w:val="007F15BC"/>
    <w:rsid w:val="007F6088"/>
    <w:rsid w:val="007F7683"/>
    <w:rsid w:val="007F7F9B"/>
    <w:rsid w:val="00800F49"/>
    <w:rsid w:val="00802574"/>
    <w:rsid w:val="00803042"/>
    <w:rsid w:val="008043C0"/>
    <w:rsid w:val="008044C2"/>
    <w:rsid w:val="00806A1D"/>
    <w:rsid w:val="00807516"/>
    <w:rsid w:val="0080756E"/>
    <w:rsid w:val="00807B89"/>
    <w:rsid w:val="008106C1"/>
    <w:rsid w:val="00810F2C"/>
    <w:rsid w:val="00813D71"/>
    <w:rsid w:val="00814EB6"/>
    <w:rsid w:val="00814EEE"/>
    <w:rsid w:val="00815B59"/>
    <w:rsid w:val="00823B41"/>
    <w:rsid w:val="008254F9"/>
    <w:rsid w:val="00825F78"/>
    <w:rsid w:val="00826D89"/>
    <w:rsid w:val="0082700C"/>
    <w:rsid w:val="00831855"/>
    <w:rsid w:val="008326EB"/>
    <w:rsid w:val="008327AB"/>
    <w:rsid w:val="00834459"/>
    <w:rsid w:val="00835736"/>
    <w:rsid w:val="00835D56"/>
    <w:rsid w:val="008375B1"/>
    <w:rsid w:val="008450A2"/>
    <w:rsid w:val="0084690D"/>
    <w:rsid w:val="008520E2"/>
    <w:rsid w:val="00853537"/>
    <w:rsid w:val="0086000C"/>
    <w:rsid w:val="008603FF"/>
    <w:rsid w:val="00862CD1"/>
    <w:rsid w:val="00862D9B"/>
    <w:rsid w:val="0086323A"/>
    <w:rsid w:val="00864F9E"/>
    <w:rsid w:val="00867C7F"/>
    <w:rsid w:val="00867FD1"/>
    <w:rsid w:val="0087248E"/>
    <w:rsid w:val="00872DBB"/>
    <w:rsid w:val="00873EEA"/>
    <w:rsid w:val="00875B30"/>
    <w:rsid w:val="00880FAF"/>
    <w:rsid w:val="008877E5"/>
    <w:rsid w:val="0088797B"/>
    <w:rsid w:val="00894893"/>
    <w:rsid w:val="008969F7"/>
    <w:rsid w:val="00896BFF"/>
    <w:rsid w:val="00897C17"/>
    <w:rsid w:val="008A0298"/>
    <w:rsid w:val="008A1F47"/>
    <w:rsid w:val="008A6F64"/>
    <w:rsid w:val="008B0557"/>
    <w:rsid w:val="008B1EDB"/>
    <w:rsid w:val="008B4110"/>
    <w:rsid w:val="008B41E5"/>
    <w:rsid w:val="008B4594"/>
    <w:rsid w:val="008B513E"/>
    <w:rsid w:val="008B6BA7"/>
    <w:rsid w:val="008C20AC"/>
    <w:rsid w:val="008C3C5D"/>
    <w:rsid w:val="008C70EC"/>
    <w:rsid w:val="008D1C45"/>
    <w:rsid w:val="008D1DE2"/>
    <w:rsid w:val="008D5EA6"/>
    <w:rsid w:val="008D6976"/>
    <w:rsid w:val="008D7966"/>
    <w:rsid w:val="008E0BDC"/>
    <w:rsid w:val="008E2748"/>
    <w:rsid w:val="008E37C3"/>
    <w:rsid w:val="008E6310"/>
    <w:rsid w:val="008E76B2"/>
    <w:rsid w:val="008F22DF"/>
    <w:rsid w:val="008F348D"/>
    <w:rsid w:val="008F68E6"/>
    <w:rsid w:val="009042B2"/>
    <w:rsid w:val="00905EE7"/>
    <w:rsid w:val="00907414"/>
    <w:rsid w:val="009078A0"/>
    <w:rsid w:val="00907D31"/>
    <w:rsid w:val="009148B4"/>
    <w:rsid w:val="009173AC"/>
    <w:rsid w:val="00924284"/>
    <w:rsid w:val="00930132"/>
    <w:rsid w:val="00930D4E"/>
    <w:rsid w:val="00932857"/>
    <w:rsid w:val="00934F89"/>
    <w:rsid w:val="00935823"/>
    <w:rsid w:val="009363FF"/>
    <w:rsid w:val="0093688A"/>
    <w:rsid w:val="00943667"/>
    <w:rsid w:val="00944B83"/>
    <w:rsid w:val="00944E01"/>
    <w:rsid w:val="00950CB7"/>
    <w:rsid w:val="00951EA7"/>
    <w:rsid w:val="009527AE"/>
    <w:rsid w:val="0095289A"/>
    <w:rsid w:val="00953AB2"/>
    <w:rsid w:val="0095480D"/>
    <w:rsid w:val="00957C0B"/>
    <w:rsid w:val="009643B7"/>
    <w:rsid w:val="0096683E"/>
    <w:rsid w:val="009673AA"/>
    <w:rsid w:val="009720E5"/>
    <w:rsid w:val="00973C07"/>
    <w:rsid w:val="0097559E"/>
    <w:rsid w:val="009805D1"/>
    <w:rsid w:val="00983A0C"/>
    <w:rsid w:val="0098562A"/>
    <w:rsid w:val="00985941"/>
    <w:rsid w:val="009875F1"/>
    <w:rsid w:val="009939C2"/>
    <w:rsid w:val="009949CF"/>
    <w:rsid w:val="009951D1"/>
    <w:rsid w:val="009967DA"/>
    <w:rsid w:val="00996A28"/>
    <w:rsid w:val="009A1343"/>
    <w:rsid w:val="009A244B"/>
    <w:rsid w:val="009A3301"/>
    <w:rsid w:val="009A4CF8"/>
    <w:rsid w:val="009A7E7C"/>
    <w:rsid w:val="009B08C9"/>
    <w:rsid w:val="009B2BD5"/>
    <w:rsid w:val="009B626A"/>
    <w:rsid w:val="009B6A74"/>
    <w:rsid w:val="009C0985"/>
    <w:rsid w:val="009C6862"/>
    <w:rsid w:val="009C69D1"/>
    <w:rsid w:val="009D04F8"/>
    <w:rsid w:val="009D18FC"/>
    <w:rsid w:val="009D27F9"/>
    <w:rsid w:val="009D5542"/>
    <w:rsid w:val="009D5614"/>
    <w:rsid w:val="009D6BAB"/>
    <w:rsid w:val="009D7365"/>
    <w:rsid w:val="009E0D5D"/>
    <w:rsid w:val="009E0E0C"/>
    <w:rsid w:val="009E3ABE"/>
    <w:rsid w:val="009E513B"/>
    <w:rsid w:val="009E5530"/>
    <w:rsid w:val="009F1238"/>
    <w:rsid w:val="009F1578"/>
    <w:rsid w:val="009F3D3A"/>
    <w:rsid w:val="009F3EB9"/>
    <w:rsid w:val="009F4403"/>
    <w:rsid w:val="009F5E32"/>
    <w:rsid w:val="00A002B2"/>
    <w:rsid w:val="00A0390D"/>
    <w:rsid w:val="00A040B2"/>
    <w:rsid w:val="00A049AD"/>
    <w:rsid w:val="00A05877"/>
    <w:rsid w:val="00A05B14"/>
    <w:rsid w:val="00A05CB3"/>
    <w:rsid w:val="00A10C8D"/>
    <w:rsid w:val="00A11010"/>
    <w:rsid w:val="00A121BE"/>
    <w:rsid w:val="00A124BD"/>
    <w:rsid w:val="00A169E0"/>
    <w:rsid w:val="00A1740D"/>
    <w:rsid w:val="00A2102A"/>
    <w:rsid w:val="00A21250"/>
    <w:rsid w:val="00A237CC"/>
    <w:rsid w:val="00A239E9"/>
    <w:rsid w:val="00A23CEE"/>
    <w:rsid w:val="00A24E7E"/>
    <w:rsid w:val="00A26237"/>
    <w:rsid w:val="00A263AC"/>
    <w:rsid w:val="00A2648F"/>
    <w:rsid w:val="00A270F4"/>
    <w:rsid w:val="00A27D1A"/>
    <w:rsid w:val="00A305C0"/>
    <w:rsid w:val="00A30B24"/>
    <w:rsid w:val="00A30B2F"/>
    <w:rsid w:val="00A30CA2"/>
    <w:rsid w:val="00A311EC"/>
    <w:rsid w:val="00A31F47"/>
    <w:rsid w:val="00A3271C"/>
    <w:rsid w:val="00A3563F"/>
    <w:rsid w:val="00A36F6E"/>
    <w:rsid w:val="00A37834"/>
    <w:rsid w:val="00A379D0"/>
    <w:rsid w:val="00A406C2"/>
    <w:rsid w:val="00A40702"/>
    <w:rsid w:val="00A40E79"/>
    <w:rsid w:val="00A41D2C"/>
    <w:rsid w:val="00A438DA"/>
    <w:rsid w:val="00A45CA9"/>
    <w:rsid w:val="00A549C7"/>
    <w:rsid w:val="00A54B77"/>
    <w:rsid w:val="00A554CC"/>
    <w:rsid w:val="00A57BEE"/>
    <w:rsid w:val="00A60798"/>
    <w:rsid w:val="00A608A2"/>
    <w:rsid w:val="00A61580"/>
    <w:rsid w:val="00A62057"/>
    <w:rsid w:val="00A62BBD"/>
    <w:rsid w:val="00A6586C"/>
    <w:rsid w:val="00A6719F"/>
    <w:rsid w:val="00A67381"/>
    <w:rsid w:val="00A72917"/>
    <w:rsid w:val="00A738DB"/>
    <w:rsid w:val="00A76331"/>
    <w:rsid w:val="00A80C22"/>
    <w:rsid w:val="00A8239E"/>
    <w:rsid w:val="00A82C5F"/>
    <w:rsid w:val="00A857C9"/>
    <w:rsid w:val="00A866B8"/>
    <w:rsid w:val="00A91389"/>
    <w:rsid w:val="00A9727D"/>
    <w:rsid w:val="00A97298"/>
    <w:rsid w:val="00A97EE7"/>
    <w:rsid w:val="00AB0BBD"/>
    <w:rsid w:val="00AB0D0F"/>
    <w:rsid w:val="00AB3114"/>
    <w:rsid w:val="00AB3259"/>
    <w:rsid w:val="00AB396A"/>
    <w:rsid w:val="00AB3C56"/>
    <w:rsid w:val="00AB3E03"/>
    <w:rsid w:val="00AB6449"/>
    <w:rsid w:val="00AB64A7"/>
    <w:rsid w:val="00AC04BB"/>
    <w:rsid w:val="00AC2041"/>
    <w:rsid w:val="00AC2C84"/>
    <w:rsid w:val="00AC4303"/>
    <w:rsid w:val="00AC4B47"/>
    <w:rsid w:val="00AC4CF0"/>
    <w:rsid w:val="00AC6350"/>
    <w:rsid w:val="00AC75DC"/>
    <w:rsid w:val="00AD10B5"/>
    <w:rsid w:val="00AD374F"/>
    <w:rsid w:val="00AD3B5E"/>
    <w:rsid w:val="00AD54DB"/>
    <w:rsid w:val="00AD587F"/>
    <w:rsid w:val="00AD5C27"/>
    <w:rsid w:val="00AE0D1B"/>
    <w:rsid w:val="00AE2702"/>
    <w:rsid w:val="00AE5580"/>
    <w:rsid w:val="00AE5EDF"/>
    <w:rsid w:val="00AE6670"/>
    <w:rsid w:val="00AE7D1E"/>
    <w:rsid w:val="00AF1121"/>
    <w:rsid w:val="00AF6619"/>
    <w:rsid w:val="00AF72A3"/>
    <w:rsid w:val="00AF74B0"/>
    <w:rsid w:val="00B014AA"/>
    <w:rsid w:val="00B01D4F"/>
    <w:rsid w:val="00B0201E"/>
    <w:rsid w:val="00B03FC2"/>
    <w:rsid w:val="00B044AE"/>
    <w:rsid w:val="00B0751F"/>
    <w:rsid w:val="00B10760"/>
    <w:rsid w:val="00B12ADD"/>
    <w:rsid w:val="00B146CB"/>
    <w:rsid w:val="00B22EE5"/>
    <w:rsid w:val="00B232F6"/>
    <w:rsid w:val="00B23442"/>
    <w:rsid w:val="00B3112C"/>
    <w:rsid w:val="00B33686"/>
    <w:rsid w:val="00B36484"/>
    <w:rsid w:val="00B36C02"/>
    <w:rsid w:val="00B41440"/>
    <w:rsid w:val="00B41C57"/>
    <w:rsid w:val="00B42F1B"/>
    <w:rsid w:val="00B46E65"/>
    <w:rsid w:val="00B52143"/>
    <w:rsid w:val="00B543B5"/>
    <w:rsid w:val="00B57046"/>
    <w:rsid w:val="00B5778A"/>
    <w:rsid w:val="00B6203C"/>
    <w:rsid w:val="00B62340"/>
    <w:rsid w:val="00B64364"/>
    <w:rsid w:val="00B67DE1"/>
    <w:rsid w:val="00B71030"/>
    <w:rsid w:val="00B715FF"/>
    <w:rsid w:val="00B72F90"/>
    <w:rsid w:val="00B761FF"/>
    <w:rsid w:val="00B81FB3"/>
    <w:rsid w:val="00B8312D"/>
    <w:rsid w:val="00B846A2"/>
    <w:rsid w:val="00B848DC"/>
    <w:rsid w:val="00B87EE4"/>
    <w:rsid w:val="00B9092E"/>
    <w:rsid w:val="00B93D2E"/>
    <w:rsid w:val="00B94743"/>
    <w:rsid w:val="00B949E0"/>
    <w:rsid w:val="00B94A36"/>
    <w:rsid w:val="00BA28F9"/>
    <w:rsid w:val="00BA2B7C"/>
    <w:rsid w:val="00BA2D5F"/>
    <w:rsid w:val="00BA2E9D"/>
    <w:rsid w:val="00BA32F1"/>
    <w:rsid w:val="00BA39FF"/>
    <w:rsid w:val="00BA6AD7"/>
    <w:rsid w:val="00BA7DEB"/>
    <w:rsid w:val="00BA7EF2"/>
    <w:rsid w:val="00BB03F1"/>
    <w:rsid w:val="00BB1DCF"/>
    <w:rsid w:val="00BB3E60"/>
    <w:rsid w:val="00BB4210"/>
    <w:rsid w:val="00BB429E"/>
    <w:rsid w:val="00BB7373"/>
    <w:rsid w:val="00BC05DE"/>
    <w:rsid w:val="00BC2986"/>
    <w:rsid w:val="00BC4040"/>
    <w:rsid w:val="00BC4754"/>
    <w:rsid w:val="00BC488E"/>
    <w:rsid w:val="00BC4E55"/>
    <w:rsid w:val="00BD37B2"/>
    <w:rsid w:val="00BD5153"/>
    <w:rsid w:val="00BD68A2"/>
    <w:rsid w:val="00BE29D9"/>
    <w:rsid w:val="00BE2A20"/>
    <w:rsid w:val="00BE2DF2"/>
    <w:rsid w:val="00BE55DC"/>
    <w:rsid w:val="00BE5DF1"/>
    <w:rsid w:val="00BE6AD3"/>
    <w:rsid w:val="00BF4B63"/>
    <w:rsid w:val="00BF5F0E"/>
    <w:rsid w:val="00BF6B6C"/>
    <w:rsid w:val="00BF6D6A"/>
    <w:rsid w:val="00C02412"/>
    <w:rsid w:val="00C02EA8"/>
    <w:rsid w:val="00C05C65"/>
    <w:rsid w:val="00C064C8"/>
    <w:rsid w:val="00C10D9D"/>
    <w:rsid w:val="00C115C2"/>
    <w:rsid w:val="00C11AB0"/>
    <w:rsid w:val="00C11EC4"/>
    <w:rsid w:val="00C1216D"/>
    <w:rsid w:val="00C1257C"/>
    <w:rsid w:val="00C127FA"/>
    <w:rsid w:val="00C162F2"/>
    <w:rsid w:val="00C16318"/>
    <w:rsid w:val="00C17953"/>
    <w:rsid w:val="00C2062C"/>
    <w:rsid w:val="00C207DA"/>
    <w:rsid w:val="00C213C2"/>
    <w:rsid w:val="00C217DF"/>
    <w:rsid w:val="00C21834"/>
    <w:rsid w:val="00C227EC"/>
    <w:rsid w:val="00C238D8"/>
    <w:rsid w:val="00C24FE9"/>
    <w:rsid w:val="00C31329"/>
    <w:rsid w:val="00C31441"/>
    <w:rsid w:val="00C328CC"/>
    <w:rsid w:val="00C34E35"/>
    <w:rsid w:val="00C409A5"/>
    <w:rsid w:val="00C45B5E"/>
    <w:rsid w:val="00C46294"/>
    <w:rsid w:val="00C46F97"/>
    <w:rsid w:val="00C471C4"/>
    <w:rsid w:val="00C50FF3"/>
    <w:rsid w:val="00C51F57"/>
    <w:rsid w:val="00C5647F"/>
    <w:rsid w:val="00C56A46"/>
    <w:rsid w:val="00C57E87"/>
    <w:rsid w:val="00C63D9A"/>
    <w:rsid w:val="00C646A8"/>
    <w:rsid w:val="00C6547C"/>
    <w:rsid w:val="00C66147"/>
    <w:rsid w:val="00C663C0"/>
    <w:rsid w:val="00C671BA"/>
    <w:rsid w:val="00C72800"/>
    <w:rsid w:val="00C76B8E"/>
    <w:rsid w:val="00C77E67"/>
    <w:rsid w:val="00C80AA9"/>
    <w:rsid w:val="00C80B2D"/>
    <w:rsid w:val="00C80DDE"/>
    <w:rsid w:val="00C8199C"/>
    <w:rsid w:val="00C840D8"/>
    <w:rsid w:val="00C84E10"/>
    <w:rsid w:val="00C85349"/>
    <w:rsid w:val="00C86AF1"/>
    <w:rsid w:val="00C87D99"/>
    <w:rsid w:val="00C9029F"/>
    <w:rsid w:val="00C9039F"/>
    <w:rsid w:val="00C92477"/>
    <w:rsid w:val="00C92A32"/>
    <w:rsid w:val="00C9668B"/>
    <w:rsid w:val="00C96C49"/>
    <w:rsid w:val="00CA27B7"/>
    <w:rsid w:val="00CA2E95"/>
    <w:rsid w:val="00CA7572"/>
    <w:rsid w:val="00CA7F74"/>
    <w:rsid w:val="00CB0C32"/>
    <w:rsid w:val="00CB1248"/>
    <w:rsid w:val="00CB16D2"/>
    <w:rsid w:val="00CB1DFC"/>
    <w:rsid w:val="00CB2A32"/>
    <w:rsid w:val="00CB2D65"/>
    <w:rsid w:val="00CB6246"/>
    <w:rsid w:val="00CC0759"/>
    <w:rsid w:val="00CC3160"/>
    <w:rsid w:val="00CC4243"/>
    <w:rsid w:val="00CD2DBF"/>
    <w:rsid w:val="00CD4E24"/>
    <w:rsid w:val="00CD6207"/>
    <w:rsid w:val="00CD72A6"/>
    <w:rsid w:val="00CE39B8"/>
    <w:rsid w:val="00CE4A83"/>
    <w:rsid w:val="00CE525E"/>
    <w:rsid w:val="00CF1591"/>
    <w:rsid w:val="00CF1689"/>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67D0"/>
    <w:rsid w:val="00D177A0"/>
    <w:rsid w:val="00D20092"/>
    <w:rsid w:val="00D2069B"/>
    <w:rsid w:val="00D2293A"/>
    <w:rsid w:val="00D22E65"/>
    <w:rsid w:val="00D22EAF"/>
    <w:rsid w:val="00D2430E"/>
    <w:rsid w:val="00D251B7"/>
    <w:rsid w:val="00D2717B"/>
    <w:rsid w:val="00D3078B"/>
    <w:rsid w:val="00D3118E"/>
    <w:rsid w:val="00D31BB8"/>
    <w:rsid w:val="00D34BC5"/>
    <w:rsid w:val="00D36BA1"/>
    <w:rsid w:val="00D36C76"/>
    <w:rsid w:val="00D37F07"/>
    <w:rsid w:val="00D41BB8"/>
    <w:rsid w:val="00D432BC"/>
    <w:rsid w:val="00D444E3"/>
    <w:rsid w:val="00D52AFA"/>
    <w:rsid w:val="00D5566B"/>
    <w:rsid w:val="00D57CA5"/>
    <w:rsid w:val="00D605D2"/>
    <w:rsid w:val="00D6102D"/>
    <w:rsid w:val="00D63381"/>
    <w:rsid w:val="00D643F8"/>
    <w:rsid w:val="00D67892"/>
    <w:rsid w:val="00D7119E"/>
    <w:rsid w:val="00D71BF6"/>
    <w:rsid w:val="00D7590F"/>
    <w:rsid w:val="00D75ED8"/>
    <w:rsid w:val="00D85001"/>
    <w:rsid w:val="00D85656"/>
    <w:rsid w:val="00D86258"/>
    <w:rsid w:val="00D938D8"/>
    <w:rsid w:val="00DA0143"/>
    <w:rsid w:val="00DA0378"/>
    <w:rsid w:val="00DA0EA5"/>
    <w:rsid w:val="00DA1664"/>
    <w:rsid w:val="00DA258B"/>
    <w:rsid w:val="00DA298C"/>
    <w:rsid w:val="00DA33AC"/>
    <w:rsid w:val="00DA3BC8"/>
    <w:rsid w:val="00DA4D73"/>
    <w:rsid w:val="00DB13D3"/>
    <w:rsid w:val="00DB2247"/>
    <w:rsid w:val="00DB62E8"/>
    <w:rsid w:val="00DB65A3"/>
    <w:rsid w:val="00DB78FC"/>
    <w:rsid w:val="00DB7E4B"/>
    <w:rsid w:val="00DC0F37"/>
    <w:rsid w:val="00DC0FB1"/>
    <w:rsid w:val="00DC18AE"/>
    <w:rsid w:val="00DC57CD"/>
    <w:rsid w:val="00DC58F4"/>
    <w:rsid w:val="00DC5BFB"/>
    <w:rsid w:val="00DC6912"/>
    <w:rsid w:val="00DD3EA6"/>
    <w:rsid w:val="00DD588C"/>
    <w:rsid w:val="00DD5CF9"/>
    <w:rsid w:val="00DD7706"/>
    <w:rsid w:val="00DE0022"/>
    <w:rsid w:val="00DE019E"/>
    <w:rsid w:val="00DE08B3"/>
    <w:rsid w:val="00DE1D8B"/>
    <w:rsid w:val="00DE251A"/>
    <w:rsid w:val="00DE29A8"/>
    <w:rsid w:val="00DE2C1D"/>
    <w:rsid w:val="00DE4533"/>
    <w:rsid w:val="00DE49E1"/>
    <w:rsid w:val="00DE596C"/>
    <w:rsid w:val="00DE7206"/>
    <w:rsid w:val="00DF0CB9"/>
    <w:rsid w:val="00DF172C"/>
    <w:rsid w:val="00DF5286"/>
    <w:rsid w:val="00DF7FFC"/>
    <w:rsid w:val="00E01C32"/>
    <w:rsid w:val="00E01D1F"/>
    <w:rsid w:val="00E055E6"/>
    <w:rsid w:val="00E05B3F"/>
    <w:rsid w:val="00E06A9D"/>
    <w:rsid w:val="00E07146"/>
    <w:rsid w:val="00E0783E"/>
    <w:rsid w:val="00E15F80"/>
    <w:rsid w:val="00E206B7"/>
    <w:rsid w:val="00E23775"/>
    <w:rsid w:val="00E238C6"/>
    <w:rsid w:val="00E26DB0"/>
    <w:rsid w:val="00E277FE"/>
    <w:rsid w:val="00E315FC"/>
    <w:rsid w:val="00E345A7"/>
    <w:rsid w:val="00E352A5"/>
    <w:rsid w:val="00E364A7"/>
    <w:rsid w:val="00E36B78"/>
    <w:rsid w:val="00E40C21"/>
    <w:rsid w:val="00E40DD3"/>
    <w:rsid w:val="00E410F8"/>
    <w:rsid w:val="00E41313"/>
    <w:rsid w:val="00E433F1"/>
    <w:rsid w:val="00E442CC"/>
    <w:rsid w:val="00E46236"/>
    <w:rsid w:val="00E47469"/>
    <w:rsid w:val="00E5573E"/>
    <w:rsid w:val="00E570B7"/>
    <w:rsid w:val="00E573AC"/>
    <w:rsid w:val="00E579E2"/>
    <w:rsid w:val="00E6120F"/>
    <w:rsid w:val="00E63092"/>
    <w:rsid w:val="00E6329D"/>
    <w:rsid w:val="00E65AC2"/>
    <w:rsid w:val="00E66116"/>
    <w:rsid w:val="00E74653"/>
    <w:rsid w:val="00E7489D"/>
    <w:rsid w:val="00E753E2"/>
    <w:rsid w:val="00E7548B"/>
    <w:rsid w:val="00E75C04"/>
    <w:rsid w:val="00E768ED"/>
    <w:rsid w:val="00E76C1B"/>
    <w:rsid w:val="00E7711C"/>
    <w:rsid w:val="00E773FF"/>
    <w:rsid w:val="00E77A3D"/>
    <w:rsid w:val="00E80627"/>
    <w:rsid w:val="00E817BE"/>
    <w:rsid w:val="00E82472"/>
    <w:rsid w:val="00E86A78"/>
    <w:rsid w:val="00E93EE9"/>
    <w:rsid w:val="00E956CF"/>
    <w:rsid w:val="00EA114E"/>
    <w:rsid w:val="00EA1341"/>
    <w:rsid w:val="00EA1B2E"/>
    <w:rsid w:val="00EA1C66"/>
    <w:rsid w:val="00EA4A99"/>
    <w:rsid w:val="00EA73F8"/>
    <w:rsid w:val="00EB09A8"/>
    <w:rsid w:val="00EB4D1D"/>
    <w:rsid w:val="00EC21BE"/>
    <w:rsid w:val="00EC3938"/>
    <w:rsid w:val="00EC4D13"/>
    <w:rsid w:val="00EC4F17"/>
    <w:rsid w:val="00EC643A"/>
    <w:rsid w:val="00EC6B5C"/>
    <w:rsid w:val="00ED244D"/>
    <w:rsid w:val="00ED7ED8"/>
    <w:rsid w:val="00EE0E86"/>
    <w:rsid w:val="00EE36E8"/>
    <w:rsid w:val="00EE49E7"/>
    <w:rsid w:val="00EE54B9"/>
    <w:rsid w:val="00EE5A67"/>
    <w:rsid w:val="00EF11B5"/>
    <w:rsid w:val="00EF4E2A"/>
    <w:rsid w:val="00EF53BF"/>
    <w:rsid w:val="00EF5E63"/>
    <w:rsid w:val="00F0134F"/>
    <w:rsid w:val="00F0366B"/>
    <w:rsid w:val="00F05DDD"/>
    <w:rsid w:val="00F07DC3"/>
    <w:rsid w:val="00F07E01"/>
    <w:rsid w:val="00F1198E"/>
    <w:rsid w:val="00F12B0C"/>
    <w:rsid w:val="00F138F0"/>
    <w:rsid w:val="00F13AC6"/>
    <w:rsid w:val="00F14231"/>
    <w:rsid w:val="00F15CD5"/>
    <w:rsid w:val="00F16059"/>
    <w:rsid w:val="00F16393"/>
    <w:rsid w:val="00F20C42"/>
    <w:rsid w:val="00F210BE"/>
    <w:rsid w:val="00F21464"/>
    <w:rsid w:val="00F2533F"/>
    <w:rsid w:val="00F306EF"/>
    <w:rsid w:val="00F30EEE"/>
    <w:rsid w:val="00F3483C"/>
    <w:rsid w:val="00F348CF"/>
    <w:rsid w:val="00F35E47"/>
    <w:rsid w:val="00F36D7A"/>
    <w:rsid w:val="00F37592"/>
    <w:rsid w:val="00F400A4"/>
    <w:rsid w:val="00F400EF"/>
    <w:rsid w:val="00F41EF2"/>
    <w:rsid w:val="00F42218"/>
    <w:rsid w:val="00F43D14"/>
    <w:rsid w:val="00F4572A"/>
    <w:rsid w:val="00F45ABD"/>
    <w:rsid w:val="00F46CFF"/>
    <w:rsid w:val="00F47F82"/>
    <w:rsid w:val="00F515E6"/>
    <w:rsid w:val="00F52BFF"/>
    <w:rsid w:val="00F538A1"/>
    <w:rsid w:val="00F53E64"/>
    <w:rsid w:val="00F540B3"/>
    <w:rsid w:val="00F545EB"/>
    <w:rsid w:val="00F56218"/>
    <w:rsid w:val="00F56615"/>
    <w:rsid w:val="00F601E2"/>
    <w:rsid w:val="00F676E2"/>
    <w:rsid w:val="00F71556"/>
    <w:rsid w:val="00F72E68"/>
    <w:rsid w:val="00F73845"/>
    <w:rsid w:val="00F76366"/>
    <w:rsid w:val="00F82439"/>
    <w:rsid w:val="00F834B3"/>
    <w:rsid w:val="00F85300"/>
    <w:rsid w:val="00F866F9"/>
    <w:rsid w:val="00F87AFD"/>
    <w:rsid w:val="00F87F93"/>
    <w:rsid w:val="00F90A25"/>
    <w:rsid w:val="00F90B8D"/>
    <w:rsid w:val="00F92588"/>
    <w:rsid w:val="00F92885"/>
    <w:rsid w:val="00F93B56"/>
    <w:rsid w:val="00F95BEA"/>
    <w:rsid w:val="00FA1B12"/>
    <w:rsid w:val="00FA1ED8"/>
    <w:rsid w:val="00FA35D8"/>
    <w:rsid w:val="00FB0353"/>
    <w:rsid w:val="00FB5748"/>
    <w:rsid w:val="00FB5DAB"/>
    <w:rsid w:val="00FB67B6"/>
    <w:rsid w:val="00FB6ACA"/>
    <w:rsid w:val="00FC2C83"/>
    <w:rsid w:val="00FC3883"/>
    <w:rsid w:val="00FC3E07"/>
    <w:rsid w:val="00FC6061"/>
    <w:rsid w:val="00FC6086"/>
    <w:rsid w:val="00FD0EEF"/>
    <w:rsid w:val="00FD2908"/>
    <w:rsid w:val="00FD3AC0"/>
    <w:rsid w:val="00FD59F8"/>
    <w:rsid w:val="00FD662D"/>
    <w:rsid w:val="00FD7896"/>
    <w:rsid w:val="00FE0D43"/>
    <w:rsid w:val="00FE13CD"/>
    <w:rsid w:val="00FE19A6"/>
    <w:rsid w:val="00FE1E79"/>
    <w:rsid w:val="00FE5BFC"/>
    <w:rsid w:val="00FF2332"/>
    <w:rsid w:val="00FF302B"/>
    <w:rsid w:val="00FF4975"/>
    <w:rsid w:val="00FF4A25"/>
    <w:rsid w:val="00FF4D6B"/>
    <w:rsid w:val="00FF52CA"/>
    <w:rsid w:val="00FF5897"/>
    <w:rsid w:val="00FF5FE1"/>
    <w:rsid w:val="00FF6A46"/>
    <w:rsid w:val="00FF7A53"/>
    <w:rsid w:val="00FF7B07"/>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400E9"/>
  <w15:docId w15:val="{724E9EF8-0097-4267-80C5-2B430BA4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B3"/>
  </w:style>
  <w:style w:type="paragraph" w:styleId="Heading1">
    <w:name w:val="heading 1"/>
    <w:basedOn w:val="Normal"/>
    <w:next w:val="Normal"/>
    <w:link w:val="Heading1Char"/>
    <w:autoRedefine/>
    <w:uiPriority w:val="9"/>
    <w:qFormat/>
    <w:rsid w:val="007D302D"/>
    <w:pPr>
      <w:keepNext/>
      <w:keepLines/>
      <w:spacing w:before="36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7D302D"/>
    <w:pPr>
      <w:keepNext/>
      <w:keepLines/>
      <w:spacing w:before="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A2648F"/>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7D302D"/>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rsid w:val="00A2648F"/>
    <w:pPr>
      <w:keepNext/>
      <w:keepLines/>
      <w:spacing w:before="240"/>
      <w:contextualSpacing/>
      <w:outlineLvl w:val="4"/>
    </w:pPr>
    <w:rPr>
      <w:rFonts w:asciiTheme="majorHAnsi" w:eastAsiaTheme="majorEastAsia" w:hAnsiTheme="majorHAnsi" w:cstheme="majorBidi"/>
      <w:b/>
      <w:i/>
      <w:color w:val="auto"/>
    </w:rPr>
  </w:style>
  <w:style w:type="paragraph" w:styleId="Heading6">
    <w:name w:val="heading 6"/>
    <w:basedOn w:val="Normal"/>
    <w:next w:val="Normal"/>
    <w:link w:val="Heading6Char"/>
    <w:uiPriority w:val="9"/>
    <w:rsid w:val="00A2648F"/>
    <w:pPr>
      <w:keepNext/>
      <w:keepLines/>
      <w:spacing w:before="240"/>
      <w:contextualSpacing/>
      <w:outlineLvl w:val="5"/>
    </w:pPr>
    <w:rPr>
      <w:rFonts w:asciiTheme="majorHAnsi" w:eastAsiaTheme="majorEastAsia" w:hAnsiTheme="majorHAnsi" w:cstheme="majorBidi"/>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77172B"/>
    <w:pPr>
      <w:spacing w:before="0" w:after="0" w:line="240" w:lineRule="auto"/>
      <w:ind w:right="567"/>
    </w:pPr>
    <w:rPr>
      <w:b/>
      <w:sz w:val="28"/>
      <w:szCs w:val="24"/>
    </w:rPr>
  </w:style>
  <w:style w:type="character" w:customStyle="1" w:styleId="SubtitleChar">
    <w:name w:val="Subtitle Char"/>
    <w:basedOn w:val="DefaultParagraphFont"/>
    <w:link w:val="Subtitle"/>
    <w:uiPriority w:val="18"/>
    <w:rsid w:val="0077172B"/>
    <w:rPr>
      <w:b/>
      <w:sz w:val="28"/>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C11EC4"/>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C11EC4"/>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uiPriority w:val="17"/>
    <w:rsid w:val="0077172B"/>
    <w:pPr>
      <w:spacing w:before="0" w:after="240" w:line="240" w:lineRule="auto"/>
      <w:ind w:right="567"/>
      <w:contextualSpacing/>
    </w:pPr>
    <w:rPr>
      <w:sz w:val="56"/>
      <w:szCs w:val="82"/>
    </w:rPr>
  </w:style>
  <w:style w:type="character" w:customStyle="1" w:styleId="TitleChar">
    <w:name w:val="Title Char"/>
    <w:basedOn w:val="DefaultParagraphFont"/>
    <w:link w:val="Title"/>
    <w:uiPriority w:val="17"/>
    <w:rsid w:val="0077172B"/>
    <w:rPr>
      <w:sz w:val="56"/>
      <w:szCs w:val="82"/>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7D302D"/>
    <w:rPr>
      <w:rFonts w:asciiTheme="majorHAnsi" w:hAnsiTheme="majorHAnsi"/>
      <w:b/>
      <w:sz w:val="30"/>
      <w:szCs w:val="44"/>
    </w:rPr>
  </w:style>
  <w:style w:type="character" w:customStyle="1" w:styleId="Heading2Char">
    <w:name w:val="Heading 2 Char"/>
    <w:basedOn w:val="DefaultParagraphFont"/>
    <w:link w:val="Heading2"/>
    <w:uiPriority w:val="9"/>
    <w:rsid w:val="007D302D"/>
    <w:rPr>
      <w:rFonts w:asciiTheme="majorHAnsi" w:hAnsiTheme="majorHAnsi"/>
      <w:b/>
      <w:sz w:val="26"/>
      <w:szCs w:val="28"/>
    </w:rPr>
  </w:style>
  <w:style w:type="character" w:customStyle="1" w:styleId="Heading3Char">
    <w:name w:val="Heading 3 Char"/>
    <w:basedOn w:val="DefaultParagraphFont"/>
    <w:link w:val="Heading3"/>
    <w:uiPriority w:val="9"/>
    <w:rsid w:val="00A2648F"/>
    <w:rPr>
      <w:rFonts w:asciiTheme="majorHAnsi" w:hAnsiTheme="majorHAnsi"/>
      <w:b/>
      <w:color w:val="auto"/>
      <w:sz w:val="22"/>
    </w:rPr>
  </w:style>
  <w:style w:type="paragraph" w:styleId="TOCHeading">
    <w:name w:val="TOC Heading"/>
    <w:basedOn w:val="Heading1"/>
    <w:next w:val="Normal"/>
    <w:uiPriority w:val="39"/>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5F110C"/>
    <w:rPr>
      <w:b w:val="0"/>
      <w:color w:val="282EA0"/>
      <w:u w:val="single"/>
    </w:rPr>
  </w:style>
  <w:style w:type="paragraph" w:styleId="ListBullet">
    <w:name w:val="List Bullet"/>
    <w:basedOn w:val="Normal"/>
    <w:uiPriority w:val="2"/>
    <w:qFormat/>
    <w:rsid w:val="008B1EDB"/>
    <w:pPr>
      <w:numPr>
        <w:numId w:val="4"/>
      </w:numPr>
    </w:pPr>
    <w:rPr>
      <w:rFonts w:eastAsia="Times New Roman"/>
      <w:lang w:eastAsia="en-AU"/>
    </w:rPr>
  </w:style>
  <w:style w:type="paragraph" w:styleId="ListNumber">
    <w:name w:val="List Number"/>
    <w:basedOn w:val="Normal"/>
    <w:uiPriority w:val="2"/>
    <w:qFormat/>
    <w:rsid w:val="00F71556"/>
    <w:pPr>
      <w:numPr>
        <w:numId w:val="2"/>
      </w:numPr>
    </w:pPr>
    <w:rPr>
      <w:rFonts w:eastAsia="Times New Roman"/>
      <w:lang w:eastAsia="en-AU"/>
    </w:rPr>
  </w:style>
  <w:style w:type="table" w:customStyle="1" w:styleId="SQHTable">
    <w:name w:val="SQH Table"/>
    <w:basedOn w:val="TableNormal"/>
    <w:uiPriority w:val="99"/>
    <w:rsid w:val="00BA2E9D"/>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8B1EDB"/>
    <w:pPr>
      <w:numPr>
        <w:ilvl w:val="1"/>
        <w:numId w:val="4"/>
      </w:numPr>
    </w:pPr>
    <w:rPr>
      <w:rFonts w:eastAsia="Times New Roman"/>
      <w:lang w:eastAsia="en-AU"/>
    </w:rPr>
  </w:style>
  <w:style w:type="character" w:customStyle="1" w:styleId="Heading4Char">
    <w:name w:val="Heading 4 Char"/>
    <w:basedOn w:val="DefaultParagraphFont"/>
    <w:link w:val="Heading4"/>
    <w:uiPriority w:val="9"/>
    <w:rsid w:val="007D302D"/>
    <w:rPr>
      <w:rFonts w:asciiTheme="majorHAnsi" w:eastAsiaTheme="majorEastAsia" w:hAnsiTheme="majorHAnsi" w:cstheme="majorBidi"/>
      <w:b/>
      <w:i/>
      <w:iCs/>
    </w:rPr>
  </w:style>
  <w:style w:type="paragraph" w:styleId="ListBullet3">
    <w:name w:val="List Bullet 3"/>
    <w:basedOn w:val="Normal"/>
    <w:uiPriority w:val="2"/>
    <w:semiHidden/>
    <w:rsid w:val="008B1EDB"/>
    <w:pPr>
      <w:numPr>
        <w:ilvl w:val="2"/>
        <w:numId w:val="4"/>
      </w:numPr>
    </w:pPr>
    <w:rPr>
      <w:rFonts w:eastAsia="Times New Roman"/>
      <w:lang w:eastAsia="en-AU"/>
    </w:rPr>
  </w:style>
  <w:style w:type="paragraph" w:styleId="ListBullet4">
    <w:name w:val="List Bullet 4"/>
    <w:basedOn w:val="Normal"/>
    <w:uiPriority w:val="2"/>
    <w:semiHidden/>
    <w:rsid w:val="008B1EDB"/>
    <w:pPr>
      <w:numPr>
        <w:ilvl w:val="3"/>
        <w:numId w:val="4"/>
      </w:numPr>
    </w:pPr>
    <w:rPr>
      <w:rFonts w:eastAsia="Times New Roman"/>
      <w:lang w:eastAsia="en-AU"/>
    </w:rPr>
  </w:style>
  <w:style w:type="paragraph" w:styleId="ListBullet5">
    <w:name w:val="List Bullet 5"/>
    <w:basedOn w:val="Normal"/>
    <w:uiPriority w:val="2"/>
    <w:semiHidden/>
    <w:rsid w:val="008B1EDB"/>
    <w:pPr>
      <w:numPr>
        <w:ilvl w:val="4"/>
        <w:numId w:val="4"/>
      </w:numPr>
    </w:pPr>
    <w:rPr>
      <w:rFonts w:eastAsia="Times New Roman"/>
      <w:lang w:eastAsia="en-AU"/>
    </w:rPr>
  </w:style>
  <w:style w:type="paragraph" w:styleId="ListNumber2">
    <w:name w:val="List Number 2"/>
    <w:basedOn w:val="Normal"/>
    <w:uiPriority w:val="2"/>
    <w:semiHidden/>
    <w:rsid w:val="00F71556"/>
    <w:pPr>
      <w:numPr>
        <w:ilvl w:val="1"/>
        <w:numId w:val="2"/>
      </w:numPr>
    </w:pPr>
    <w:rPr>
      <w:rFonts w:eastAsia="Times New Roman"/>
      <w:lang w:eastAsia="en-AU"/>
    </w:rPr>
  </w:style>
  <w:style w:type="paragraph" w:styleId="ListNumber3">
    <w:name w:val="List Number 3"/>
    <w:basedOn w:val="Normal"/>
    <w:uiPriority w:val="2"/>
    <w:semiHidden/>
    <w:rsid w:val="00F71556"/>
    <w:pPr>
      <w:numPr>
        <w:ilvl w:val="2"/>
        <w:numId w:val="2"/>
      </w:numPr>
    </w:pPr>
    <w:rPr>
      <w:rFonts w:eastAsia="Times New Roman"/>
      <w:lang w:eastAsia="en-AU"/>
    </w:rPr>
  </w:style>
  <w:style w:type="paragraph" w:styleId="ListNumber4">
    <w:name w:val="List Number 4"/>
    <w:basedOn w:val="Normal"/>
    <w:uiPriority w:val="2"/>
    <w:semiHidden/>
    <w:rsid w:val="00F71556"/>
    <w:pPr>
      <w:numPr>
        <w:ilvl w:val="3"/>
        <w:numId w:val="2"/>
      </w:numPr>
    </w:pPr>
    <w:rPr>
      <w:rFonts w:eastAsia="Times New Roman"/>
      <w:lang w:eastAsia="en-AU"/>
    </w:rPr>
  </w:style>
  <w:style w:type="paragraph" w:styleId="ListNumber5">
    <w:name w:val="List Number 5"/>
    <w:basedOn w:val="Normal"/>
    <w:uiPriority w:val="2"/>
    <w:semiHidden/>
    <w:rsid w:val="00F71556"/>
    <w:pPr>
      <w:numPr>
        <w:ilvl w:val="4"/>
        <w:numId w:val="2"/>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4438AC"/>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A2648F"/>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rsid w:val="00A2648F"/>
    <w:rPr>
      <w:rFonts w:asciiTheme="majorHAnsi" w:eastAsiaTheme="majorEastAsia" w:hAnsiTheme="majorHAnsi" w:cstheme="majorBidi"/>
      <w:i/>
      <w:color w:val="auto"/>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uiPriority w:val="11"/>
    <w:qFormat/>
    <w:rsid w:val="00BD5153"/>
    <w:pPr>
      <w:spacing w:before="360" w:after="360"/>
      <w:contextualSpacing/>
    </w:pPr>
    <w:rPr>
      <w:sz w:val="26"/>
      <w:szCs w:val="26"/>
    </w:rPr>
  </w:style>
  <w:style w:type="paragraph" w:customStyle="1" w:styleId="Tablecaption">
    <w:name w:val="Table caption"/>
    <w:basedOn w:val="Caption"/>
    <w:link w:val="TablecaptionChar"/>
    <w:autoRedefine/>
    <w:qFormat/>
    <w:rsid w:val="0017752D"/>
    <w:pPr>
      <w:numPr>
        <w:numId w:val="6"/>
      </w:numPr>
      <w:ind w:left="0" w:firstLine="0"/>
    </w:pPr>
  </w:style>
  <w:style w:type="character" w:customStyle="1" w:styleId="CaptionChar">
    <w:name w:val="Caption Char"/>
    <w:basedOn w:val="DefaultParagraphFont"/>
    <w:link w:val="Caption"/>
    <w:uiPriority w:val="12"/>
    <w:rsid w:val="004438AC"/>
    <w:rPr>
      <w:iCs/>
      <w:sz w:val="20"/>
    </w:rPr>
  </w:style>
  <w:style w:type="character" w:customStyle="1" w:styleId="TablecaptionChar">
    <w:name w:val="Table caption Char"/>
    <w:basedOn w:val="CaptionChar"/>
    <w:link w:val="Tablecaption"/>
    <w:rsid w:val="0017752D"/>
    <w:rPr>
      <w:iCs/>
      <w:sz w:val="20"/>
    </w:rPr>
  </w:style>
  <w:style w:type="paragraph" w:styleId="Revision">
    <w:name w:val="Revision"/>
    <w:hidden/>
    <w:uiPriority w:val="99"/>
    <w:semiHidden/>
    <w:rsid w:val="002D396F"/>
    <w:pPr>
      <w:spacing w:before="0" w:after="0" w:line="240" w:lineRule="auto"/>
    </w:p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rsid w:val="00B8312D"/>
    <w:pPr>
      <w:spacing w:line="240" w:lineRule="auto"/>
      <w:ind w:left="720"/>
      <w:contextualSpacing/>
    </w:pPr>
    <w:rPr>
      <w:rFonts w:ascii="Arial" w:eastAsia="Times New Roman" w:hAnsi="Arial"/>
      <w:color w:val="auto"/>
      <w:lang w:eastAsia="en-AU"/>
    </w:r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99"/>
    <w:rsid w:val="00B8312D"/>
    <w:rPr>
      <w:rFonts w:ascii="Arial" w:eastAsia="Times New Roman" w:hAnsi="Arial"/>
      <w:color w:val="auto"/>
      <w:lang w:eastAsia="en-AU"/>
    </w:rPr>
  </w:style>
  <w:style w:type="character" w:styleId="CommentReference">
    <w:name w:val="annotation reference"/>
    <w:basedOn w:val="DefaultParagraphFont"/>
    <w:semiHidden/>
    <w:unhideWhenUsed/>
    <w:rsid w:val="00B8312D"/>
    <w:rPr>
      <w:sz w:val="16"/>
      <w:szCs w:val="16"/>
    </w:rPr>
  </w:style>
  <w:style w:type="paragraph" w:styleId="CommentText">
    <w:name w:val="annotation text"/>
    <w:basedOn w:val="Normal"/>
    <w:link w:val="CommentTextChar"/>
    <w:unhideWhenUsed/>
    <w:rsid w:val="00B8312D"/>
    <w:pPr>
      <w:spacing w:line="240" w:lineRule="auto"/>
    </w:pPr>
    <w:rPr>
      <w:rFonts w:ascii="Arial" w:eastAsia="Times New Roman" w:hAnsi="Arial"/>
      <w:color w:val="auto"/>
      <w:sz w:val="20"/>
      <w:szCs w:val="20"/>
      <w:lang w:eastAsia="en-AU"/>
    </w:rPr>
  </w:style>
  <w:style w:type="character" w:customStyle="1" w:styleId="CommentTextChar">
    <w:name w:val="Comment Text Char"/>
    <w:basedOn w:val="DefaultParagraphFont"/>
    <w:link w:val="CommentText"/>
    <w:rsid w:val="00B8312D"/>
    <w:rPr>
      <w:rFonts w:ascii="Arial" w:eastAsia="Times New Roman" w:hAnsi="Arial"/>
      <w:color w:val="auto"/>
      <w:sz w:val="20"/>
      <w:szCs w:val="20"/>
      <w:lang w:eastAsia="en-AU"/>
    </w:rPr>
  </w:style>
  <w:style w:type="character" w:styleId="FollowedHyperlink">
    <w:name w:val="FollowedHyperlink"/>
    <w:basedOn w:val="DefaultParagraphFont"/>
    <w:uiPriority w:val="99"/>
    <w:semiHidden/>
    <w:unhideWhenUsed/>
    <w:rsid w:val="00935823"/>
    <w:rPr>
      <w:color w:val="000000" w:themeColor="followedHyperlink"/>
      <w:u w:val="single"/>
    </w:rPr>
  </w:style>
  <w:style w:type="table" w:customStyle="1" w:styleId="DarkHeading">
    <w:name w:val="Dark Heading"/>
    <w:basedOn w:val="TableNormal"/>
    <w:uiPriority w:val="99"/>
    <w:rsid w:val="00262666"/>
    <w:pPr>
      <w:spacing w:before="0" w:after="0" w:line="240" w:lineRule="auto"/>
    </w:pPr>
    <w:rPr>
      <w:rFonts w:ascii="Arial" w:eastAsia="Times New Roman" w:hAnsi="Arial"/>
      <w:color w:val="auto"/>
      <w:sz w:val="20"/>
      <w:szCs w:val="20"/>
      <w:lang w:eastAsia="en-GB"/>
    </w:rPr>
    <w:tblPr>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rPr>
        <w:rFonts w:ascii="Arial" w:hAnsi="Arial"/>
        <w:b/>
        <w:color w:val="FFFFFF"/>
        <w:sz w:val="20"/>
      </w:rPr>
      <w:tblPr/>
      <w:tcPr>
        <w:shd w:val="clear" w:color="auto" w:fill="1178A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resources/resource/reference-material/serious-scarcity-substitution-instruments-sssis" TargetMode="External"/><Relationship Id="rId18" Type="http://schemas.openxmlformats.org/officeDocument/2006/relationships/hyperlink" Target="https://www.diabetesaustralia.com.au/" TargetMode="External"/><Relationship Id="rId26" Type="http://schemas.openxmlformats.org/officeDocument/2006/relationships/hyperlink" Target="https://www.tga.gov.au/safety/shortages-and-supply-disruptions/medicine-shortages/major-or-ongoing-medicine-shortages/about-changes-supply-insulin-products" TargetMode="External"/><Relationship Id="rId39" Type="http://schemas.openxmlformats.org/officeDocument/2006/relationships/footer" Target="footer3.xml"/><Relationship Id="rId21" Type="http://schemas.openxmlformats.org/officeDocument/2006/relationships/hyperlink" Target="https://www.adips.org/Clinical%20Advice%20re%20Discontinuation%20of%20InnoLet%2020.12.24.pdf"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dips.org/" TargetMode="External"/><Relationship Id="rId20" Type="http://schemas.openxmlformats.org/officeDocument/2006/relationships/hyperlink" Target="https://www.racgp.org.au/" TargetMode="External"/><Relationship Id="rId29" Type="http://schemas.openxmlformats.org/officeDocument/2006/relationships/hyperlink" Target="https://www.health.nsw.gov.au/sabs/Documents/2024-sn-035.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about-changes-supply-novo-nordisk-insulin-products" TargetMode="External"/><Relationship Id="rId24" Type="http://schemas.openxmlformats.org/officeDocument/2006/relationships/hyperlink" Target="https://www.adips.org/Clinical%20Advice%20re%20Discontinuation%20of%20InnoLet%2020.12.24.pdf" TargetMode="External"/><Relationship Id="rId32" Type="http://schemas.openxmlformats.org/officeDocument/2006/relationships/hyperlink" Target="https://www.tga.gov.au/safety/shortages/medicine-shortage-reports-databas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iabetessociety.com.au/" TargetMode="External"/><Relationship Id="rId23" Type="http://schemas.openxmlformats.org/officeDocument/2006/relationships/hyperlink" Target="https://www.safetyandquality.gov.au/publications-and-resources/resource-library/discontinuation-insulin-products-strategies-and-safety-considerations" TargetMode="External"/><Relationship Id="rId28" Type="http://schemas.openxmlformats.org/officeDocument/2006/relationships/hyperlink" Target="https://www.safetyandquality.gov.au/publications-and-resources/resource-library/fact-sheet-5-health-literacy-supporting-staff-meet-health-literacy-need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omanz.org/" TargetMode="External"/><Relationship Id="rId31" Type="http://schemas.openxmlformats.org/officeDocument/2006/relationships/hyperlink" Target="https://practicesupport.org.au/web/assets/images/Factsheet_Protaphane-discontinu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publications-and-resources/resource-library/discontinuation-insulin-products-strategies-and-safety-considerations" TargetMode="External"/><Relationship Id="rId22" Type="http://schemas.openxmlformats.org/officeDocument/2006/relationships/hyperlink" Target="https://www.safetyandquality.gov.au/publications-and-resources/resource-library/discontinuation-insulin-products-strategies-and-safety-considerations" TargetMode="External"/><Relationship Id="rId27" Type="http://schemas.openxmlformats.org/officeDocument/2006/relationships/hyperlink" Target="https://www.safetyandquality.gov.au/publications-and-resources/resource-library/discontinuation-insulin-products-strategies-and-safety-considerations" TargetMode="External"/><Relationship Id="rId30" Type="http://schemas.openxmlformats.org/officeDocument/2006/relationships/hyperlink" Target="https://www.health.nsw.gov.au/sabs/Documents/2025-sn-023.pdf"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afetyandquality.gov.au/publications-and-resources/resource-library/discontinuation-insulin-products-strategies-and-safety-considerations" TargetMode="External"/><Relationship Id="rId17" Type="http://schemas.openxmlformats.org/officeDocument/2006/relationships/hyperlink" Target="https://www.adea.com.au/" TargetMode="External"/><Relationship Id="rId25" Type="http://schemas.openxmlformats.org/officeDocument/2006/relationships/hyperlink" Target="https://www.tga.gov.au/safety/shortages-and-supply-disruptions/medicine-shortages/medicine-shortage-alerts/changes-supply-insulin-products" TargetMode="External"/><Relationship Id="rId33" Type="http://schemas.openxmlformats.org/officeDocument/2006/relationships/hyperlink" Target="mailto:medsafety@safetyandquality.gov.au"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ENS\AppData\Roaming\Micro%20Focus\Content%20Manager\TRIM\TEMP\HPTRIM.6392\D25-28526%20%20Template%20-%20ACSQHC%20-%20Fact%20sheet%20-%20Corporate%20-%204%20page%20max%20-%20July%202025.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38B132FD-DB8A-4E73-99EF-46D0D2A817A1}">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3.xml><?xml version="1.0" encoding="utf-8"?>
<ds:datastoreItem xmlns:ds="http://schemas.openxmlformats.org/officeDocument/2006/customXml" ds:itemID="{707F60A6-171E-40CD-A237-6262928436ED}">
  <ds:schemaRefs>
    <ds:schemaRef ds:uri="http://schemas.microsoft.com/sharepoint/v3/contenttype/forms"/>
  </ds:schemaRefs>
</ds:datastoreItem>
</file>

<file path=customXml/itemProps4.xml><?xml version="1.0" encoding="utf-8"?>
<ds:datastoreItem xmlns:ds="http://schemas.openxmlformats.org/officeDocument/2006/customXml" ds:itemID="{28095A4E-0D56-41A7-9EDA-F2E6ABAB7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D25-28526  Template - ACSQHC - Fact sheet - Corporate - 4 page max - July 2025.DOTX</Template>
  <TotalTime>1</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HALENA, Stephanie</dc:creator>
  <cp:keywords/>
  <cp:lastModifiedBy>JESSOP, Tommy</cp:lastModifiedBy>
  <cp:revision>2</cp:revision>
  <cp:lastPrinted>2025-05-27T01:51:00Z</cp:lastPrinted>
  <dcterms:created xsi:type="dcterms:W3CDTF">2026-07-12T22:38:00Z</dcterms:created>
  <dcterms:modified xsi:type="dcterms:W3CDTF">2026-07-12T22:38:00Z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y fmtid="{D5CDD505-2E9C-101B-9397-08002B2CF9AE}" pid="3" name="ClassificationContentMarkingHeaderShapeIds">
    <vt:lpwstr>3cc033f2,17fd983,45bd536f</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ca9a5a6,1c403a06,200f6853</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2026-06-23T02:09:32Z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70c9d919-6b7b-4eeb-ac99-7b84882c6714</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